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before="120" w:line="240" w:lineRule="auto"/>
        <w:rPr>
          <w:b w:val="1"/>
          <w:sz w:val="36"/>
          <w:szCs w:val="36"/>
        </w:rPr>
      </w:pPr>
      <w:r w:rsidDel="00000000" w:rsidR="00000000" w:rsidRPr="00000000">
        <w:rPr>
          <w:b w:val="1"/>
          <w:color w:val="000000"/>
          <w:sz w:val="36"/>
          <w:szCs w:val="36"/>
          <w:rtl w:val="0"/>
        </w:rPr>
        <w:t xml:space="preserve">Call-Off </w:t>
      </w:r>
      <w:r w:rsidDel="00000000" w:rsidR="00000000" w:rsidRPr="00000000">
        <w:rPr>
          <w:b w:val="1"/>
          <w:sz w:val="36"/>
          <w:szCs w:val="36"/>
          <w:rtl w:val="0"/>
        </w:rPr>
        <w:t xml:space="preserve">Schedule </w:t>
      </w:r>
      <w:r w:rsidDel="00000000" w:rsidR="00000000" w:rsidRPr="00000000">
        <w:rPr>
          <w:b w:val="1"/>
          <w:color w:val="000000"/>
          <w:sz w:val="36"/>
          <w:szCs w:val="36"/>
          <w:rtl w:val="0"/>
        </w:rPr>
        <w:t xml:space="preserve">12 (Clustering</w:t>
      </w:r>
      <w:r w:rsidDel="00000000" w:rsidR="00000000" w:rsidRPr="00000000">
        <w:rPr>
          <w:b w:val="1"/>
          <w:sz w:val="36"/>
          <w:szCs w:val="36"/>
          <w:rtl w:val="0"/>
        </w:rPr>
        <w:t xml:space="preserve">)</w:t>
      </w:r>
    </w:p>
    <w:p w:rsidR="00000000" w:rsidDel="00000000" w:rsidP="00000000" w:rsidRDefault="00000000" w:rsidRPr="00000000" w14:paraId="00000002">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42"/>
        </w:tabs>
        <w:spacing w:after="120" w:before="120" w:line="240" w:lineRule="auto"/>
        <w:ind w:left="360" w:right="0" w:hanging="36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xrl8mxdt3sf4" w:id="0"/>
      <w:bookmarkEnd w:id="0"/>
      <w:r w:rsidDel="00000000" w:rsidR="00000000" w:rsidRPr="00000000">
        <w:rPr>
          <w:rtl w:val="0"/>
        </w:rPr>
      </w:r>
    </w:p>
    <w:p w:rsidR="00000000" w:rsidDel="00000000" w:rsidP="00000000" w:rsidRDefault="00000000" w:rsidRPr="00000000" w14:paraId="00000003">
      <w:pPr>
        <w:keepNext w:val="1"/>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2"/>
        </w:tabs>
        <w:spacing w:after="120" w:before="120" w:line="240" w:lineRule="auto"/>
        <w:ind w:left="426" w:right="0" w:hanging="42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When you should use this Schedule</w:t>
      </w:r>
      <w:r w:rsidDel="00000000" w:rsidR="00000000" w:rsidRPr="00000000">
        <w:rPr>
          <w:rtl w:val="0"/>
        </w:rPr>
      </w:r>
    </w:p>
    <w:p w:rsidR="00000000" w:rsidDel="00000000" w:rsidP="00000000" w:rsidRDefault="00000000" w:rsidRPr="00000000" w14:paraId="0000000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1134" w:right="0" w:hanging="708"/>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This Schedule is required where various Other Contracting Authorities want to join with the Buyer to efficiently contract collectively under a single Call-Off Contract rather than as separate individual Buyers under separate Call-Off Contracts. </w:t>
      </w:r>
    </w:p>
    <w:p w:rsidR="00000000" w:rsidDel="00000000" w:rsidP="00000000" w:rsidRDefault="00000000" w:rsidRPr="00000000" w14:paraId="00000005">
      <w:pPr>
        <w:keepNext w:val="1"/>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2"/>
        </w:tabs>
        <w:spacing w:after="120" w:before="120" w:line="240" w:lineRule="auto"/>
        <w:ind w:left="426" w:right="0" w:hanging="42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Definitions </w:t>
      </w:r>
      <w:r w:rsidDel="00000000" w:rsidR="00000000" w:rsidRPr="00000000">
        <w:rPr>
          <w:rtl w:val="0"/>
        </w:rPr>
      </w:r>
    </w:p>
    <w:p w:rsidR="00000000" w:rsidDel="00000000" w:rsidP="00000000" w:rsidRDefault="00000000" w:rsidRPr="00000000" w14:paraId="0000000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1134" w:right="0" w:hanging="708"/>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“Cluster Members"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means a person named as such in the Annex A to this Schedule which shall be incorporated into the Order Form. </w:t>
      </w:r>
    </w:p>
    <w:p w:rsidR="00000000" w:rsidDel="00000000" w:rsidP="00000000" w:rsidRDefault="00000000" w:rsidRPr="00000000" w14:paraId="00000007">
      <w:pPr>
        <w:keepNext w:val="1"/>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2"/>
        </w:tabs>
        <w:spacing w:after="120" w:before="120" w:line="240" w:lineRule="auto"/>
        <w:ind w:left="426" w:right="0" w:hanging="42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Cluster Members benefits under the Contract</w:t>
      </w:r>
      <w:r w:rsidDel="00000000" w:rsidR="00000000" w:rsidRPr="00000000">
        <w:rPr>
          <w:rtl w:val="0"/>
        </w:rPr>
      </w:r>
    </w:p>
    <w:p w:rsidR="00000000" w:rsidDel="00000000" w:rsidP="00000000" w:rsidRDefault="00000000" w:rsidRPr="00000000" w14:paraId="0000000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1134" w:right="0" w:hanging="708"/>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Buyer has entered into the Call-Off Contract both for its own benefit and for the benefit the Cluster Members.  </w:t>
      </w:r>
    </w:p>
    <w:p w:rsidR="00000000" w:rsidDel="00000000" w:rsidP="00000000" w:rsidRDefault="00000000" w:rsidRPr="00000000" w14:paraId="0000000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1134" w:right="0" w:hanging="708"/>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Cluster Members who are to benefit under the Call-Off Contract are identified in Annex A to this Schedule which shall be included into Order Form.</w:t>
      </w:r>
    </w:p>
    <w:p w:rsidR="00000000" w:rsidDel="00000000" w:rsidP="00000000" w:rsidRDefault="00000000" w:rsidRPr="00000000" w14:paraId="0000000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1134" w:right="0" w:hanging="708"/>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uhaqyrmh4mpm" w:id="1"/>
      <w:bookmarkEnd w:id="1"/>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Cluster Members shall have all of the rights granted to the Buyer under a Call-Off Contract as if they had been parties to the Call-Off Contract themselves. Accordingly, where the context requires in order to assure the Cluster Members rights and benefits under a Call-Off Contract, and unless the Buyer otherwise specifies, references to the Buyer in a Call-Off Contract (including those references to a Party which are intended to relate to the Buyer) shall be deemed to include a reference to the Cluster Members.</w:t>
      </w:r>
    </w:p>
    <w:p w:rsidR="00000000" w:rsidDel="00000000" w:rsidP="00000000" w:rsidRDefault="00000000" w:rsidRPr="00000000" w14:paraId="0000000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1134" w:right="0" w:hanging="708"/>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30j0zll" w:id="2"/>
      <w:bookmarkEnd w:id="2"/>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Each of the Cluster Members will be a third party beneficiary for the purposes of the CRTPA and may enforce the relevant provisions of a Call-Off Contract pursuant to CRTPA.  </w:t>
      </w:r>
    </w:p>
    <w:p w:rsidR="00000000" w:rsidDel="00000000" w:rsidP="00000000" w:rsidRDefault="00000000" w:rsidRPr="00000000" w14:paraId="0000000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1134" w:right="0" w:hanging="708"/>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Parties to a Call-Off Contract may in accordance with its provisions vary, terminate or rescind that Call-Off Contract or any part of it, without the consent of any Cluster Member.</w:t>
      </w:r>
    </w:p>
    <w:p w:rsidR="00000000" w:rsidDel="00000000" w:rsidP="00000000" w:rsidRDefault="00000000" w:rsidRPr="00000000" w14:paraId="0000000D">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1134" w:right="0" w:hanging="708"/>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1fob9te" w:id="3"/>
      <w:bookmarkEnd w:id="3"/>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enforcement rights granted to Cluster Members under Paragraph 3.4 are subject to the following provisions: </w:t>
      </w:r>
    </w:p>
    <w:p w:rsidR="00000000" w:rsidDel="00000000" w:rsidP="00000000" w:rsidRDefault="00000000" w:rsidRPr="00000000" w14:paraId="0000000E">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985"/>
          <w:tab w:val="left" w:leader="none" w:pos="2127"/>
        </w:tabs>
        <w:spacing w:after="120" w:before="120" w:line="240" w:lineRule="auto"/>
        <w:ind w:left="1985" w:right="0" w:hanging="851"/>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3znysh7" w:id="4"/>
      <w:bookmarkEnd w:id="4"/>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Buyer may enforce any provision of a Call-Off Contract on behalf of a Cluster Member; </w:t>
      </w:r>
    </w:p>
    <w:p w:rsidR="00000000" w:rsidDel="00000000" w:rsidP="00000000" w:rsidRDefault="00000000" w:rsidRPr="00000000" w14:paraId="0000000F">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985"/>
          <w:tab w:val="left" w:leader="none" w:pos="2127"/>
        </w:tabs>
        <w:spacing w:after="120" w:before="120" w:line="240" w:lineRule="auto"/>
        <w:ind w:left="1985" w:right="0" w:hanging="851"/>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any claim from a Cluster Member under the CRTPA to enforce a Call-Off Contract shall be brought by the Buyer if reasonably practicable for the Buyer and Cluster Member to do so; </w:t>
      </w:r>
    </w:p>
    <w:p w:rsidR="00000000" w:rsidDel="00000000" w:rsidP="00000000" w:rsidRDefault="00000000" w:rsidRPr="00000000" w14:paraId="00000010">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985"/>
          <w:tab w:val="left" w:leader="none" w:pos="2127"/>
        </w:tabs>
        <w:spacing w:after="120" w:before="120" w:line="240" w:lineRule="auto"/>
        <w:ind w:left="1985" w:right="0" w:hanging="851"/>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Buyer will ensure that Cluster Members comply with the Dispute Resolution Procedure in respect of any Disputes that involve a Cluster Member; and</w:t>
      </w:r>
    </w:p>
    <w:p w:rsidR="00000000" w:rsidDel="00000000" w:rsidP="00000000" w:rsidRDefault="00000000" w:rsidRPr="00000000" w14:paraId="00000011">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985"/>
          <w:tab w:val="left" w:leader="none" w:pos="2127"/>
        </w:tabs>
        <w:spacing w:after="120" w:before="120" w:line="240" w:lineRule="auto"/>
        <w:ind w:left="1985" w:right="0" w:hanging="851"/>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 respect of any claim(s) to enforce a Call-Off Contract made by the Buyer on behalf of a Cluster Member and to any claim(s) to enforce a Call-Off Contract made by a Cluster Member acting on its own behalf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"Cluster Member claims"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2">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tabs>
          <w:tab w:val="left" w:leader="none" w:pos="1985"/>
          <w:tab w:val="left" w:leader="none" w:pos="2835"/>
          <w:tab w:val="left" w:leader="none" w:pos="3402"/>
        </w:tabs>
        <w:spacing w:after="120" w:before="120" w:line="240" w:lineRule="auto"/>
        <w:ind w:left="2835" w:right="0" w:hanging="8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any exclusions of the Supplier's liability in the Call-Off Contract shall apply, where applicable, to any Cluster Member claims; and</w:t>
      </w:r>
    </w:p>
    <w:p w:rsidR="00000000" w:rsidDel="00000000" w:rsidP="00000000" w:rsidRDefault="00000000" w:rsidRPr="00000000" w14:paraId="00000013">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tabs>
          <w:tab w:val="left" w:leader="none" w:pos="1985"/>
          <w:tab w:val="left" w:leader="none" w:pos="2835"/>
        </w:tabs>
        <w:spacing w:after="120" w:before="120" w:line="240" w:lineRule="auto"/>
        <w:ind w:left="2835" w:right="0" w:hanging="8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any financial limits on the Supplier's liability in the Call-Off Contract shall apply on a per-Cluster Member basis in respect of the Supplier's liability for any Cluster Member claims, and not on an aggregate basis across all Cluster Members.</w:t>
      </w:r>
    </w:p>
    <w:p w:rsidR="00000000" w:rsidDel="00000000" w:rsidP="00000000" w:rsidRDefault="00000000" w:rsidRPr="00000000" w14:paraId="00000014">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1134" w:right="0" w:hanging="708"/>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1g43h9mig4gv" w:id="5"/>
      <w:bookmarkEnd w:id="5"/>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Other terms and conditions applicable to the provision of the Deliverables to any Cluster Member are as follows:</w:t>
      </w:r>
    </w:p>
    <w:p w:rsidR="00000000" w:rsidDel="00000000" w:rsidP="00000000" w:rsidRDefault="00000000" w:rsidRPr="00000000" w14:paraId="00000015">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985"/>
          <w:tab w:val="left" w:leader="none" w:pos="2127"/>
        </w:tabs>
        <w:spacing w:after="120" w:before="120" w:line="240" w:lineRule="auto"/>
        <w:ind w:left="1985" w:right="0" w:hanging="851"/>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if a Cluster Member needs to comply with an obligation or responsibility of the Buyer to allow the Supplier to provide the Deliverables, the Buyer will remain responsible for this compliance, but compliance by the Cluster Member will be deemed to be compliance by the Buyer; and</w:t>
      </w:r>
    </w:p>
    <w:p w:rsidR="00000000" w:rsidDel="00000000" w:rsidP="00000000" w:rsidRDefault="00000000" w:rsidRPr="00000000" w14:paraId="00000016">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985"/>
          <w:tab w:val="left" w:leader="none" w:pos="2127"/>
        </w:tabs>
        <w:spacing w:after="120" w:before="120" w:line="240" w:lineRule="auto"/>
        <w:ind w:left="1985" w:right="0" w:hanging="851"/>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 the extent that a Cluster Member receives the benefit of the Services, the term "Government Data" will be deemed to extend to any data of the Cluster Member.</w:t>
      </w:r>
    </w:p>
    <w:p w:rsidR="00000000" w:rsidDel="00000000" w:rsidP="00000000" w:rsidRDefault="00000000" w:rsidRPr="00000000" w14:paraId="00000017">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1134" w:right="0" w:hanging="708"/>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Notwithstanding that Cluster Members shall each receive the same Services from the Supplier the following adjustments will apply in relation to how the Call-Off Contract will operate in relation to the Buyer and Cluster Members:</w:t>
      </w:r>
    </w:p>
    <w:p w:rsidR="00000000" w:rsidDel="00000000" w:rsidP="00000000" w:rsidRDefault="00000000" w:rsidRPr="00000000" w14:paraId="0000001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985"/>
          <w:tab w:val="left" w:leader="none" w:pos="2127"/>
        </w:tabs>
        <w:spacing w:after="120" w:before="120" w:line="240" w:lineRule="auto"/>
        <w:ind w:left="1985" w:right="0" w:hanging="851"/>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Services will be provided by the Supplier to each Cluster Member and Buyer separately; </w:t>
      </w:r>
    </w:p>
    <w:p w:rsidR="00000000" w:rsidDel="00000000" w:rsidP="00000000" w:rsidRDefault="00000000" w:rsidRPr="00000000" w14:paraId="00000019">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985"/>
          <w:tab w:val="left" w:leader="none" w:pos="2127"/>
        </w:tabs>
        <w:spacing w:after="120" w:before="120" w:line="240" w:lineRule="auto"/>
        <w:ind w:left="1985" w:right="0" w:hanging="851"/>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Supplier's obligation in regards to reporting will be owed to each Cluster Member and Buyer separately;</w:t>
      </w:r>
    </w:p>
    <w:p w:rsidR="00000000" w:rsidDel="00000000" w:rsidP="00000000" w:rsidRDefault="00000000" w:rsidRPr="00000000" w14:paraId="0000001A">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985"/>
          <w:tab w:val="left" w:leader="none" w:pos="2127"/>
        </w:tabs>
        <w:spacing w:after="120" w:before="120" w:line="240" w:lineRule="auto"/>
        <w:ind w:left="1985" w:right="0" w:hanging="851"/>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Buyer and Cluster Members shall be entitled to separate invoices in respect of the provision of Deliverables; </w:t>
      </w:r>
    </w:p>
    <w:p w:rsidR="00000000" w:rsidDel="00000000" w:rsidP="00000000" w:rsidRDefault="00000000" w:rsidRPr="00000000" w14:paraId="0000001B">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985"/>
          <w:tab w:val="left" w:leader="none" w:pos="2127"/>
        </w:tabs>
        <w:spacing w:after="120" w:before="120" w:line="240" w:lineRule="auto"/>
        <w:ind w:left="1985" w:right="0" w:hanging="851"/>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separate invoices will correlate to the Deliverables provided to the respective Buyer and Cluster Members;</w:t>
      </w:r>
    </w:p>
    <w:p w:rsidR="00000000" w:rsidDel="00000000" w:rsidP="00000000" w:rsidRDefault="00000000" w:rsidRPr="00000000" w14:paraId="0000001C">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985"/>
          <w:tab w:val="left" w:leader="none" w:pos="2127"/>
        </w:tabs>
        <w:spacing w:after="120" w:before="120" w:line="240" w:lineRule="auto"/>
        <w:ind w:left="1985" w:right="0" w:hanging="851"/>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Charges to be paid for the Deliverables shall be calculated on a per Cluster Member and Buyer basis and each Cluster Member and the Buyer shall be responsible for paying their respective Charges;</w:t>
      </w:r>
    </w:p>
    <w:p w:rsidR="00000000" w:rsidDel="00000000" w:rsidP="00000000" w:rsidRDefault="00000000" w:rsidRPr="00000000" w14:paraId="0000001D">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985"/>
          <w:tab w:val="left" w:leader="none" w:pos="2127"/>
        </w:tabs>
        <w:spacing w:after="120" w:before="120" w:line="240" w:lineRule="auto"/>
        <w:ind w:left="1985" w:right="0" w:hanging="851"/>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Key Performance Indicators and corresponding Service Credits will be calculated in respect of each Cluster Member and Buyer, and they will be reported and deducted against Charges due by each respective Cluster Member and Buyer; and</w:t>
      </w:r>
    </w:p>
    <w:p w:rsidR="00000000" w:rsidDel="00000000" w:rsidP="00000000" w:rsidRDefault="00000000" w:rsidRPr="00000000" w14:paraId="0000001E">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985"/>
          <w:tab w:val="left" w:leader="none" w:pos="2127"/>
        </w:tabs>
        <w:spacing w:after="120" w:before="120" w:line="240" w:lineRule="auto"/>
        <w:ind w:left="1985" w:right="0" w:hanging="851"/>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such further adjustments as the Buyer and each Cluster Member may notify to the Supplier from time to time.</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985"/>
          <w:tab w:val="left" w:leader="none" w:pos="2127"/>
        </w:tabs>
        <w:spacing w:after="120" w:before="120" w:line="240" w:lineRule="auto"/>
        <w:ind w:left="907" w:right="0" w:hanging="8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0">
      <w:pPr>
        <w:pageBreakBefore w:val="1"/>
        <w:pBdr>
          <w:top w:space="0" w:sz="0" w:val="nil"/>
          <w:left w:space="0" w:sz="0" w:val="nil"/>
          <w:bottom w:space="0" w:sz="0" w:val="nil"/>
          <w:right w:space="0" w:sz="0" w:val="nil"/>
          <w:between w:space="0" w:sz="0" w:val="nil"/>
        </w:pBdr>
        <w:spacing w:after="120" w:before="120" w:line="240" w:lineRule="auto"/>
        <w:rPr>
          <w:b w:val="1"/>
          <w:color w:val="000000"/>
          <w:sz w:val="36"/>
          <w:szCs w:val="36"/>
        </w:rPr>
      </w:pPr>
      <w:r w:rsidDel="00000000" w:rsidR="00000000" w:rsidRPr="00000000">
        <w:rPr>
          <w:b w:val="1"/>
          <w:color w:val="000000"/>
          <w:sz w:val="36"/>
          <w:szCs w:val="36"/>
          <w:rtl w:val="0"/>
        </w:rPr>
        <w:t xml:space="preserve">Annex </w:t>
      </w:r>
      <w:bookmarkStart w:colFirst="0" w:colLast="0" w:name="bookmark=id.zekkj0exrpev" w:id="6"/>
      <w:bookmarkEnd w:id="6"/>
      <w:r w:rsidDel="00000000" w:rsidR="00000000" w:rsidRPr="00000000">
        <w:rPr>
          <w:b w:val="1"/>
          <w:color w:val="000000"/>
          <w:sz w:val="36"/>
          <w:szCs w:val="36"/>
          <w:rtl w:val="0"/>
        </w:rPr>
        <w:t xml:space="preserve">A – Cluster Members</w:t>
      </w:r>
    </w:p>
    <w:p w:rsidR="00000000" w:rsidDel="00000000" w:rsidP="00000000" w:rsidRDefault="00000000" w:rsidRPr="00000000" w14:paraId="00000021">
      <w:pPr>
        <w:keepNext w:val="1"/>
        <w:spacing w:after="120" w:before="120" w:line="240" w:lineRule="auto"/>
        <w:rPr/>
      </w:pPr>
      <w:r w:rsidDel="00000000" w:rsidR="00000000" w:rsidRPr="00000000">
        <w:rPr>
          <w:rtl w:val="0"/>
        </w:rPr>
        <w:t xml:space="preserve">The Deliverables shall also be provided for the benefit of the following Cluster Members:</w:t>
      </w:r>
    </w:p>
    <w:tbl>
      <w:tblPr>
        <w:tblStyle w:val="Table1"/>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54"/>
        <w:gridCol w:w="2254"/>
        <w:gridCol w:w="2254"/>
        <w:gridCol w:w="2254"/>
        <w:tblGridChange w:id="0">
          <w:tblGrid>
            <w:gridCol w:w="2254"/>
            <w:gridCol w:w="2254"/>
            <w:gridCol w:w="2254"/>
            <w:gridCol w:w="2254"/>
          </w:tblGrid>
        </w:tblGridChange>
      </w:tblGrid>
      <w:tr>
        <w:trPr>
          <w:cantSplit w:val="0"/>
          <w:tblHeader w:val="0"/>
        </w:trPr>
        <w:tc>
          <w:tcPr/>
          <w:p w:rsidR="00000000" w:rsidDel="00000000" w:rsidP="00000000" w:rsidRDefault="00000000" w:rsidRPr="00000000" w14:paraId="00000022">
            <w:pPr>
              <w:keepNext w:val="1"/>
              <w:keepLines w:val="1"/>
              <w:spacing w:after="120" w:before="120" w:line="240" w:lineRule="auto"/>
              <w:rPr/>
            </w:pPr>
            <w:r w:rsidDel="00000000" w:rsidR="00000000" w:rsidRPr="00000000">
              <w:rPr>
                <w:rtl w:val="0"/>
              </w:rPr>
              <w:t xml:space="preserve">Name of Cluster Member</w:t>
            </w:r>
          </w:p>
        </w:tc>
        <w:tc>
          <w:tcPr/>
          <w:p w:rsidR="00000000" w:rsidDel="00000000" w:rsidP="00000000" w:rsidRDefault="00000000" w:rsidRPr="00000000" w14:paraId="00000023">
            <w:pPr>
              <w:keepNext w:val="1"/>
              <w:keepLines w:val="1"/>
              <w:spacing w:after="120" w:before="120" w:line="240" w:lineRule="auto"/>
              <w:rPr/>
            </w:pPr>
            <w:r w:rsidDel="00000000" w:rsidR="00000000" w:rsidRPr="00000000">
              <w:rPr>
                <w:rtl w:val="0"/>
              </w:rPr>
              <w:t xml:space="preserve">Services to be provided</w:t>
            </w:r>
          </w:p>
        </w:tc>
        <w:tc>
          <w:tcPr/>
          <w:p w:rsidR="00000000" w:rsidDel="00000000" w:rsidP="00000000" w:rsidRDefault="00000000" w:rsidRPr="00000000" w14:paraId="00000024">
            <w:pPr>
              <w:keepNext w:val="1"/>
              <w:keepLines w:val="1"/>
              <w:spacing w:after="120" w:before="120" w:line="240" w:lineRule="auto"/>
              <w:rPr/>
            </w:pPr>
            <w:r w:rsidDel="00000000" w:rsidR="00000000" w:rsidRPr="00000000">
              <w:rPr>
                <w:rtl w:val="0"/>
              </w:rPr>
              <w:t xml:space="preserve">Duration</w:t>
            </w:r>
          </w:p>
        </w:tc>
        <w:tc>
          <w:tcPr/>
          <w:p w:rsidR="00000000" w:rsidDel="00000000" w:rsidP="00000000" w:rsidRDefault="00000000" w:rsidRPr="00000000" w14:paraId="00000025">
            <w:pPr>
              <w:keepNext w:val="1"/>
              <w:keepLines w:val="1"/>
              <w:spacing w:after="120" w:before="120" w:line="240" w:lineRule="auto"/>
              <w:rPr/>
            </w:pPr>
            <w:r w:rsidDel="00000000" w:rsidR="00000000" w:rsidRPr="00000000">
              <w:rPr>
                <w:rtl w:val="0"/>
              </w:rPr>
              <w:t xml:space="preserve">Special Terms</w:t>
            </w:r>
          </w:p>
        </w:tc>
      </w:tr>
      <w:tr>
        <w:trPr>
          <w:cantSplit w:val="0"/>
          <w:tblHeader w:val="0"/>
        </w:trPr>
        <w:tc>
          <w:tcPr/>
          <w:p w:rsidR="00000000" w:rsidDel="00000000" w:rsidP="00000000" w:rsidRDefault="00000000" w:rsidRPr="00000000" w14:paraId="00000026">
            <w:pPr>
              <w:keepNext w:val="1"/>
              <w:keepLines w:val="1"/>
              <w:spacing w:after="120" w:before="120" w:line="240" w:lineRule="auto"/>
              <w:jc w:val="center"/>
              <w:rPr>
                <w:highlight w:val="yellow"/>
              </w:rPr>
            </w:pPr>
            <w:r w:rsidDel="00000000" w:rsidR="00000000" w:rsidRPr="00000000">
              <w:rPr>
                <w:highlight w:val="yellow"/>
                <w:rtl w:val="0"/>
              </w:rPr>
              <w:t xml:space="preserve">[  ]</w:t>
            </w:r>
          </w:p>
        </w:tc>
        <w:tc>
          <w:tcPr/>
          <w:p w:rsidR="00000000" w:rsidDel="00000000" w:rsidP="00000000" w:rsidRDefault="00000000" w:rsidRPr="00000000" w14:paraId="00000027">
            <w:pPr>
              <w:keepNext w:val="1"/>
              <w:keepLines w:val="1"/>
              <w:spacing w:after="120" w:before="120" w:line="240" w:lineRule="auto"/>
              <w:jc w:val="center"/>
              <w:rPr>
                <w:highlight w:val="yellow"/>
              </w:rPr>
            </w:pPr>
            <w:r w:rsidDel="00000000" w:rsidR="00000000" w:rsidRPr="00000000">
              <w:rPr>
                <w:highlight w:val="yellow"/>
                <w:rtl w:val="0"/>
              </w:rPr>
              <w:t xml:space="preserve">[  ]</w:t>
            </w:r>
          </w:p>
        </w:tc>
        <w:tc>
          <w:tcPr/>
          <w:p w:rsidR="00000000" w:rsidDel="00000000" w:rsidP="00000000" w:rsidRDefault="00000000" w:rsidRPr="00000000" w14:paraId="00000028">
            <w:pPr>
              <w:keepNext w:val="1"/>
              <w:keepLines w:val="1"/>
              <w:spacing w:after="120" w:before="120" w:line="240" w:lineRule="auto"/>
              <w:jc w:val="center"/>
              <w:rPr>
                <w:highlight w:val="yellow"/>
              </w:rPr>
            </w:pPr>
            <w:r w:rsidDel="00000000" w:rsidR="00000000" w:rsidRPr="00000000">
              <w:rPr>
                <w:highlight w:val="yellow"/>
                <w:rtl w:val="0"/>
              </w:rPr>
              <w:t xml:space="preserve">[  ]</w:t>
            </w:r>
          </w:p>
        </w:tc>
        <w:tc>
          <w:tcPr/>
          <w:p w:rsidR="00000000" w:rsidDel="00000000" w:rsidP="00000000" w:rsidRDefault="00000000" w:rsidRPr="00000000" w14:paraId="00000029">
            <w:pPr>
              <w:keepNext w:val="1"/>
              <w:keepLines w:val="1"/>
              <w:spacing w:after="120" w:before="120" w:line="240" w:lineRule="auto"/>
              <w:jc w:val="center"/>
              <w:rPr>
                <w:highlight w:val="yellow"/>
              </w:rPr>
            </w:pPr>
            <w:r w:rsidDel="00000000" w:rsidR="00000000" w:rsidRPr="00000000">
              <w:rPr>
                <w:highlight w:val="yellow"/>
                <w:rtl w:val="0"/>
              </w:rPr>
              <w:t xml:space="preserve">[  ]</w:t>
            </w:r>
          </w:p>
        </w:tc>
      </w:tr>
      <w:tr>
        <w:trPr>
          <w:cantSplit w:val="0"/>
          <w:tblHeader w:val="0"/>
        </w:trPr>
        <w:tc>
          <w:tcPr/>
          <w:p w:rsidR="00000000" w:rsidDel="00000000" w:rsidP="00000000" w:rsidRDefault="00000000" w:rsidRPr="00000000" w14:paraId="0000002A">
            <w:pPr>
              <w:keepNext w:val="1"/>
              <w:keepLines w:val="1"/>
              <w:spacing w:after="120" w:before="120" w:line="240" w:lineRule="auto"/>
              <w:jc w:val="center"/>
              <w:rPr>
                <w:highlight w:val="yellow"/>
              </w:rPr>
            </w:pPr>
            <w:r w:rsidDel="00000000" w:rsidR="00000000" w:rsidRPr="00000000">
              <w:rPr>
                <w:highlight w:val="yellow"/>
                <w:rtl w:val="0"/>
              </w:rPr>
              <w:t xml:space="preserve">[  ]</w:t>
            </w:r>
          </w:p>
        </w:tc>
        <w:tc>
          <w:tcPr/>
          <w:p w:rsidR="00000000" w:rsidDel="00000000" w:rsidP="00000000" w:rsidRDefault="00000000" w:rsidRPr="00000000" w14:paraId="0000002B">
            <w:pPr>
              <w:keepNext w:val="1"/>
              <w:keepLines w:val="1"/>
              <w:spacing w:after="120" w:before="120" w:line="240" w:lineRule="auto"/>
              <w:jc w:val="center"/>
              <w:rPr>
                <w:highlight w:val="yellow"/>
              </w:rPr>
            </w:pPr>
            <w:r w:rsidDel="00000000" w:rsidR="00000000" w:rsidRPr="00000000">
              <w:rPr>
                <w:highlight w:val="yellow"/>
                <w:rtl w:val="0"/>
              </w:rPr>
              <w:t xml:space="preserve">[  ]</w:t>
            </w:r>
          </w:p>
        </w:tc>
        <w:tc>
          <w:tcPr/>
          <w:p w:rsidR="00000000" w:rsidDel="00000000" w:rsidP="00000000" w:rsidRDefault="00000000" w:rsidRPr="00000000" w14:paraId="0000002C">
            <w:pPr>
              <w:keepNext w:val="1"/>
              <w:keepLines w:val="1"/>
              <w:spacing w:after="120" w:before="120" w:line="240" w:lineRule="auto"/>
              <w:jc w:val="center"/>
              <w:rPr>
                <w:highlight w:val="yellow"/>
              </w:rPr>
            </w:pPr>
            <w:r w:rsidDel="00000000" w:rsidR="00000000" w:rsidRPr="00000000">
              <w:rPr>
                <w:highlight w:val="yellow"/>
                <w:rtl w:val="0"/>
              </w:rPr>
              <w:t xml:space="preserve">[  ]</w:t>
            </w:r>
          </w:p>
        </w:tc>
        <w:tc>
          <w:tcPr/>
          <w:p w:rsidR="00000000" w:rsidDel="00000000" w:rsidP="00000000" w:rsidRDefault="00000000" w:rsidRPr="00000000" w14:paraId="0000002D">
            <w:pPr>
              <w:keepNext w:val="1"/>
              <w:keepLines w:val="1"/>
              <w:spacing w:after="120" w:before="120" w:line="240" w:lineRule="auto"/>
              <w:jc w:val="center"/>
              <w:rPr>
                <w:highlight w:val="yellow"/>
              </w:rPr>
            </w:pPr>
            <w:r w:rsidDel="00000000" w:rsidR="00000000" w:rsidRPr="00000000">
              <w:rPr>
                <w:highlight w:val="yellow"/>
                <w:rtl w:val="0"/>
              </w:rPr>
              <w:t xml:space="preserve">[  ]</w:t>
            </w:r>
          </w:p>
        </w:tc>
      </w:tr>
      <w:tr>
        <w:trPr>
          <w:cantSplit w:val="0"/>
          <w:tblHeader w:val="0"/>
        </w:trPr>
        <w:tc>
          <w:tcPr/>
          <w:p w:rsidR="00000000" w:rsidDel="00000000" w:rsidP="00000000" w:rsidRDefault="00000000" w:rsidRPr="00000000" w14:paraId="0000002E">
            <w:pPr>
              <w:keepNext w:val="1"/>
              <w:keepLines w:val="1"/>
              <w:spacing w:after="120" w:before="120" w:line="240" w:lineRule="auto"/>
              <w:jc w:val="center"/>
              <w:rPr>
                <w:highlight w:val="yellow"/>
              </w:rPr>
            </w:pPr>
            <w:r w:rsidDel="00000000" w:rsidR="00000000" w:rsidRPr="00000000">
              <w:rPr>
                <w:highlight w:val="yellow"/>
                <w:rtl w:val="0"/>
              </w:rPr>
              <w:t xml:space="preserve">[  ]</w:t>
            </w:r>
          </w:p>
        </w:tc>
        <w:tc>
          <w:tcPr/>
          <w:p w:rsidR="00000000" w:rsidDel="00000000" w:rsidP="00000000" w:rsidRDefault="00000000" w:rsidRPr="00000000" w14:paraId="0000002F">
            <w:pPr>
              <w:keepNext w:val="1"/>
              <w:keepLines w:val="1"/>
              <w:spacing w:after="120" w:before="120" w:line="240" w:lineRule="auto"/>
              <w:jc w:val="center"/>
              <w:rPr>
                <w:highlight w:val="yellow"/>
              </w:rPr>
            </w:pPr>
            <w:r w:rsidDel="00000000" w:rsidR="00000000" w:rsidRPr="00000000">
              <w:rPr>
                <w:highlight w:val="yellow"/>
                <w:rtl w:val="0"/>
              </w:rPr>
              <w:t xml:space="preserve">[  ]</w:t>
            </w:r>
          </w:p>
        </w:tc>
        <w:tc>
          <w:tcPr/>
          <w:p w:rsidR="00000000" w:rsidDel="00000000" w:rsidP="00000000" w:rsidRDefault="00000000" w:rsidRPr="00000000" w14:paraId="00000030">
            <w:pPr>
              <w:keepNext w:val="1"/>
              <w:keepLines w:val="1"/>
              <w:spacing w:after="120" w:before="120" w:line="240" w:lineRule="auto"/>
              <w:jc w:val="center"/>
              <w:rPr>
                <w:highlight w:val="yellow"/>
              </w:rPr>
            </w:pPr>
            <w:r w:rsidDel="00000000" w:rsidR="00000000" w:rsidRPr="00000000">
              <w:rPr>
                <w:highlight w:val="yellow"/>
                <w:rtl w:val="0"/>
              </w:rPr>
              <w:t xml:space="preserve">[  ]</w:t>
            </w:r>
          </w:p>
        </w:tc>
        <w:tc>
          <w:tcPr/>
          <w:p w:rsidR="00000000" w:rsidDel="00000000" w:rsidP="00000000" w:rsidRDefault="00000000" w:rsidRPr="00000000" w14:paraId="00000031">
            <w:pPr>
              <w:keepNext w:val="1"/>
              <w:keepLines w:val="1"/>
              <w:spacing w:after="120" w:before="120" w:line="240" w:lineRule="auto"/>
              <w:jc w:val="center"/>
              <w:rPr>
                <w:highlight w:val="yellow"/>
              </w:rPr>
            </w:pPr>
            <w:r w:rsidDel="00000000" w:rsidR="00000000" w:rsidRPr="00000000">
              <w:rPr>
                <w:highlight w:val="yellow"/>
                <w:rtl w:val="0"/>
              </w:rPr>
              <w:t xml:space="preserve">[  ]</w:t>
            </w:r>
          </w:p>
        </w:tc>
      </w:tr>
      <w:tr>
        <w:trPr>
          <w:cantSplit w:val="0"/>
          <w:tblHeader w:val="0"/>
        </w:trPr>
        <w:tc>
          <w:tcPr/>
          <w:p w:rsidR="00000000" w:rsidDel="00000000" w:rsidP="00000000" w:rsidRDefault="00000000" w:rsidRPr="00000000" w14:paraId="00000032">
            <w:pPr>
              <w:keepNext w:val="1"/>
              <w:keepLines w:val="1"/>
              <w:spacing w:after="120" w:before="120" w:line="240" w:lineRule="auto"/>
              <w:jc w:val="center"/>
              <w:rPr>
                <w:highlight w:val="yellow"/>
              </w:rPr>
            </w:pPr>
            <w:r w:rsidDel="00000000" w:rsidR="00000000" w:rsidRPr="00000000">
              <w:rPr>
                <w:highlight w:val="yellow"/>
                <w:rtl w:val="0"/>
              </w:rPr>
              <w:t xml:space="preserve">[  ]</w:t>
            </w:r>
          </w:p>
        </w:tc>
        <w:tc>
          <w:tcPr/>
          <w:p w:rsidR="00000000" w:rsidDel="00000000" w:rsidP="00000000" w:rsidRDefault="00000000" w:rsidRPr="00000000" w14:paraId="00000033">
            <w:pPr>
              <w:keepNext w:val="1"/>
              <w:keepLines w:val="1"/>
              <w:spacing w:after="120" w:before="120" w:line="240" w:lineRule="auto"/>
              <w:jc w:val="center"/>
              <w:rPr>
                <w:highlight w:val="yellow"/>
              </w:rPr>
            </w:pPr>
            <w:r w:rsidDel="00000000" w:rsidR="00000000" w:rsidRPr="00000000">
              <w:rPr>
                <w:highlight w:val="yellow"/>
                <w:rtl w:val="0"/>
              </w:rPr>
              <w:t xml:space="preserve">[  ]</w:t>
            </w:r>
          </w:p>
        </w:tc>
        <w:tc>
          <w:tcPr/>
          <w:p w:rsidR="00000000" w:rsidDel="00000000" w:rsidP="00000000" w:rsidRDefault="00000000" w:rsidRPr="00000000" w14:paraId="00000034">
            <w:pPr>
              <w:keepNext w:val="1"/>
              <w:keepLines w:val="1"/>
              <w:spacing w:after="120" w:before="120" w:line="240" w:lineRule="auto"/>
              <w:jc w:val="center"/>
              <w:rPr>
                <w:highlight w:val="yellow"/>
              </w:rPr>
            </w:pPr>
            <w:r w:rsidDel="00000000" w:rsidR="00000000" w:rsidRPr="00000000">
              <w:rPr>
                <w:highlight w:val="yellow"/>
                <w:rtl w:val="0"/>
              </w:rPr>
              <w:t xml:space="preserve">[  ]</w:t>
            </w:r>
          </w:p>
        </w:tc>
        <w:tc>
          <w:tcPr/>
          <w:p w:rsidR="00000000" w:rsidDel="00000000" w:rsidP="00000000" w:rsidRDefault="00000000" w:rsidRPr="00000000" w14:paraId="00000035">
            <w:pPr>
              <w:keepNext w:val="1"/>
              <w:keepLines w:val="1"/>
              <w:spacing w:after="120" w:before="120" w:line="240" w:lineRule="auto"/>
              <w:jc w:val="center"/>
              <w:rPr>
                <w:highlight w:val="yellow"/>
              </w:rPr>
            </w:pPr>
            <w:r w:rsidDel="00000000" w:rsidR="00000000" w:rsidRPr="00000000">
              <w:rPr>
                <w:highlight w:val="yellow"/>
                <w:rtl w:val="0"/>
              </w:rPr>
              <w:t xml:space="preserve">[  ]</w:t>
            </w:r>
          </w:p>
        </w:tc>
      </w:tr>
    </w:tbl>
    <w:p w:rsidR="00000000" w:rsidDel="00000000" w:rsidP="00000000" w:rsidRDefault="00000000" w:rsidRPr="00000000" w14:paraId="00000036">
      <w:pPr>
        <w:spacing w:after="120" w:before="120" w:line="240" w:lineRule="auto"/>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E">
    <w:pPr>
      <w:tabs>
        <w:tab w:val="center" w:leader="none" w:pos="4513"/>
        <w:tab w:val="right" w:leader="none" w:pos="9026"/>
      </w:tabs>
      <w:spacing w:after="0" w:line="240" w:lineRule="auto"/>
      <w:rPr>
        <w:sz w:val="20"/>
        <w:szCs w:val="20"/>
      </w:rPr>
    </w:pPr>
    <w:r w:rsidDel="00000000" w:rsidR="00000000" w:rsidRPr="00000000">
      <w:rPr>
        <w:rtl w:val="0"/>
      </w:rPr>
    </w:r>
  </w:p>
  <w:p w:rsidR="00000000" w:rsidDel="00000000" w:rsidP="00000000" w:rsidRDefault="00000000" w:rsidRPr="00000000" w14:paraId="0000003F">
    <w:pPr>
      <w:tabs>
        <w:tab w:val="center" w:leader="none" w:pos="4513"/>
        <w:tab w:val="right" w:leader="none" w:pos="9026"/>
      </w:tabs>
      <w:spacing w:after="0" w:line="240" w:lineRule="auto"/>
      <w:rPr>
        <w:sz w:val="20"/>
        <w:szCs w:val="20"/>
      </w:rPr>
    </w:pPr>
    <w:r w:rsidDel="00000000" w:rsidR="00000000" w:rsidRPr="00000000">
      <w:rPr>
        <w:sz w:val="20"/>
        <w:szCs w:val="20"/>
        <w:rtl w:val="0"/>
      </w:rPr>
      <w:t xml:space="preserve">Framework Ref: RM6374</w:t>
      <w:tab/>
      <w:t xml:space="preserve">                                           </w:t>
    </w:r>
  </w:p>
  <w:p w:rsidR="00000000" w:rsidDel="00000000" w:rsidP="00000000" w:rsidRDefault="00000000" w:rsidRPr="00000000" w14:paraId="00000040">
    <w:pPr>
      <w:tabs>
        <w:tab w:val="center" w:leader="none" w:pos="4513"/>
        <w:tab w:val="right" w:leader="none" w:pos="9026"/>
      </w:tabs>
      <w:spacing w:after="0" w:line="240" w:lineRule="auto"/>
      <w:rPr>
        <w:color w:val="000000"/>
        <w:sz w:val="20"/>
        <w:szCs w:val="20"/>
      </w:rPr>
    </w:pPr>
    <w:r w:rsidDel="00000000" w:rsidR="00000000" w:rsidRPr="00000000">
      <w:rPr>
        <w:color w:val="000000"/>
        <w:sz w:val="20"/>
        <w:szCs w:val="20"/>
        <w:rtl w:val="0"/>
      </w:rPr>
      <w:t xml:space="preserve">Project Version: v1.0</w:t>
      <w:tab/>
      <w:tab/>
      <w:t xml:space="preserve"> </w:t>
    </w: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1">
    <w:pPr>
      <w:spacing w:after="0" w:line="240" w:lineRule="auto"/>
      <w:jc w:val="both"/>
      <w:rPr>
        <w:color w:val="000000"/>
        <w:sz w:val="14"/>
        <w:szCs w:val="14"/>
      </w:rPr>
    </w:pPr>
    <w:r w:rsidDel="00000000" w:rsidR="00000000" w:rsidRPr="00000000">
      <w:rPr>
        <w:sz w:val="20"/>
        <w:szCs w:val="20"/>
        <w:rtl w:val="0"/>
      </w:rPr>
      <w:t xml:space="preserve">Model Version: v1.0 PA</w:t>
      <w:tab/>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b w:val="1"/>
        <w:color w:val="000000"/>
        <w:sz w:val="22"/>
        <w:szCs w:val="22"/>
      </w:rPr>
    </w:pPr>
    <w:bookmarkStart w:colFirst="0" w:colLast="0" w:name="_heading=h.i9iy7guwpn77" w:id="7"/>
    <w:bookmarkEnd w:id="7"/>
    <w:r w:rsidDel="00000000" w:rsidR="00000000" w:rsidRPr="00000000">
      <w:rPr>
        <w:b w:val="1"/>
        <w:color w:val="000000"/>
        <w:sz w:val="22"/>
        <w:szCs w:val="22"/>
        <w:rtl w:val="0"/>
      </w:rPr>
      <w:t xml:space="preserve">Call-Off Schedule 12 (Clustering)</w:t>
    </w:r>
  </w:p>
  <w:p w:rsidR="00000000" w:rsidDel="00000000" w:rsidP="00000000" w:rsidRDefault="00000000" w:rsidRPr="00000000" w14:paraId="00000039">
    <w:pPr>
      <w:spacing w:after="0" w:lineRule="auto"/>
      <w:rPr>
        <w:sz w:val="22"/>
        <w:szCs w:val="22"/>
      </w:rPr>
    </w:pPr>
    <w:r w:rsidDel="00000000" w:rsidR="00000000" w:rsidRPr="00000000">
      <w:rPr>
        <w:sz w:val="22"/>
        <w:szCs w:val="22"/>
        <w:rtl w:val="0"/>
      </w:rPr>
      <w:t xml:space="preserve">Call-Off Ref:</w:t>
    </w:r>
  </w:p>
  <w:p w:rsidR="00000000" w:rsidDel="00000000" w:rsidP="00000000" w:rsidRDefault="00000000" w:rsidRPr="00000000" w14:paraId="0000003A">
    <w:pPr>
      <w:spacing w:after="0" w:lineRule="auto"/>
      <w:rPr>
        <w:sz w:val="22"/>
        <w:szCs w:val="22"/>
      </w:rPr>
    </w:pPr>
    <w:r w:rsidDel="00000000" w:rsidR="00000000" w:rsidRPr="00000000">
      <w:rPr>
        <w:sz w:val="22"/>
        <w:szCs w:val="22"/>
        <w:rtl w:val="0"/>
      </w:rPr>
      <w:t xml:space="preserve">Crown Copyright 2025</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smallCaps w:val="0"/>
        <w:strike w:val="0"/>
        <w:color w:val="000000"/>
        <w:u w:val="none"/>
        <w:vertAlign w:val="baseline"/>
      </w:rPr>
    </w:lvl>
    <w:lvl w:ilvl="1">
      <w:start w:val="1"/>
      <w:numFmt w:val="decimal"/>
      <w:lvlText w:val="%1.%2"/>
      <w:lvlJc w:val="left"/>
      <w:pPr>
        <w:ind w:left="907" w:hanging="547"/>
      </w:pPr>
      <w:rPr>
        <w:rFonts w:ascii="Arial" w:cs="Arial" w:eastAsia="Arial" w:hAnsi="Arial"/>
        <w:i w:val="0"/>
        <w:smallCaps w:val="0"/>
        <w:strike w:val="0"/>
        <w:color w:val="000000"/>
        <w:u w:val="none"/>
        <w:vertAlign w:val="baseline"/>
      </w:rPr>
    </w:lvl>
    <w:lvl w:ilvl="2">
      <w:start w:val="1"/>
      <w:numFmt w:val="decimal"/>
      <w:lvlText w:val="%1.%2.%3"/>
      <w:lvlJc w:val="left"/>
      <w:pPr>
        <w:ind w:left="1757" w:hanging="850.0000000000001"/>
      </w:pPr>
      <w:rPr>
        <w:i w:val="0"/>
        <w:smallCaps w:val="0"/>
        <w:strike w:val="0"/>
        <w:color w:val="000000"/>
        <w:u w:val="none"/>
        <w:vertAlign w:val="baseline"/>
      </w:rPr>
    </w:lvl>
    <w:lvl w:ilvl="3">
      <w:start w:val="1"/>
      <w:numFmt w:val="lowerLetter"/>
      <w:lvlText w:val="(%4)"/>
      <w:lvlJc w:val="left"/>
      <w:pPr>
        <w:ind w:left="2606" w:hanging="848.9999999999998"/>
      </w:pPr>
      <w:rPr>
        <w:rFonts w:ascii="Arial" w:cs="Arial" w:eastAsia="Arial" w:hAnsi="Arial"/>
        <w:i w:val="0"/>
        <w:smallCaps w:val="0"/>
        <w:strike w:val="0"/>
        <w:color w:val="000000"/>
        <w:sz w:val="24"/>
        <w:szCs w:val="24"/>
        <w:u w:val="none"/>
        <w:vertAlign w:val="baseline"/>
      </w:rPr>
    </w:lvl>
    <w:lvl w:ilvl="4">
      <w:start w:val="1"/>
      <w:numFmt w:val="lowerRoman"/>
      <w:lvlText w:val="(%5)"/>
      <w:lvlJc w:val="left"/>
      <w:pPr>
        <w:ind w:left="3207" w:hanging="1080"/>
      </w:pPr>
      <w:rPr>
        <w:b w:val="0"/>
        <w:i w:val="0"/>
        <w:smallCaps w:val="0"/>
        <w:strike w:val="0"/>
        <w:color w:val="000000"/>
        <w:u w:val="none"/>
        <w:vertAlign w:val="baseline"/>
      </w:rPr>
    </w:lvl>
    <w:lvl w:ilvl="5">
      <w:start w:val="1"/>
      <w:numFmt w:val="upperLetter"/>
      <w:lvlText w:val="(%6)"/>
      <w:lvlJc w:val="left"/>
      <w:pPr>
        <w:ind w:left="1298" w:hanging="1080"/>
      </w:pPr>
      <w:rPr>
        <w:b w:val="0"/>
        <w:i w:val="0"/>
        <w:smallCaps w:val="0"/>
        <w:strike w:val="0"/>
        <w:color w:val="000000"/>
        <w:u w:val="none"/>
        <w:vertAlign w:val="baseline"/>
      </w:rPr>
    </w:lvl>
    <w:lvl w:ilvl="6">
      <w:start w:val="1"/>
      <w:numFmt w:val="decimal"/>
      <w:lvlText w:val="%1.%2.%3.%4.%5.%6.%7"/>
      <w:lvlJc w:val="left"/>
      <w:pPr>
        <w:ind w:left="1658" w:hanging="1440"/>
      </w:pPr>
      <w:rPr/>
    </w:lvl>
    <w:lvl w:ilvl="7">
      <w:start w:val="1"/>
      <w:numFmt w:val="decimal"/>
      <w:lvlText w:val="%1.%2.%3.%4.%5.%6.%7.%8"/>
      <w:lvlJc w:val="left"/>
      <w:pPr>
        <w:ind w:left="1658" w:hanging="1440"/>
      </w:pPr>
      <w:rPr/>
    </w:lvl>
    <w:lvl w:ilvl="8">
      <w:start w:val="1"/>
      <w:numFmt w:val="decimal"/>
      <w:lvlText w:val="%1.%2.%3.%4.%5.%6.%7.%8.%9"/>
      <w:lvlJc w:val="left"/>
      <w:pPr>
        <w:ind w:left="2018" w:hanging="180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_GB"/>
      </w:rPr>
    </w:rPrDefault>
    <w:pPrDefault>
      <w:pPr>
        <w:spacing w:after="200"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GPSL4numberedclause" w:customStyle="1">
    <w:name w:val="GPS L4 numbered clause"/>
    <w:basedOn w:val="GPSL3numberedclause"/>
    <w:qFormat w:val="1"/>
    <w:rsid w:val="00AC4AE1"/>
    <w:pPr>
      <w:numPr>
        <w:ilvl w:val="3"/>
      </w:numPr>
      <w:tabs>
        <w:tab w:val="left" w:pos="2552"/>
      </w:tabs>
    </w:pPr>
  </w:style>
  <w:style w:type="paragraph" w:styleId="GPSL3numberedclause" w:customStyle="1">
    <w:name w:val="GPS L3 numbered clause"/>
    <w:basedOn w:val="Normal"/>
    <w:link w:val="GPSL3numberedclauseChar"/>
    <w:qFormat w:val="1"/>
    <w:rsid w:val="00AC4AE1"/>
    <w:pPr>
      <w:numPr>
        <w:ilvl w:val="2"/>
        <w:numId w:val="1"/>
      </w:numPr>
      <w:tabs>
        <w:tab w:val="left" w:pos="1985"/>
      </w:tabs>
      <w:adjustRightInd w:val="0"/>
      <w:spacing w:after="120" w:before="120" w:line="240" w:lineRule="auto"/>
    </w:pPr>
    <w:rPr>
      <w:rFonts w:eastAsia="Times New Roman"/>
      <w:lang w:eastAsia="zh-CN"/>
    </w:rPr>
  </w:style>
  <w:style w:type="paragraph" w:styleId="GPSL1CLAUSEHEADING" w:customStyle="1">
    <w:name w:val="GPS L1 CLAUSE HEADING"/>
    <w:basedOn w:val="Normal"/>
    <w:next w:val="Normal"/>
    <w:qFormat w:val="1"/>
    <w:rsid w:val="00AC4AE1"/>
    <w:pPr>
      <w:keepNext w:val="1"/>
      <w:numPr>
        <w:numId w:val="1"/>
      </w:numPr>
      <w:tabs>
        <w:tab w:val="left" w:pos="142"/>
      </w:tabs>
      <w:adjustRightInd w:val="0"/>
      <w:spacing w:after="240" w:before="120" w:line="240" w:lineRule="auto"/>
      <w:outlineLvl w:val="1"/>
    </w:pPr>
    <w:rPr>
      <w:rFonts w:ascii="Arial Bold" w:eastAsia="STZhongsong" w:hAnsi="Arial Bold"/>
      <w:b w:val="1"/>
      <w:lang w:eastAsia="zh-CN"/>
    </w:rPr>
  </w:style>
  <w:style w:type="paragraph" w:styleId="GPSL5numberedclause" w:customStyle="1">
    <w:name w:val="GPS L5 numbered clause"/>
    <w:basedOn w:val="GPSL4numberedclause"/>
    <w:qFormat w:val="1"/>
    <w:rsid w:val="00AC4AE1"/>
    <w:pPr>
      <w:numPr>
        <w:ilvl w:val="4"/>
      </w:numPr>
      <w:tabs>
        <w:tab w:val="left" w:pos="3119"/>
      </w:tabs>
    </w:pPr>
  </w:style>
  <w:style w:type="paragraph" w:styleId="GPSL6numbered" w:customStyle="1">
    <w:name w:val="GPS L6 numbered"/>
    <w:basedOn w:val="GPSL5numberedclause"/>
    <w:qFormat w:val="1"/>
    <w:rsid w:val="00AC4AE1"/>
    <w:pPr>
      <w:numPr>
        <w:ilvl w:val="5"/>
      </w:numPr>
      <w:tabs>
        <w:tab w:val="left" w:pos="3686"/>
      </w:tabs>
    </w:pPr>
  </w:style>
  <w:style w:type="character" w:styleId="GPSL3numberedclauseChar" w:customStyle="1">
    <w:name w:val="GPS L3 numbered clause Char"/>
    <w:link w:val="GPSL3numberedclause"/>
    <w:locked w:val="1"/>
    <w:rsid w:val="00AC4AE1"/>
    <w:rPr>
      <w:rFonts w:ascii="Arial" w:cs="Arial" w:eastAsia="Times New Roman" w:hAnsi="Arial"/>
      <w:sz w:val="24"/>
      <w:lang w:eastAsia="zh-CN"/>
    </w:rPr>
  </w:style>
  <w:style w:type="character" w:styleId="FooterChar" w:customStyle="1">
    <w:name w:val="Footer Char"/>
    <w:basedOn w:val="DefaultParagraphFont"/>
    <w:link w:val="Footer"/>
    <w:uiPriority w:val="99"/>
    <w:rsid w:val="00AC4AE1"/>
    <w:rPr>
      <w:rFonts w:ascii="Calibri" w:cs="Times New Roman" w:eastAsia="Calibri" w:hAnsi="Calibri"/>
      <w:lang w:eastAsia="ja-JP"/>
    </w:rPr>
  </w:style>
  <w:style w:type="paragraph" w:styleId="GPSL2numberedclause" w:customStyle="1">
    <w:name w:val="GPS L2 numbered clause"/>
    <w:basedOn w:val="Normal"/>
    <w:link w:val="GPSL2numberedclauseChar1"/>
    <w:qFormat w:val="1"/>
    <w:rsid w:val="00AC4AE1"/>
    <w:pPr>
      <w:numPr>
        <w:ilvl w:val="1"/>
        <w:numId w:val="1"/>
      </w:numPr>
      <w:tabs>
        <w:tab w:val="left" w:pos="1134"/>
      </w:tabs>
      <w:adjustRightInd w:val="0"/>
      <w:spacing w:after="120" w:before="120" w:line="240" w:lineRule="auto"/>
    </w:pPr>
    <w:rPr>
      <w:rFonts w:eastAsia="Times New Roman"/>
      <w:lang w:eastAsia="zh-CN"/>
    </w:rPr>
  </w:style>
  <w:style w:type="character" w:styleId="GPSL2numberedclauseChar1" w:customStyle="1">
    <w:name w:val="GPS L2 numbered clause Char1"/>
    <w:link w:val="GPSL2numberedclause"/>
    <w:rsid w:val="00AC4AE1"/>
    <w:rPr>
      <w:rFonts w:ascii="Arial" w:cs="Arial" w:eastAsia="Times New Roman" w:hAnsi="Arial"/>
      <w:sz w:val="24"/>
      <w:lang w:eastAsia="zh-CN"/>
    </w:rPr>
  </w:style>
  <w:style w:type="paragraph" w:styleId="BalloonText">
    <w:name w:val="Balloon Text"/>
    <w:basedOn w:val="Normal"/>
    <w:link w:val="BalloonTextChar"/>
    <w:uiPriority w:val="99"/>
    <w:semiHidden w:val="1"/>
    <w:unhideWhenUsed w:val="1"/>
    <w:rsid w:val="00AC4AE1"/>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AC4AE1"/>
    <w:rPr>
      <w:rFonts w:ascii="Segoe UI" w:cs="Segoe UI" w:eastAsia="Calibri" w:hAnsi="Segoe UI"/>
      <w:sz w:val="18"/>
      <w:szCs w:val="18"/>
      <w:lang w:eastAsia="ja-JP"/>
    </w:rPr>
  </w:style>
  <w:style w:type="paragraph" w:styleId="Header">
    <w:name w:val="header"/>
    <w:basedOn w:val="Normal"/>
    <w:link w:val="HeaderChar"/>
    <w:uiPriority w:val="99"/>
    <w:unhideWhenUsed w:val="1"/>
    <w:rsid w:val="00AC4AE1"/>
    <w:pPr>
      <w:tabs>
        <w:tab w:val="center" w:pos="4513"/>
        <w:tab w:val="right" w:pos="9026"/>
      </w:tabs>
      <w:spacing w:after="0" w:line="240" w:lineRule="auto"/>
    </w:pPr>
  </w:style>
  <w:style w:type="character" w:styleId="HeaderChar" w:customStyle="1">
    <w:name w:val="Header Char"/>
    <w:basedOn w:val="DefaultParagraphFont"/>
    <w:link w:val="Header"/>
    <w:uiPriority w:val="99"/>
    <w:rsid w:val="00AC4AE1"/>
    <w:rPr>
      <w:rFonts w:ascii="Calibri" w:cs="Times New Roman" w:eastAsia="Calibri" w:hAnsi="Calibri"/>
      <w:lang w:eastAsia="ja-JP"/>
    </w:rPr>
  </w:style>
  <w:style w:type="paragraph" w:styleId="Footer">
    <w:name w:val="footer"/>
    <w:basedOn w:val="Normal"/>
    <w:link w:val="FooterChar"/>
    <w:uiPriority w:val="99"/>
    <w:unhideWhenUsed w:val="1"/>
    <w:rsid w:val="00AC4AE1"/>
    <w:pPr>
      <w:tabs>
        <w:tab w:val="center" w:pos="4513"/>
        <w:tab w:val="right" w:pos="9026"/>
      </w:tabs>
      <w:spacing w:after="0" w:line="240" w:lineRule="auto"/>
    </w:pPr>
  </w:style>
  <w:style w:type="paragraph" w:styleId="Revision">
    <w:name w:val="Revision"/>
    <w:hidden w:val="1"/>
    <w:uiPriority w:val="99"/>
    <w:semiHidden w:val="1"/>
    <w:rsid w:val="00533889"/>
    <w:pPr>
      <w:spacing w:after="0" w:line="240" w:lineRule="auto"/>
    </w:pPr>
    <w:rPr>
      <w:rFonts w:ascii="Calibri" w:cs="Times New Roman" w:eastAsia="Calibri" w:hAnsi="Calibri"/>
      <w:lang w:eastAsia="ja-JP"/>
    </w:rPr>
  </w:style>
  <w:style w:type="character" w:styleId="CommentReference">
    <w:name w:val="annotation reference"/>
    <w:basedOn w:val="DefaultParagraphFont"/>
    <w:uiPriority w:val="99"/>
    <w:semiHidden w:val="1"/>
    <w:unhideWhenUsed w:val="1"/>
    <w:rsid w:val="00CD00FB"/>
    <w:rPr>
      <w:sz w:val="16"/>
      <w:szCs w:val="16"/>
    </w:rPr>
  </w:style>
  <w:style w:type="paragraph" w:styleId="CommentText">
    <w:name w:val="annotation text"/>
    <w:basedOn w:val="Normal"/>
    <w:link w:val="CommentTextChar"/>
    <w:uiPriority w:val="99"/>
    <w:unhideWhenUsed w:val="1"/>
    <w:rsid w:val="00CD00FB"/>
    <w:pPr>
      <w:spacing w:line="240" w:lineRule="auto"/>
    </w:pPr>
    <w:rPr>
      <w:sz w:val="20"/>
      <w:szCs w:val="20"/>
    </w:rPr>
  </w:style>
  <w:style w:type="character" w:styleId="CommentTextChar" w:customStyle="1">
    <w:name w:val="Comment Text Char"/>
    <w:basedOn w:val="DefaultParagraphFont"/>
    <w:link w:val="CommentText"/>
    <w:uiPriority w:val="99"/>
    <w:rsid w:val="00CD00FB"/>
    <w:rPr>
      <w:rFonts w:ascii="Calibri" w:cs="Times New Roman" w:eastAsia="Calibri" w:hAnsi="Calibri"/>
      <w:sz w:val="20"/>
      <w:szCs w:val="20"/>
      <w:lang w:eastAsia="ja-JP"/>
    </w:rPr>
  </w:style>
  <w:style w:type="paragraph" w:styleId="CommentSubject">
    <w:name w:val="annotation subject"/>
    <w:basedOn w:val="CommentText"/>
    <w:next w:val="CommentText"/>
    <w:link w:val="CommentSubjectChar"/>
    <w:uiPriority w:val="99"/>
    <w:semiHidden w:val="1"/>
    <w:unhideWhenUsed w:val="1"/>
    <w:rsid w:val="00CD00FB"/>
    <w:rPr>
      <w:b w:val="1"/>
      <w:bCs w:val="1"/>
    </w:rPr>
  </w:style>
  <w:style w:type="character" w:styleId="CommentSubjectChar" w:customStyle="1">
    <w:name w:val="Comment Subject Char"/>
    <w:basedOn w:val="CommentTextChar"/>
    <w:link w:val="CommentSubject"/>
    <w:uiPriority w:val="99"/>
    <w:semiHidden w:val="1"/>
    <w:rsid w:val="00CD00FB"/>
    <w:rPr>
      <w:rFonts w:ascii="Calibri" w:cs="Times New Roman" w:eastAsia="Calibri" w:hAnsi="Calibri"/>
      <w:b w:val="1"/>
      <w:bCs w:val="1"/>
      <w:sz w:val="20"/>
      <w:szCs w:val="20"/>
      <w:lang w:eastAsia="ja-JP"/>
    </w:rPr>
  </w:style>
  <w:style w:type="paragraph" w:styleId="ListParagraph">
    <w:name w:val="List Paragraph"/>
    <w:basedOn w:val="Normal"/>
    <w:uiPriority w:val="34"/>
    <w:qFormat w:val="1"/>
    <w:rsid w:val="00C81E6E"/>
    <w:pPr>
      <w:ind w:left="720"/>
      <w:contextualSpacing w:val="1"/>
    </w:pPr>
    <w:rPr>
      <w:rFonts w:cs="Calibri"/>
      <w:lang w:eastAsia="en-GB"/>
    </w:rPr>
  </w:style>
  <w:style w:type="paragraph" w:styleId="GPSDefinitionTerm" w:customStyle="1">
    <w:name w:val="GPS Definition Term"/>
    <w:basedOn w:val="Normal"/>
    <w:qFormat w:val="1"/>
    <w:rsid w:val="00B85A50"/>
    <w:pPr>
      <w:overflowPunct w:val="0"/>
      <w:autoSpaceDE w:val="0"/>
      <w:autoSpaceDN w:val="0"/>
      <w:adjustRightInd w:val="0"/>
      <w:spacing w:after="120" w:line="240" w:lineRule="auto"/>
      <w:ind w:left="-108"/>
      <w:textAlignment w:val="baseline"/>
    </w:pPr>
    <w:rPr>
      <w:rFonts w:eastAsia="Times New Roman"/>
      <w:b w:val="1"/>
      <w:color w:val="000000"/>
      <w:szCs w:val="24"/>
      <w:lang w:eastAsia="en-GB"/>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Q6nBTmBi7O6I/ICtBOuxhall5w==">CgMxLjAyDmgueHJsOG14ZHQzc2Y0Mg5oLnVoYXF5cm1oNG1wbTIJaC4zMGowemxsMgloLjFmb2I5dGUyCWguM3pueXNoNzIOaC4xZzQzaDltaWc0Z3YyD2lkLnpla2tqMGV4cnBldjIOaC5pOWl5N2d1d3BuNzc4AHIhMTNvd09FMXFfSnJfbWlMWkF5R00zU21WbnRDYlZUbGc1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2024-07-24T12:53:00Z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FFooter">
    <vt:lpwstr>90440898-1</vt:lpwstr>
  </property>
</Properties>
</file>