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8F" w:rsidRDefault="006D6E8F">
      <w:pPr>
        <w:jc w:val="left"/>
        <w:rPr>
          <w:b/>
          <w:sz w:val="36"/>
          <w:szCs w:val="36"/>
        </w:rPr>
      </w:pPr>
      <w:bookmarkStart w:id="0" w:name="_heading=h.gjdgxs" w:colFirst="0" w:colLast="0"/>
      <w:bookmarkEnd w:id="0"/>
    </w:p>
    <w:p w:rsidR="006D6E8F" w:rsidRDefault="00192988">
      <w:pPr>
        <w:keepNext/>
        <w:jc w:val="left"/>
        <w:rPr>
          <w:b/>
          <w:sz w:val="36"/>
          <w:szCs w:val="36"/>
        </w:rPr>
      </w:pPr>
      <w:r>
        <w:rPr>
          <w:b/>
          <w:sz w:val="36"/>
          <w:szCs w:val="36"/>
        </w:rPr>
        <w:t>Call-Off Schedule 15 (Call-Off Contract Management)</w:t>
      </w:r>
    </w:p>
    <w:p w:rsidR="006D6E8F" w:rsidRDefault="006D6E8F">
      <w:pPr>
        <w:keepNext/>
        <w:jc w:val="left"/>
        <w:rPr>
          <w:b/>
          <w:smallCaps/>
          <w:sz w:val="24"/>
          <w:szCs w:val="24"/>
        </w:rPr>
      </w:pPr>
    </w:p>
    <w:p w:rsidR="006D6E8F" w:rsidRPr="00077185" w:rsidRDefault="00192988" w:rsidP="00077185">
      <w:pPr>
        <w:keepNext/>
        <w:numPr>
          <w:ilvl w:val="0"/>
          <w:numId w:val="1"/>
        </w:numPr>
        <w:pBdr>
          <w:top w:val="nil"/>
          <w:left w:val="nil"/>
          <w:bottom w:val="nil"/>
          <w:right w:val="nil"/>
          <w:between w:val="nil"/>
        </w:pBdr>
        <w:tabs>
          <w:tab w:val="left" w:pos="142"/>
        </w:tabs>
        <w:spacing w:before="120" w:after="240"/>
        <w:ind w:left="360" w:hanging="360"/>
        <w:jc w:val="left"/>
        <w:rPr>
          <w:color w:val="000000"/>
          <w:sz w:val="24"/>
          <w:szCs w:val="24"/>
        </w:rPr>
      </w:pPr>
      <w:r w:rsidRPr="00077185">
        <w:rPr>
          <w:b/>
          <w:color w:val="000000"/>
          <w:sz w:val="24"/>
          <w:szCs w:val="24"/>
        </w:rPr>
        <w:t>Definitions</w:t>
      </w:r>
      <w:bookmarkStart w:id="1" w:name="_GoBack"/>
      <w:bookmarkEnd w:id="1"/>
    </w:p>
    <w:p w:rsidR="006D6E8F" w:rsidRDefault="00192988">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263" w:type="dxa"/>
        <w:tblLayout w:type="fixed"/>
        <w:tblLook w:val="0400" w:firstRow="0" w:lastRow="0" w:firstColumn="0" w:lastColumn="0" w:noHBand="0" w:noVBand="1"/>
      </w:tblPr>
      <w:tblGrid>
        <w:gridCol w:w="2739"/>
        <w:gridCol w:w="6170"/>
      </w:tblGrid>
      <w:tr w:rsidR="006D6E8F">
        <w:tc>
          <w:tcPr>
            <w:tcW w:w="2739" w:type="dxa"/>
            <w:shd w:val="clear" w:color="auto" w:fill="auto"/>
          </w:tcPr>
          <w:p w:rsidR="006D6E8F" w:rsidRDefault="00192988">
            <w:pPr>
              <w:spacing w:after="120" w:line="276" w:lineRule="auto"/>
              <w:ind w:left="720" w:hanging="360"/>
              <w:jc w:val="left"/>
              <w:rPr>
                <w:b/>
                <w:sz w:val="24"/>
                <w:szCs w:val="24"/>
              </w:rPr>
            </w:pPr>
            <w:r>
              <w:rPr>
                <w:b/>
                <w:sz w:val="24"/>
                <w:szCs w:val="24"/>
              </w:rPr>
              <w:t>"Operational Board"</w:t>
            </w:r>
          </w:p>
        </w:tc>
        <w:tc>
          <w:tcPr>
            <w:tcW w:w="6170" w:type="dxa"/>
            <w:shd w:val="clear" w:color="auto" w:fill="auto"/>
          </w:tcPr>
          <w:p w:rsidR="006D6E8F" w:rsidRDefault="00192988">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6D6E8F">
        <w:tc>
          <w:tcPr>
            <w:tcW w:w="2739" w:type="dxa"/>
            <w:shd w:val="clear" w:color="auto" w:fill="auto"/>
          </w:tcPr>
          <w:p w:rsidR="006D6E8F" w:rsidRDefault="00192988">
            <w:pPr>
              <w:spacing w:after="120" w:line="276" w:lineRule="auto"/>
              <w:ind w:left="720" w:hanging="360"/>
              <w:jc w:val="left"/>
              <w:rPr>
                <w:b/>
                <w:sz w:val="24"/>
                <w:szCs w:val="24"/>
              </w:rPr>
            </w:pPr>
            <w:r>
              <w:rPr>
                <w:b/>
                <w:sz w:val="24"/>
                <w:szCs w:val="24"/>
              </w:rPr>
              <w:t>"Project Manager"</w:t>
            </w:r>
          </w:p>
        </w:tc>
        <w:tc>
          <w:tcPr>
            <w:tcW w:w="6170" w:type="dxa"/>
            <w:shd w:val="clear" w:color="auto" w:fill="auto"/>
          </w:tcPr>
          <w:p w:rsidR="006D6E8F" w:rsidRDefault="00192988">
            <w:pPr>
              <w:tabs>
                <w:tab w:val="left" w:pos="-9"/>
              </w:tabs>
              <w:spacing w:line="276" w:lineRule="auto"/>
              <w:ind w:left="720" w:hanging="360"/>
              <w:jc w:val="left"/>
              <w:rPr>
                <w:sz w:val="24"/>
                <w:szCs w:val="24"/>
              </w:rPr>
            </w:pPr>
            <w:r>
              <w:rPr>
                <w:sz w:val="24"/>
                <w:szCs w:val="24"/>
              </w:rPr>
              <w:t>the manager appointed in accordance with paragraph 2.1 of this Schedule;</w:t>
            </w:r>
          </w:p>
          <w:p w:rsidR="006D6E8F" w:rsidRDefault="006D6E8F">
            <w:pPr>
              <w:tabs>
                <w:tab w:val="left" w:pos="-9"/>
              </w:tabs>
              <w:spacing w:line="276" w:lineRule="auto"/>
              <w:ind w:left="720" w:hanging="360"/>
              <w:jc w:val="left"/>
              <w:rPr>
                <w:sz w:val="24"/>
                <w:szCs w:val="24"/>
              </w:rPr>
            </w:pPr>
          </w:p>
        </w:tc>
      </w:tr>
    </w:tbl>
    <w:p w:rsidR="006D6E8F" w:rsidRPr="00077185" w:rsidRDefault="00192988" w:rsidP="00077185">
      <w:pPr>
        <w:keepNext/>
        <w:numPr>
          <w:ilvl w:val="0"/>
          <w:numId w:val="1"/>
        </w:numPr>
        <w:pBdr>
          <w:top w:val="nil"/>
          <w:left w:val="nil"/>
          <w:bottom w:val="nil"/>
          <w:right w:val="nil"/>
          <w:between w:val="nil"/>
        </w:pBdr>
        <w:tabs>
          <w:tab w:val="left" w:pos="142"/>
        </w:tabs>
        <w:spacing w:before="120" w:after="240"/>
        <w:ind w:left="360" w:hanging="360"/>
        <w:jc w:val="left"/>
        <w:rPr>
          <w:color w:val="000000"/>
          <w:sz w:val="24"/>
          <w:szCs w:val="24"/>
        </w:rPr>
      </w:pPr>
      <w:r w:rsidRPr="00077185">
        <w:rPr>
          <w:b/>
          <w:color w:val="000000"/>
          <w:sz w:val="24"/>
          <w:szCs w:val="24"/>
        </w:rPr>
        <w:t>Project Management</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bookmarkStart w:id="2" w:name="_heading=h.30j0zll" w:colFirst="0" w:colLast="0"/>
      <w:bookmarkEnd w:id="2"/>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rsidR="006D6E8F" w:rsidRDefault="00192988">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rsidR="006D6E8F" w:rsidRDefault="00192988">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rsidR="006D6E8F" w:rsidRDefault="00192988">
      <w:pPr>
        <w:pStyle w:val="Heading3"/>
        <w:numPr>
          <w:ilvl w:val="2"/>
          <w:numId w:val="1"/>
        </w:numPr>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primary point of contact to receive communication from the Buyer and will also be the person primarily responsible for providing information to the Buyer; </w:t>
      </w:r>
    </w:p>
    <w:p w:rsidR="006D6E8F" w:rsidRDefault="00192988">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6D6E8F" w:rsidRDefault="00192988">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rsidR="006D6E8F" w:rsidRDefault="00192988">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6D6E8F" w:rsidRDefault="0019298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6D6E8F" w:rsidRDefault="0019298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rsidR="006D6E8F" w:rsidRDefault="006D6E8F">
      <w:pPr>
        <w:jc w:val="left"/>
        <w:rPr>
          <w:sz w:val="24"/>
          <w:szCs w:val="24"/>
        </w:rPr>
      </w:pPr>
    </w:p>
    <w:p w:rsidR="006D6E8F" w:rsidRPr="00077185" w:rsidRDefault="00192988" w:rsidP="00077185">
      <w:pPr>
        <w:keepNext/>
        <w:numPr>
          <w:ilvl w:val="0"/>
          <w:numId w:val="1"/>
        </w:numPr>
        <w:pBdr>
          <w:top w:val="nil"/>
          <w:left w:val="nil"/>
          <w:bottom w:val="nil"/>
          <w:right w:val="nil"/>
          <w:between w:val="nil"/>
        </w:pBdr>
        <w:tabs>
          <w:tab w:val="left" w:pos="142"/>
        </w:tabs>
        <w:spacing w:before="120" w:after="240"/>
        <w:ind w:left="360" w:hanging="360"/>
        <w:jc w:val="left"/>
        <w:rPr>
          <w:color w:val="000000"/>
          <w:sz w:val="24"/>
          <w:szCs w:val="24"/>
        </w:rPr>
      </w:pPr>
      <w:r w:rsidRPr="00077185">
        <w:rPr>
          <w:b/>
          <w:color w:val="000000"/>
          <w:sz w:val="24"/>
          <w:szCs w:val="24"/>
        </w:rPr>
        <w:t>Role of the Operational Board</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6D6E8F" w:rsidRDefault="00192988">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6D6E8F" w:rsidRDefault="00192988">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rsidR="006D6E8F" w:rsidRDefault="0019298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rsidR="006D6E8F" w:rsidRDefault="00192988">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rsidR="006D6E8F" w:rsidRDefault="00192988">
      <w:pPr>
        <w:pStyle w:val="Heading3"/>
        <w:numPr>
          <w:ilvl w:val="2"/>
          <w:numId w:val="1"/>
        </w:numPr>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identification and management of risks;</w:t>
      </w:r>
    </w:p>
    <w:p w:rsidR="006D6E8F" w:rsidRDefault="00192988">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rsidR="006D6E8F" w:rsidRDefault="00192988">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proofErr w:type="gramStart"/>
      <w:r>
        <w:rPr>
          <w:color w:val="000000"/>
          <w:sz w:val="24"/>
          <w:szCs w:val="24"/>
        </w:rPr>
        <w:t>monitoring</w:t>
      </w:r>
      <w:proofErr w:type="gramEnd"/>
      <w:r>
        <w:rPr>
          <w:color w:val="000000"/>
          <w:sz w:val="24"/>
          <w:szCs w:val="24"/>
        </w:rPr>
        <w:t xml:space="preserve"> and controlling project plans.</w:t>
      </w:r>
    </w:p>
    <w:p w:rsidR="006D6E8F" w:rsidRDefault="00192988">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rsidR="006D6E8F" w:rsidRDefault="00192988">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w:t>
      </w:r>
      <w:proofErr w:type="gramStart"/>
      <w:r>
        <w:rPr>
          <w:color w:val="000000"/>
          <w:sz w:val="24"/>
          <w:szCs w:val="24"/>
        </w:rPr>
        <w:t>Off</w:t>
      </w:r>
      <w:proofErr w:type="gramEnd"/>
      <w:r>
        <w:rPr>
          <w:color w:val="000000"/>
          <w:sz w:val="24"/>
          <w:szCs w:val="24"/>
        </w:rPr>
        <w:t xml:space="preserve"> Contract which the Buyer's and the Supplier have identified. </w:t>
      </w:r>
    </w:p>
    <w:p w:rsidR="006D6E8F" w:rsidRDefault="006D6E8F">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rsidR="006D6E8F" w:rsidRDefault="00192988">
      <w:pPr>
        <w:spacing w:after="200" w:line="276" w:lineRule="auto"/>
        <w:jc w:val="left"/>
        <w:rPr>
          <w:b/>
          <w:sz w:val="36"/>
          <w:szCs w:val="36"/>
        </w:rPr>
      </w:pPr>
      <w:r>
        <w:br w:type="page"/>
      </w:r>
      <w:r>
        <w:rPr>
          <w:b/>
          <w:sz w:val="36"/>
          <w:szCs w:val="36"/>
        </w:rPr>
        <w:t>Annex: Contract Boards</w:t>
      </w:r>
    </w:p>
    <w:p w:rsidR="006D6E8F" w:rsidRDefault="00192988">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rsidR="006D6E8F" w:rsidRDefault="00192988" w:rsidP="00192988">
      <w:pPr>
        <w:spacing w:after="200" w:line="276" w:lineRule="auto"/>
        <w:ind w:left="360"/>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bookmarkStart w:id="3" w:name="bookmark=id.1fob9te" w:colFirst="0" w:colLast="0"/>
      <w:bookmarkStart w:id="4" w:name="bookmark=id.3znysh7" w:colFirst="0" w:colLast="0"/>
      <w:bookmarkEnd w:id="3"/>
      <w:bookmarkEnd w:id="4"/>
    </w:p>
    <w:sectPr w:rsidR="006D6E8F">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310" w:rsidRDefault="00192988">
      <w:r>
        <w:separator/>
      </w:r>
    </w:p>
  </w:endnote>
  <w:endnote w:type="continuationSeparator" w:id="0">
    <w:p w:rsidR="001D2310" w:rsidRDefault="0019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8F" w:rsidRDefault="006D6E8F">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8F" w:rsidRDefault="006D6E8F">
    <w:pPr>
      <w:tabs>
        <w:tab w:val="center" w:pos="4513"/>
        <w:tab w:val="right" w:pos="9026"/>
      </w:tabs>
    </w:pPr>
  </w:p>
  <w:p w:rsidR="006D6E8F" w:rsidRDefault="000C4288">
    <w:pPr>
      <w:tabs>
        <w:tab w:val="center" w:pos="4513"/>
        <w:tab w:val="right" w:pos="9026"/>
      </w:tabs>
    </w:pPr>
    <w:r w:rsidRPr="000C4288">
      <w:t>RM6349: Income Generation from Estates &amp; Assets</w:t>
    </w:r>
  </w:p>
  <w:p w:rsidR="006D6E8F" w:rsidRDefault="00192988">
    <w:pPr>
      <w:tabs>
        <w:tab w:val="center" w:pos="4513"/>
        <w:tab w:val="right" w:pos="9026"/>
      </w:tabs>
    </w:pPr>
    <w:r>
      <w:t xml:space="preserve">v1.0 </w:t>
    </w:r>
    <w:r>
      <w:tab/>
    </w:r>
    <w:r>
      <w:fldChar w:fldCharType="begin"/>
    </w:r>
    <w:r>
      <w:instrText>PAGE</w:instrText>
    </w:r>
    <w:r>
      <w:fldChar w:fldCharType="separate"/>
    </w:r>
    <w:r w:rsidR="0015462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8F" w:rsidRDefault="00192988">
    <w:pPr>
      <w:tabs>
        <w:tab w:val="center" w:pos="4513"/>
        <w:tab w:val="right" w:pos="9026"/>
      </w:tabs>
    </w:pPr>
    <w:r>
      <w:t>Framework Ref: RM</w:t>
    </w:r>
    <w:r>
      <w:tab/>
      <w:t xml:space="preserve">                                           </w:t>
    </w:r>
  </w:p>
  <w:p w:rsidR="006D6E8F" w:rsidRDefault="00192988">
    <w:pPr>
      <w:tabs>
        <w:tab w:val="center" w:pos="4513"/>
        <w:tab w:val="right" w:pos="9026"/>
      </w:tabs>
    </w:pPr>
    <w:r>
      <w:t>Project Version: v1.0</w:t>
    </w:r>
    <w:r>
      <w:tab/>
      <w:t xml:space="preserve"> </w:t>
    </w:r>
    <w:r>
      <w:tab/>
    </w:r>
    <w:r>
      <w:fldChar w:fldCharType="begin"/>
    </w:r>
    <w:r>
      <w:instrText>PAGE</w:instrText>
    </w:r>
    <w:r>
      <w:fldChar w:fldCharType="separate"/>
    </w:r>
    <w:r w:rsidR="0015462A">
      <w:rPr>
        <w:noProof/>
      </w:rPr>
      <w:t>2</w:t>
    </w:r>
    <w:r>
      <w:fldChar w:fldCharType="end"/>
    </w:r>
  </w:p>
  <w:p w:rsidR="006D6E8F" w:rsidRDefault="00192988">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310" w:rsidRDefault="00192988">
      <w:r>
        <w:separator/>
      </w:r>
    </w:p>
  </w:footnote>
  <w:footnote w:type="continuationSeparator" w:id="0">
    <w:p w:rsidR="001D2310" w:rsidRDefault="0019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8F" w:rsidRDefault="006D6E8F">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8F" w:rsidRDefault="00192988">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6D6E8F" w:rsidRDefault="00192988">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w:t>
    </w:r>
    <w:r w:rsidR="000C4288">
      <w:t>24</w:t>
    </w:r>
  </w:p>
  <w:p w:rsidR="006D6E8F" w:rsidRDefault="006D6E8F">
    <w:pPr>
      <w:pBdr>
        <w:top w:val="nil"/>
        <w:left w:val="nil"/>
        <w:bottom w:val="nil"/>
        <w:right w:val="nil"/>
        <w:between w:val="nil"/>
      </w:pBdr>
      <w:tabs>
        <w:tab w:val="center" w:pos="4320"/>
        <w:tab w:val="right" w:pos="8640"/>
      </w:tabs>
      <w:rPr>
        <w:color w:val="000000"/>
        <w:sz w:val="16"/>
        <w:szCs w:val="16"/>
      </w:rPr>
    </w:pPr>
    <w:bookmarkStart w:id="5" w:name="bookmark=id.2et92p0" w:colFirst="0" w:colLast="0"/>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8F" w:rsidRDefault="006D6E8F">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F1EE2"/>
    <w:multiLevelType w:val="multilevel"/>
    <w:tmpl w:val="D8E087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3875CA9"/>
    <w:multiLevelType w:val="multilevel"/>
    <w:tmpl w:val="F77282C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8F"/>
    <w:rsid w:val="00077185"/>
    <w:rsid w:val="000C4288"/>
    <w:rsid w:val="0015462A"/>
    <w:rsid w:val="00192988"/>
    <w:rsid w:val="00196A23"/>
    <w:rsid w:val="001D2310"/>
    <w:rsid w:val="003525D2"/>
    <w:rsid w:val="005B5619"/>
    <w:rsid w:val="006D6E8F"/>
    <w:rsid w:val="006F430B"/>
    <w:rsid w:val="00931085"/>
    <w:rsid w:val="00BF6F4C"/>
    <w:rsid w:val="00DA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2058"/>
  <w15:docId w15:val="{89B55295-5282-4D59-98ED-12CD70AD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qQkBbAh6pmNjfAvQrmSIRMNUeA==">AMUW2mXlBg+Y+7lJPqc2WjgNjHP2wV1tligm27AP3LuHJBFsZbLjdOPQQB08l5kURbeDwM8XVWI1KlbnaOb5M5y4AoV9ICtafuGG2Z6NWEij6cFN5Y4TFbaW2gjTgmx7CWPXtPBI/7bDquqPcmuOi423x1r8cDVyQvGW2k0TTC7tv+04uPvK++86aUCgmrAGZa2irQrGXhut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3570</Characters>
  <Application>Microsoft Office Word</Application>
  <DocSecurity>0</DocSecurity>
  <PresentationFormat/>
  <Lines>83</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2024-06-21T16:16:00Z</dcterms:created>
  <dcterms:modified xsi:type="dcterms:W3CDTF">2024-06-26T21:05:00Z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88236571-4</vt:lpwstr>
  </property>
</Properties>
</file>