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120" w:before="120" w:lineRule="auto"/>
        <w:jc w:val="left"/>
        <w:rPr>
          <w:b w:val="1"/>
          <w:bCs w:val="1"/>
          <w:sz w:val="36"/>
          <w:szCs w:val="36"/>
        </w:rPr>
      </w:pPr>
      <w:r w:rsidDel="00000000" w:rsidR="00000000" w:rsidRPr="00000000">
        <w:rPr>
          <w:b w:val="1"/>
          <w:bCs w:val="1"/>
          <w:sz w:val="36"/>
          <w:szCs w:val="36"/>
          <w:rtl w:val="0"/>
        </w:rPr>
        <w:t xml:space="preserve">Call-Off Schedule 16 (Benchmarking)</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142"/>
        </w:tabs>
        <w:spacing w:after="120" w:before="120" w:lineRule="auto"/>
        <w:jc w:val="left"/>
        <w:rPr>
          <w:b w:val="1"/>
          <w:bCs w:val="1"/>
          <w:smallCaps w:val="1"/>
        </w:rPr>
      </w:pPr>
      <w:bookmarkStart w:colFirst="0" w:colLast="0" w:name="_heading=h.h9ybnq1ssyzx" w:id="0"/>
      <w:bookmarkEnd w:id="0"/>
      <w:r w:rsidDel="00000000" w:rsidR="00000000" w:rsidRPr="00000000">
        <w:rPr>
          <w:rtl w:val="0"/>
        </w:rPr>
      </w:r>
    </w:p>
    <w:p w:rsidR="00000000" w:rsidDel="00000000" w:rsidP="00000000" w:rsidRDefault="00000000" w:rsidRPr="00000000" w14:paraId="00000003">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jc w:val="left"/>
        <w:rPr>
          <w:b w:val="1"/>
          <w:bCs w:val="1"/>
        </w:rPr>
      </w:pPr>
      <w:r w:rsidDel="00000000" w:rsidR="00000000" w:rsidRPr="00000000">
        <w:rPr>
          <w:b w:val="1"/>
          <w:bCs w:val="1"/>
          <w:rtl w:val="0"/>
        </w:rPr>
        <w:t xml:space="preserve">Definitions</w:t>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In this Schedule, the following expressions shall have the following meanings:</w:t>
      </w:r>
    </w:p>
    <w:tbl>
      <w:tblPr>
        <w:tblStyle w:val="Table1"/>
        <w:tblW w:w="8042.0" w:type="dxa"/>
        <w:jc w:val="left"/>
        <w:tblInd w:w="1134.0" w:type="dxa"/>
        <w:tblLayout w:type="fixed"/>
        <w:tblLook w:val="0400"/>
      </w:tblPr>
      <w:tblGrid>
        <w:gridCol w:w="2900"/>
        <w:gridCol w:w="5142"/>
        <w:tblGridChange w:id="0">
          <w:tblGrid>
            <w:gridCol w:w="2900"/>
            <w:gridCol w:w="5142"/>
          </w:tblGrid>
        </w:tblGridChange>
      </w:tblGrid>
      <w:tr>
        <w:trPr>
          <w:cantSplit w:val="0"/>
          <w:tblHeader w:val="0"/>
        </w:trPr>
        <w:tc>
          <w:tcPr>
            <w:shd w:fill="auto" w:val="clea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Rule="auto"/>
              <w:ind w:left="23" w:firstLine="0"/>
              <w:jc w:val="left"/>
              <w:rPr>
                <w:b w:val="1"/>
                <w:bCs w:val="1"/>
              </w:rPr>
            </w:pPr>
            <w:r w:rsidDel="00000000" w:rsidR="00000000" w:rsidRPr="00000000">
              <w:rPr>
                <w:b w:val="1"/>
                <w:bCs w:val="1"/>
                <w:rtl w:val="0"/>
              </w:rPr>
              <w:t xml:space="preserve">"Benchmark Review"</w:t>
            </w:r>
          </w:p>
        </w:tc>
        <w:tc>
          <w:tcPr>
            <w:shd w:fill="auto"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175"/>
              </w:tabs>
              <w:spacing w:after="120" w:before="120" w:lineRule="auto"/>
              <w:jc w:val="left"/>
              <w:rPr/>
            </w:pPr>
            <w:r w:rsidDel="00000000" w:rsidR="00000000" w:rsidRPr="00000000">
              <w:rPr>
                <w:rtl w:val="0"/>
              </w:rPr>
              <w:t xml:space="preserve">a review of the Deliverables carried out in accordance with this Schedule to determine whether those Deliverables represent Good Value;</w:t>
            </w:r>
          </w:p>
        </w:tc>
      </w:tr>
      <w:tr>
        <w:trPr>
          <w:cantSplit w:val="0"/>
          <w:tblHeader w:val="0"/>
        </w:trPr>
        <w:tc>
          <w:tcPr>
            <w:shd w:fill="auto"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Rule="auto"/>
              <w:ind w:left="23" w:firstLine="0"/>
              <w:jc w:val="left"/>
              <w:rPr>
                <w:b w:val="1"/>
                <w:bCs w:val="1"/>
              </w:rPr>
            </w:pPr>
            <w:r w:rsidDel="00000000" w:rsidR="00000000" w:rsidRPr="00000000">
              <w:rPr>
                <w:b w:val="1"/>
                <w:bCs w:val="1"/>
                <w:rtl w:val="0"/>
              </w:rPr>
              <w:t xml:space="preserve">"Benchmarked Deliverables"</w:t>
            </w:r>
          </w:p>
        </w:tc>
        <w:tc>
          <w:tcPr>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75"/>
              </w:tabs>
              <w:spacing w:after="120" w:before="120" w:lineRule="auto"/>
              <w:jc w:val="left"/>
              <w:rPr/>
            </w:pPr>
            <w:r w:rsidDel="00000000" w:rsidR="00000000" w:rsidRPr="00000000">
              <w:rPr>
                <w:rtl w:val="0"/>
              </w:rPr>
              <w:t xml:space="preserve">any Deliverables included within the scope of a Benchmark Review pursuant to this Schedule;</w:t>
            </w:r>
          </w:p>
        </w:tc>
      </w:tr>
      <w:tr>
        <w:trPr>
          <w:cantSplit w:val="0"/>
          <w:tblHeader w:val="0"/>
        </w:trPr>
        <w:tc>
          <w:tcPr>
            <w:shd w:fill="auto"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Rule="auto"/>
              <w:ind w:left="23" w:firstLine="0"/>
              <w:jc w:val="left"/>
              <w:rPr>
                <w:b w:val="1"/>
                <w:bCs w:val="1"/>
              </w:rPr>
            </w:pPr>
            <w:r w:rsidDel="00000000" w:rsidR="00000000" w:rsidRPr="00000000">
              <w:rPr>
                <w:b w:val="1"/>
                <w:bCs w:val="1"/>
                <w:rtl w:val="0"/>
              </w:rPr>
              <w:t xml:space="preserve">"Benchmarked Rates" </w:t>
            </w:r>
          </w:p>
        </w:tc>
        <w:tc>
          <w:tcPr>
            <w:shd w:fill="auto"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75"/>
              </w:tabs>
              <w:spacing w:after="120" w:before="120" w:lineRule="auto"/>
              <w:jc w:val="left"/>
              <w:rPr/>
            </w:pPr>
            <w:r w:rsidDel="00000000" w:rsidR="00000000" w:rsidRPr="00000000">
              <w:rPr>
                <w:rtl w:val="0"/>
              </w:rPr>
              <w:t xml:space="preserve">the Charges attributable to the Benchmarked Deliverables;</w:t>
            </w:r>
          </w:p>
        </w:tc>
      </w:tr>
      <w:tr>
        <w:trPr>
          <w:cantSplit w:val="0"/>
          <w:tblHeader w:val="0"/>
        </w:trPr>
        <w:tc>
          <w:tcPr>
            <w:shd w:fill="auto"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Rule="auto"/>
              <w:ind w:left="23" w:firstLine="0"/>
              <w:jc w:val="left"/>
              <w:rPr>
                <w:b w:val="1"/>
                <w:bCs w:val="1"/>
              </w:rPr>
            </w:pPr>
            <w:r w:rsidDel="00000000" w:rsidR="00000000" w:rsidRPr="00000000">
              <w:rPr>
                <w:b w:val="1"/>
                <w:bCs w:val="1"/>
                <w:rtl w:val="0"/>
              </w:rPr>
              <w:t xml:space="preserve">"Comparable Rates"</w:t>
            </w:r>
          </w:p>
        </w:tc>
        <w:tc>
          <w:tcPr>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75"/>
              </w:tabs>
              <w:spacing w:after="120" w:before="120" w:lineRule="auto"/>
              <w:jc w:val="left"/>
              <w:rPr/>
            </w:pPr>
            <w:r w:rsidDel="00000000" w:rsidR="00000000" w:rsidRPr="00000000">
              <w:rPr>
                <w:rtl w:val="0"/>
              </w:rPr>
              <w:t xml:space="preserve">the Charges for Comparable Deliverables;</w:t>
            </w:r>
          </w:p>
        </w:tc>
      </w:tr>
      <w:tr>
        <w:trPr>
          <w:cantSplit w:val="0"/>
          <w:tblHeader w:val="0"/>
        </w:trPr>
        <w:tc>
          <w:tcPr>
            <w:shd w:fill="auto"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Rule="auto"/>
              <w:ind w:left="23" w:firstLine="0"/>
              <w:jc w:val="left"/>
              <w:rPr>
                <w:b w:val="1"/>
                <w:bCs w:val="1"/>
              </w:rPr>
            </w:pPr>
            <w:r w:rsidDel="00000000" w:rsidR="00000000" w:rsidRPr="00000000">
              <w:rPr>
                <w:b w:val="1"/>
                <w:bCs w:val="1"/>
                <w:rtl w:val="0"/>
              </w:rPr>
              <w:t xml:space="preserve">"Comparable Deliverables"</w:t>
            </w:r>
          </w:p>
        </w:tc>
        <w:tc>
          <w:tcPr>
            <w:shd w:fill="auto"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75"/>
              </w:tabs>
              <w:spacing w:after="120" w:before="120" w:lineRule="auto"/>
              <w:jc w:val="left"/>
              <w:rPr/>
            </w:pPr>
            <w:r w:rsidDel="00000000" w:rsidR="00000000" w:rsidRPr="00000000">
              <w:rPr>
                <w:rtl w:val="0"/>
              </w:rPr>
              <w:t xml:space="preserve">deliverables that are identical or materially similar to the Benchmarked Deliverables (including in terms of scope, specification, volume and quality of performance) provided that if no identical or materially similar Deliverables exist in the market, the Supplier shall propose an approach for developing a comparable Deliverables benchmark;</w:t>
            </w:r>
          </w:p>
        </w:tc>
      </w:tr>
      <w:tr>
        <w:trPr>
          <w:cantSplit w:val="0"/>
          <w:tblHeader w:val="0"/>
        </w:trPr>
        <w:tc>
          <w:tcPr>
            <w:shd w:fill="auto"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Rule="auto"/>
              <w:ind w:left="23" w:firstLine="0"/>
              <w:jc w:val="left"/>
              <w:rPr>
                <w:b w:val="1"/>
                <w:bCs w:val="1"/>
              </w:rPr>
            </w:pPr>
            <w:r w:rsidDel="00000000" w:rsidR="00000000" w:rsidRPr="00000000">
              <w:rPr>
                <w:b w:val="1"/>
                <w:bCs w:val="1"/>
                <w:rtl w:val="0"/>
              </w:rPr>
              <w:t xml:space="preserve">"Comparison Group"</w:t>
            </w:r>
          </w:p>
        </w:tc>
        <w:tc>
          <w:tcPr>
            <w:shd w:fill="auto"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75"/>
              </w:tabs>
              <w:spacing w:after="120" w:before="120" w:lineRule="auto"/>
              <w:jc w:val="left"/>
              <w:rPr/>
            </w:pPr>
            <w:r w:rsidDel="00000000" w:rsidR="00000000" w:rsidRPr="00000000">
              <w:rPr>
                <w:rtl w:val="0"/>
              </w:rPr>
              <w:t xml:space="preserve">a sample group of organisations providing Comparable Deliverables which consists of organisations which are either of similar size to the Supplier or which are similarly structured in terms of their business and their service offering so as to be fair comparators with the Supplier or which, are best practice organisations;</w:t>
            </w:r>
          </w:p>
        </w:tc>
      </w:tr>
      <w:tr>
        <w:trPr>
          <w:cantSplit w:val="0"/>
          <w:tblHeader w:val="0"/>
        </w:trPr>
        <w:tc>
          <w:tcPr>
            <w:shd w:fill="auto"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Rule="auto"/>
              <w:ind w:left="23" w:firstLine="0"/>
              <w:jc w:val="left"/>
              <w:rPr>
                <w:b w:val="1"/>
                <w:bCs w:val="1"/>
              </w:rPr>
            </w:pPr>
            <w:r w:rsidDel="00000000" w:rsidR="00000000" w:rsidRPr="00000000">
              <w:rPr>
                <w:b w:val="1"/>
                <w:bCs w:val="1"/>
                <w:rtl w:val="0"/>
              </w:rPr>
              <w:t xml:space="preserve">"Equivalent Data"</w:t>
            </w:r>
          </w:p>
        </w:tc>
        <w:tc>
          <w:tcPr>
            <w:shd w:fill="auto"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75"/>
              </w:tabs>
              <w:spacing w:after="120" w:before="120" w:lineRule="auto"/>
              <w:jc w:val="left"/>
              <w:rPr/>
            </w:pPr>
            <w:r w:rsidDel="00000000" w:rsidR="00000000" w:rsidRPr="00000000">
              <w:rPr>
                <w:rtl w:val="0"/>
              </w:rPr>
              <w:t xml:space="preserve">data derived from an analysis of the Comparable Rates and/or the Comparable Deliverables (as applicable) provided by the Comparison Group;</w:t>
            </w:r>
          </w:p>
        </w:tc>
      </w:tr>
      <w:tr>
        <w:trPr>
          <w:cantSplit w:val="0"/>
          <w:tblHeader w:val="0"/>
        </w:trPr>
        <w:tc>
          <w:tcPr>
            <w:shd w:fill="auto"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Rule="auto"/>
              <w:ind w:left="23" w:firstLine="0"/>
              <w:jc w:val="left"/>
              <w:rPr>
                <w:b w:val="1"/>
                <w:bCs w:val="1"/>
              </w:rPr>
            </w:pPr>
            <w:r w:rsidDel="00000000" w:rsidR="00000000" w:rsidRPr="00000000">
              <w:rPr>
                <w:b w:val="1"/>
                <w:bCs w:val="1"/>
                <w:rtl w:val="0"/>
              </w:rPr>
              <w:t xml:space="preserve">"Good Value"</w:t>
            </w:r>
          </w:p>
        </w:tc>
        <w:tc>
          <w:tcPr>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75"/>
              </w:tabs>
              <w:spacing w:after="120" w:before="120" w:lineRule="auto"/>
              <w:jc w:val="left"/>
              <w:rPr/>
            </w:pPr>
            <w:r w:rsidDel="00000000" w:rsidR="00000000" w:rsidRPr="00000000">
              <w:rPr>
                <w:rtl w:val="0"/>
              </w:rPr>
              <w:t xml:space="preserve">that the Benchmarked Rates are within the Upper Quartile; and</w:t>
            </w:r>
          </w:p>
        </w:tc>
      </w:tr>
      <w:tr>
        <w:trPr>
          <w:cantSplit w:val="0"/>
          <w:tblHeader w:val="0"/>
        </w:trPr>
        <w:tc>
          <w:tcPr>
            <w:shd w:fill="auto"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Rule="auto"/>
              <w:ind w:left="23" w:firstLine="0"/>
              <w:jc w:val="left"/>
              <w:rPr>
                <w:b w:val="1"/>
                <w:bCs w:val="1"/>
              </w:rPr>
            </w:pPr>
            <w:r w:rsidDel="00000000" w:rsidR="00000000" w:rsidRPr="00000000">
              <w:rPr>
                <w:b w:val="1"/>
                <w:bCs w:val="1"/>
                <w:rtl w:val="0"/>
              </w:rPr>
              <w:t xml:space="preserve">"Upper Quartile"</w:t>
            </w:r>
          </w:p>
        </w:tc>
        <w:tc>
          <w:tcPr>
            <w:shd w:fill="auto"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75"/>
              </w:tabs>
              <w:spacing w:after="120" w:before="120" w:lineRule="auto"/>
              <w:jc w:val="left"/>
              <w:rPr/>
            </w:pPr>
            <w:r w:rsidDel="00000000" w:rsidR="00000000" w:rsidRPr="00000000">
              <w:rPr>
                <w:rtl w:val="0"/>
              </w:rPr>
              <w:t xml:space="preserve">in respect of Benchmarked Rates, that based on an analysis of Equivalent Data, the Benchmarked Rates, as compared to the range of prices for Comparable Deliverables, are within the top 25% in terms of best value for money for the recipients of Comparable Deliverables.</w:t>
            </w:r>
          </w:p>
        </w:tc>
      </w:tr>
    </w:tbl>
    <w:p w:rsidR="00000000" w:rsidDel="00000000" w:rsidP="00000000" w:rsidRDefault="00000000" w:rsidRPr="00000000" w14:paraId="00000017">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jc w:val="left"/>
        <w:rPr>
          <w:b w:val="1"/>
          <w:bCs w:val="1"/>
          <w:smallCaps w:val="1"/>
        </w:rPr>
      </w:pPr>
      <w:r w:rsidDel="00000000" w:rsidR="00000000" w:rsidRPr="00000000">
        <w:rPr>
          <w:b w:val="1"/>
          <w:bCs w:val="1"/>
          <w:rtl w:val="0"/>
        </w:rPr>
        <w:t xml:space="preserve">When you should use this Schedule</w:t>
      </w:r>
      <w:r w:rsidDel="00000000" w:rsidR="00000000" w:rsidRPr="00000000">
        <w:rPr>
          <w:rtl w:val="0"/>
        </w:rPr>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b w:val="1"/>
          <w:bCs w:val="1"/>
        </w:rPr>
      </w:pPr>
      <w:r w:rsidDel="00000000" w:rsidR="00000000" w:rsidRPr="00000000">
        <w:rPr>
          <w:rtl w:val="0"/>
        </w:rPr>
        <w:t xml:space="preserve">The Supplier acknowledges that the Buyer wishes to ensure that the Deliverables, represent value for money to the taxpayer throughout the Contract Period.  </w:t>
      </w:r>
      <w:r w:rsidDel="00000000" w:rsidR="00000000" w:rsidRPr="00000000">
        <w:rPr>
          <w:rtl w:val="0"/>
        </w:rPr>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This Schedule sets to ensure the Contract represents value for money throughout and that the Buyer may terminate the Contract by issuing a Termination Notice to the Supplier if the Supplier refuses or fails to comply with its obligations as set out in Paragraph 3 of this Schedule.</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Amounts payable under this Schedule shall not fall with the definition of a Cost.</w:t>
      </w:r>
    </w:p>
    <w:p w:rsidR="00000000" w:rsidDel="00000000" w:rsidP="00000000" w:rsidRDefault="00000000" w:rsidRPr="00000000" w14:paraId="0000001B">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jc w:val="left"/>
        <w:rPr>
          <w:b w:val="1"/>
          <w:bCs w:val="1"/>
        </w:rPr>
      </w:pPr>
      <w:r w:rsidDel="00000000" w:rsidR="00000000" w:rsidRPr="00000000">
        <w:rPr>
          <w:b w:val="1"/>
          <w:bCs w:val="1"/>
          <w:rtl w:val="0"/>
        </w:rPr>
        <w:t xml:space="preserve">Benchmarking</w:t>
      </w:r>
    </w:p>
    <w:p w:rsidR="00000000" w:rsidDel="00000000" w:rsidP="00000000" w:rsidRDefault="00000000" w:rsidRPr="00000000" w14:paraId="0000001C">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b w:val="1"/>
          <w:bCs w:val="1"/>
        </w:rPr>
      </w:pPr>
      <w:r w:rsidDel="00000000" w:rsidR="00000000" w:rsidRPr="00000000">
        <w:rPr>
          <w:b w:val="1"/>
          <w:bCs w:val="1"/>
          <w:rtl w:val="0"/>
        </w:rPr>
        <w:t xml:space="preserve">How benchmarking works</w:t>
      </w:r>
    </w:p>
    <w:p w:rsidR="00000000" w:rsidDel="00000000" w:rsidP="00000000" w:rsidRDefault="00000000" w:rsidRPr="00000000" w14:paraId="0000001D">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Buyer and the Supplier recognise that, where specified in Framework Schedule 4 </w:t>
      </w:r>
      <w:r w:rsidDel="00000000" w:rsidR="00000000" w:rsidRPr="00000000">
        <w:rPr>
          <w:i w:val="1"/>
          <w:iCs w:val="1"/>
          <w:rtl w:val="0"/>
        </w:rPr>
        <w:t xml:space="preserve">(Framework Management)</w:t>
      </w:r>
      <w:r w:rsidDel="00000000" w:rsidR="00000000" w:rsidRPr="00000000">
        <w:rPr>
          <w:rtl w:val="0"/>
        </w:rPr>
        <w:t xml:space="preserve">, the Buyer may give GCA the right to enforce the Buyer's rights under this Schedule.</w:t>
      </w:r>
    </w:p>
    <w:p w:rsidR="00000000" w:rsidDel="00000000" w:rsidP="00000000" w:rsidRDefault="00000000" w:rsidRPr="00000000" w14:paraId="0000001E">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Buyer may, by written notice to the Supplier, require a Benchmark Review of any or all of the Deliverables.</w:t>
      </w:r>
    </w:p>
    <w:p w:rsidR="00000000" w:rsidDel="00000000" w:rsidP="00000000" w:rsidRDefault="00000000" w:rsidRPr="00000000" w14:paraId="0000001F">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Buyer shall not be entitled to request a Benchmark Review during the first six (6) Month period from the Effective Date or at intervals of less than twelve (12) Months after any previous Benchmark Review. </w:t>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purpose of a Benchmark Review will be to establish whether the Benchmarked Deliverables are, individually and/or as a whole, Good Value.</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Deliverables that are to be the Benchmarked Deliverables will be identified by the Buyer in writing.</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Upon its request for a Benchmark Review the Buyer shall nominate a benchmarker.  The Supplier must approve the nomination within ten (10) Working Days unless the Supplier provides a reasonable explanation for rejecting the appointment. If the appointment is rejected then the Buyer may propose an alternative benchmarker. If the Parties cannot agree the appointment within twenty (20) days of the initial request for Benchmark review then a benchmarker shall be selected by the Chartered Institute of Financial Accountants. </w:t>
      </w:r>
    </w:p>
    <w:p w:rsidR="00000000" w:rsidDel="00000000" w:rsidP="00000000" w:rsidRDefault="00000000" w:rsidRPr="00000000" w14:paraId="0000002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cost of a benchmarker shall be borne by the Buyer (provided that each Party shall bear its own internal costs of the Benchmark Review) except where the Benchmark Review demonstrates that the Benchmarked Service and/or the Benchmarked Deliverables are not Good Value, in which case the Parties shall share the cost of the benchmarker in such proportions as the Parties agree (acting reasonably). Invoices by the benchmarker shall be raised against the Supplier and the relevant portion shall be reimbursed by the Buyer.</w:t>
      </w:r>
    </w:p>
    <w:p w:rsidR="00000000" w:rsidDel="00000000" w:rsidP="00000000" w:rsidRDefault="00000000" w:rsidRPr="00000000" w14:paraId="00000024">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b w:val="1"/>
          <w:bCs w:val="1"/>
        </w:rPr>
      </w:pPr>
      <w:r w:rsidDel="00000000" w:rsidR="00000000" w:rsidRPr="00000000">
        <w:rPr>
          <w:b w:val="1"/>
          <w:bCs w:val="1"/>
          <w:rtl w:val="0"/>
        </w:rPr>
        <w:t xml:space="preserve">Benchmarking Process</w:t>
      </w:r>
    </w:p>
    <w:p w:rsidR="00000000" w:rsidDel="00000000" w:rsidP="00000000" w:rsidRDefault="00000000" w:rsidRPr="00000000" w14:paraId="00000025">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bookmarkStart w:colFirst="0" w:colLast="0" w:name="_heading=h.gjdgxs" w:id="1"/>
      <w:bookmarkEnd w:id="1"/>
      <w:r w:rsidDel="00000000" w:rsidR="00000000" w:rsidRPr="00000000">
        <w:rPr>
          <w:rtl w:val="0"/>
        </w:rPr>
        <w:t xml:space="preserve">The benchmarker shall produce and send to the Buyer, for Approval, a draft plan for the Benchmark Review which must include:</w:t>
      </w:r>
    </w:p>
    <w:p w:rsidR="00000000" w:rsidDel="00000000" w:rsidP="00000000" w:rsidRDefault="00000000" w:rsidRPr="00000000" w14:paraId="00000026">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a proposed cost and timetable for the Benchmark Review;</w:t>
      </w:r>
    </w:p>
    <w:p w:rsidR="00000000" w:rsidDel="00000000" w:rsidP="00000000" w:rsidRDefault="00000000" w:rsidRPr="00000000" w14:paraId="00000027">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a description of the benchmarking methodology to be used which must demonstrate that the methodology to be used is capable of fulfilling the benchmarking purpose; and</w:t>
      </w:r>
    </w:p>
    <w:p w:rsidR="00000000" w:rsidDel="00000000" w:rsidP="00000000" w:rsidRDefault="00000000" w:rsidRPr="00000000" w14:paraId="00000028">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jc w:val="left"/>
        <w:rPr/>
      </w:pPr>
      <w:r w:rsidDel="00000000" w:rsidR="00000000" w:rsidRPr="00000000">
        <w:rPr>
          <w:rtl w:val="0"/>
        </w:rPr>
        <w:t xml:space="preserve">a description of how the benchmarker will scope and identify the Comparison Group. </w:t>
      </w:r>
    </w:p>
    <w:p w:rsidR="00000000" w:rsidDel="00000000" w:rsidP="00000000" w:rsidRDefault="00000000" w:rsidRPr="00000000" w14:paraId="00000029">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bookmarkStart w:colFirst="0" w:colLast="0" w:name="_heading=h.30j0zll" w:id="2"/>
      <w:bookmarkEnd w:id="2"/>
      <w:r w:rsidDel="00000000" w:rsidR="00000000" w:rsidRPr="00000000">
        <w:rPr>
          <w:rtl w:val="0"/>
        </w:rPr>
        <w:t xml:space="preserve">The benchmarker, acting reasonably, shall be entitled to use any model to determine the achievement of value for money and to carry out the benchmarking. </w:t>
      </w:r>
    </w:p>
    <w:p w:rsidR="00000000" w:rsidDel="00000000" w:rsidP="00000000" w:rsidRDefault="00000000" w:rsidRPr="00000000" w14:paraId="0000002A">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bookmarkStart w:colFirst="0" w:colLast="0" w:name="_heading=h.1fob9te" w:id="3"/>
      <w:bookmarkEnd w:id="3"/>
      <w:r w:rsidDel="00000000" w:rsidR="00000000" w:rsidRPr="00000000">
        <w:rPr>
          <w:rtl w:val="0"/>
        </w:rPr>
        <w:t xml:space="preserve">The Buyer must give notice in writing to the Supplier within ten (10) Working Days after receiving the draft plan, advising the benchmarker and the Supplier whether it approves the draft plan, or, if it does not approve the draft plan, suggesting amendments to that plan (which must be reasonable). If amendments are suggested then the benchmarker must produce an amended draft plan and this Paragraph 3.2.3 shall apply to any amended draft plan.</w:t>
      </w:r>
    </w:p>
    <w:p w:rsidR="00000000" w:rsidDel="00000000" w:rsidP="00000000" w:rsidRDefault="00000000" w:rsidRPr="00000000" w14:paraId="0000002B">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Once both Parties have approved the draft plan then they will notify the benchmarker. No Party may unreasonably withhold or delay its agreement to the draft plan.</w:t>
      </w:r>
    </w:p>
    <w:p w:rsidR="00000000" w:rsidDel="00000000" w:rsidP="00000000" w:rsidRDefault="00000000" w:rsidRPr="00000000" w14:paraId="0000002C">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Once it has received the Approval of the draft plan, the benchmarker shall:</w:t>
      </w:r>
    </w:p>
    <w:p w:rsidR="00000000" w:rsidDel="00000000" w:rsidP="00000000" w:rsidRDefault="00000000" w:rsidRPr="00000000" w14:paraId="0000002D">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finalise the Comparison Group and collect data relating to Comparable Rates. The selection of the Comparable Rates (both in terms of number and identity) shall be a matter for the benchmarker's professional judgment using:</w:t>
      </w:r>
    </w:p>
    <w:p w:rsidR="00000000" w:rsidDel="00000000" w:rsidP="00000000" w:rsidRDefault="00000000" w:rsidRPr="00000000" w14:paraId="0000002E">
      <w:pPr>
        <w:numPr>
          <w:ilvl w:val="4"/>
          <w:numId w:val="1"/>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jc w:val="left"/>
        <w:rPr/>
      </w:pPr>
      <w:r w:rsidDel="00000000" w:rsidR="00000000" w:rsidRPr="00000000">
        <w:rPr>
          <w:rtl w:val="0"/>
        </w:rPr>
        <w:t xml:space="preserve">information from other service providers to the Buyer;</w:t>
      </w:r>
    </w:p>
    <w:p w:rsidR="00000000" w:rsidDel="00000000" w:rsidP="00000000" w:rsidRDefault="00000000" w:rsidRPr="00000000" w14:paraId="0000002F">
      <w:pPr>
        <w:numPr>
          <w:ilvl w:val="4"/>
          <w:numId w:val="1"/>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jc w:val="left"/>
        <w:rPr/>
      </w:pPr>
      <w:r w:rsidDel="00000000" w:rsidR="00000000" w:rsidRPr="00000000">
        <w:rPr>
          <w:rtl w:val="0"/>
        </w:rPr>
        <w:t xml:space="preserve">survey information;</w:t>
      </w:r>
    </w:p>
    <w:p w:rsidR="00000000" w:rsidDel="00000000" w:rsidP="00000000" w:rsidRDefault="00000000" w:rsidRPr="00000000" w14:paraId="00000030">
      <w:pPr>
        <w:numPr>
          <w:ilvl w:val="4"/>
          <w:numId w:val="1"/>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jc w:val="left"/>
        <w:rPr/>
      </w:pPr>
      <w:r w:rsidDel="00000000" w:rsidR="00000000" w:rsidRPr="00000000">
        <w:rPr>
          <w:rtl w:val="0"/>
        </w:rPr>
        <w:t xml:space="preserve">information from "in-house" providers to the Buyer to the extent that the benchmarker considers that they are valid comparators;</w:t>
      </w:r>
    </w:p>
    <w:p w:rsidR="00000000" w:rsidDel="00000000" w:rsidP="00000000" w:rsidRDefault="00000000" w:rsidRPr="00000000" w14:paraId="00000031">
      <w:pPr>
        <w:numPr>
          <w:ilvl w:val="4"/>
          <w:numId w:val="1"/>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jc w:val="left"/>
        <w:rPr/>
      </w:pPr>
      <w:r w:rsidDel="00000000" w:rsidR="00000000" w:rsidRPr="00000000">
        <w:rPr>
          <w:rtl w:val="0"/>
        </w:rPr>
        <w:t xml:space="preserve">market intelligence;</w:t>
      </w:r>
    </w:p>
    <w:p w:rsidR="00000000" w:rsidDel="00000000" w:rsidP="00000000" w:rsidRDefault="00000000" w:rsidRPr="00000000" w14:paraId="00000032">
      <w:pPr>
        <w:numPr>
          <w:ilvl w:val="4"/>
          <w:numId w:val="1"/>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jc w:val="left"/>
        <w:rPr/>
      </w:pPr>
      <w:r w:rsidDel="00000000" w:rsidR="00000000" w:rsidRPr="00000000">
        <w:rPr>
          <w:rtl w:val="0"/>
        </w:rPr>
        <w:t xml:space="preserve">the benchmarker’s own data and experience;</w:t>
      </w:r>
    </w:p>
    <w:p w:rsidR="00000000" w:rsidDel="00000000" w:rsidP="00000000" w:rsidRDefault="00000000" w:rsidRPr="00000000" w14:paraId="00000033">
      <w:pPr>
        <w:numPr>
          <w:ilvl w:val="4"/>
          <w:numId w:val="1"/>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jc w:val="left"/>
        <w:rPr/>
      </w:pPr>
      <w:r w:rsidDel="00000000" w:rsidR="00000000" w:rsidRPr="00000000">
        <w:rPr>
          <w:rtl w:val="0"/>
        </w:rPr>
        <w:t xml:space="preserve">relevant published information; and</w:t>
      </w:r>
    </w:p>
    <w:p w:rsidR="00000000" w:rsidDel="00000000" w:rsidP="00000000" w:rsidRDefault="00000000" w:rsidRPr="00000000" w14:paraId="00000034">
      <w:pPr>
        <w:numPr>
          <w:ilvl w:val="4"/>
          <w:numId w:val="1"/>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jc w:val="left"/>
        <w:rPr/>
      </w:pPr>
      <w:bookmarkStart w:colFirst="0" w:colLast="0" w:name="_heading=h.3znysh7" w:id="4"/>
      <w:bookmarkEnd w:id="4"/>
      <w:r w:rsidDel="00000000" w:rsidR="00000000" w:rsidRPr="00000000">
        <w:rPr>
          <w:rtl w:val="0"/>
        </w:rPr>
        <w:t xml:space="preserve">pursuant to Paragraph 3.2.6  below, information from other suppliers or purchasers on Comparable Rates;</w:t>
      </w:r>
    </w:p>
    <w:p w:rsidR="00000000" w:rsidDel="00000000" w:rsidP="00000000" w:rsidRDefault="00000000" w:rsidRPr="00000000" w14:paraId="00000035">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by applying the adjustment factors listed in Paragraph 3.2.7 and from an analysis of the Comparable Rates, derive the Equivalent Data;</w:t>
      </w:r>
    </w:p>
    <w:p w:rsidR="00000000" w:rsidDel="00000000" w:rsidP="00000000" w:rsidRDefault="00000000" w:rsidRPr="00000000" w14:paraId="00000036">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using the Equivalent Data, calculate the Upper Quartile; and</w:t>
      </w:r>
    </w:p>
    <w:p w:rsidR="00000000" w:rsidDel="00000000" w:rsidP="00000000" w:rsidRDefault="00000000" w:rsidRPr="00000000" w14:paraId="00000037">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determine whether or not each Benchmarked Rate is, and/or the Benchmarked Rates as a whole are, Good Value.</w:t>
      </w:r>
    </w:p>
    <w:p w:rsidR="00000000" w:rsidDel="00000000" w:rsidP="00000000" w:rsidRDefault="00000000" w:rsidRPr="00000000" w14:paraId="00000038">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bookmarkStart w:colFirst="0" w:colLast="0" w:name="_heading=h.2et92p0" w:id="5"/>
      <w:bookmarkEnd w:id="5"/>
      <w:r w:rsidDel="00000000" w:rsidR="00000000" w:rsidRPr="00000000">
        <w:rPr>
          <w:rtl w:val="0"/>
        </w:rPr>
        <w:t xml:space="preserve">The Supplier shall use all reasonable endeavours and act in good faith to supply information required by the benchmarker in order to undertake the benchmarking.  The Supplier agrees to use its reasonable endeavours to obtain information from other suppliers or purchasers on Comparable Rates.</w:t>
      </w:r>
    </w:p>
    <w:p w:rsidR="00000000" w:rsidDel="00000000" w:rsidP="00000000" w:rsidRDefault="00000000" w:rsidRPr="00000000" w14:paraId="00000039">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bookmarkStart w:colFirst="0" w:colLast="0" w:name="_heading=h.tyjcwt" w:id="6"/>
      <w:bookmarkEnd w:id="6"/>
      <w:r w:rsidDel="00000000" w:rsidR="00000000" w:rsidRPr="00000000">
        <w:rPr>
          <w:rtl w:val="0"/>
        </w:rPr>
        <w:t xml:space="preserve">In carrying out the benchmarking analysis the benchmarker may have regard to the following matters when performing a comparative assessment of the Benchmarked Rates and the Comparable Rates in order to derive Equivalent Data:</w:t>
      </w:r>
    </w:p>
    <w:p w:rsidR="00000000" w:rsidDel="00000000" w:rsidP="00000000" w:rsidRDefault="00000000" w:rsidRPr="00000000" w14:paraId="0000003A">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the contractual terms and business environment under which the Comparable Rates are being provided (including the scale and geographical spread of the customers);</w:t>
      </w:r>
    </w:p>
    <w:p w:rsidR="00000000" w:rsidDel="00000000" w:rsidP="00000000" w:rsidRDefault="00000000" w:rsidRPr="00000000" w14:paraId="0000003B">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exchange rates; and</w:t>
      </w:r>
    </w:p>
    <w:p w:rsidR="00000000" w:rsidDel="00000000" w:rsidP="00000000" w:rsidRDefault="00000000" w:rsidRPr="00000000" w14:paraId="0000003C">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any other factors reasonably identified by the Supplier, which, if not taken into consideration, could unfairly cause the Supplier's pricing to appear non-competitive.</w:t>
      </w:r>
    </w:p>
    <w:p w:rsidR="00000000" w:rsidDel="00000000" w:rsidP="00000000" w:rsidRDefault="00000000" w:rsidRPr="00000000" w14:paraId="0000003D">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2"/>
        <w:jc w:val="left"/>
        <w:rPr>
          <w:b w:val="1"/>
          <w:bCs w:val="1"/>
        </w:rPr>
      </w:pPr>
      <w:r w:rsidDel="00000000" w:rsidR="00000000" w:rsidRPr="00000000">
        <w:rPr>
          <w:b w:val="1"/>
          <w:bCs w:val="1"/>
          <w:rtl w:val="0"/>
        </w:rPr>
        <w:t xml:space="preserve">Benchmarking Report</w:t>
      </w:r>
    </w:p>
    <w:p w:rsidR="00000000" w:rsidDel="00000000" w:rsidP="00000000" w:rsidRDefault="00000000" w:rsidRPr="00000000" w14:paraId="0000003E">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For the purposes of this Schedule </w:t>
      </w:r>
      <w:r w:rsidDel="00000000" w:rsidR="00000000" w:rsidRPr="00000000">
        <w:rPr>
          <w:b w:val="1"/>
          <w:bCs w:val="1"/>
          <w:rtl w:val="0"/>
        </w:rPr>
        <w:t xml:space="preserve">"Benchmarking Report"</w:t>
      </w:r>
      <w:r w:rsidDel="00000000" w:rsidR="00000000" w:rsidRPr="00000000">
        <w:rPr>
          <w:rtl w:val="0"/>
        </w:rPr>
        <w:t xml:space="preserve"> shall mean the report produced by the benchmarker following the Benchmark Review and as further described in this Schedule.</w:t>
      </w:r>
    </w:p>
    <w:p w:rsidR="00000000" w:rsidDel="00000000" w:rsidP="00000000" w:rsidRDefault="00000000" w:rsidRPr="00000000" w14:paraId="0000003F">
      <w:pPr>
        <w:keepNext w:val="1"/>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benchmarker shall prepare a Benchmarking Report and deliver it to the Buyer, at the time specified in the plan approved pursuant to Paragraph 3.2.3, setting out its findings.  Those findings shall be required to:</w:t>
      </w:r>
    </w:p>
    <w:p w:rsidR="00000000" w:rsidDel="00000000" w:rsidP="00000000" w:rsidRDefault="00000000" w:rsidRPr="00000000" w14:paraId="00000040">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include a finding as to whether or not a Benchmarked Service and/or whether the Benchmarked Deliverables as a whole are, Good Value;</w:t>
      </w:r>
    </w:p>
    <w:p w:rsidR="00000000" w:rsidDel="00000000" w:rsidP="00000000" w:rsidRDefault="00000000" w:rsidRPr="00000000" w14:paraId="00000041">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if any of the Benchmarked Deliverables are, individually or as a whole, not Good Value, specify the changes that would be required to make that Benchmarked Service or the Benchmarked Deliverables as a whole Good Value; and </w:t>
      </w:r>
    </w:p>
    <w:p w:rsidR="00000000" w:rsidDel="00000000" w:rsidP="00000000" w:rsidRDefault="00000000" w:rsidRPr="00000000" w14:paraId="00000042">
      <w:pPr>
        <w:numPr>
          <w:ilvl w:val="3"/>
          <w:numId w:val="1"/>
        </w:numPr>
        <w:pBdr>
          <w:top w:space="0" w:sz="0" w:val="nil"/>
          <w:left w:space="0" w:sz="0" w:val="nil"/>
          <w:bottom w:space="0" w:sz="0" w:val="nil"/>
          <w:right w:space="0" w:sz="0" w:val="nil"/>
          <w:between w:space="0" w:sz="0" w:val="nil"/>
        </w:pBdr>
        <w:tabs>
          <w:tab w:val="left" w:leader="none" w:pos="1985"/>
        </w:tabs>
        <w:spacing w:after="120" w:before="120" w:lineRule="auto"/>
        <w:ind w:left="2835" w:hanging="850"/>
        <w:jc w:val="left"/>
        <w:rPr/>
      </w:pPr>
      <w:r w:rsidDel="00000000" w:rsidR="00000000" w:rsidRPr="00000000">
        <w:rPr>
          <w:rtl w:val="0"/>
        </w:rPr>
        <w:t xml:space="preserve">include sufficient detail and transparency so that the Party requesting the Benchmarking can interpret and understand how the Supplier has calculated whether or not the Benchmarked Deliverables are, individually or as a whole, Good Value.</w:t>
      </w:r>
    </w:p>
    <w:p w:rsidR="00000000" w:rsidDel="00000000" w:rsidP="00000000" w:rsidRDefault="00000000" w:rsidRPr="00000000" w14:paraId="0000004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sectPr>
          <w:headerReference r:id="rId7" w:type="default"/>
          <w:headerReference r:id="rId8" w:type="first"/>
          <w:footerReference r:id="rId9" w:type="default"/>
          <w:footerReference r:id="rId10" w:type="first"/>
          <w:pgSz w:h="16838" w:w="11906" w:orient="portrait"/>
          <w:pgMar w:bottom="1440" w:top="1440" w:left="1440" w:right="1440" w:header="709" w:footer="709"/>
          <w:pgNumType w:start="1"/>
        </w:sectPr>
      </w:pPr>
      <w:r w:rsidDel="00000000" w:rsidR="00000000" w:rsidRPr="00000000">
        <w:rPr>
          <w:rtl w:val="0"/>
        </w:rPr>
        <w:t xml:space="preserve">The Parties agree that any changes required to this Contract identified in the Benchmarking Report shall be implemented at the direction of the Buyer in accordance with the Variation Procedure.</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1985"/>
        </w:tabs>
        <w:spacing w:after="120" w:before="120" w:lineRule="auto"/>
        <w:ind w:left="1656" w:hanging="720"/>
        <w:jc w:val="left"/>
        <w:rPr/>
      </w:pPr>
      <w:r w:rsidDel="00000000" w:rsidR="00000000" w:rsidRPr="00000000">
        <w:rPr>
          <w:rtl w:val="0"/>
        </w:rPr>
      </w:r>
    </w:p>
    <w:sectPr>
      <w:type w:val="nextPage"/>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4B">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tabs>
        <w:tab w:val="center" w:leader="none" w:pos="4513"/>
        <w:tab w:val="right" w:leader="none" w:pos="9026"/>
      </w:tabs>
      <w:spacing w:after="0" w:lineRule="auto"/>
      <w:rPr>
        <w:sz w:val="14"/>
        <w:szCs w:val="14"/>
      </w:rPr>
    </w:pPr>
    <w:r w:rsidDel="00000000" w:rsidR="00000000" w:rsidRPr="00000000">
      <w:rPr>
        <w:sz w:val="20"/>
        <w:szCs w:val="20"/>
        <w:rtl w:val="0"/>
      </w:rPr>
      <w:t xml:space="preserve">Model Version: v1.0 PA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tabs>
        <w:tab w:val="center" w:leader="none" w:pos="4513"/>
        <w:tab w:val="right" w:leader="none" w:pos="9026"/>
      </w:tabs>
      <w:spacing w:after="0" w:lineRule="auto"/>
      <w:rPr/>
    </w:pPr>
    <w:r w:rsidDel="00000000" w:rsidR="00000000" w:rsidRPr="00000000">
      <w:rPr>
        <w:sz w:val="20"/>
        <w:szCs w:val="20"/>
        <w:rtl w:val="0"/>
      </w:rPr>
      <w:t xml:space="preserve">Model Version: v3.0</w:t>
      <w:tab/>
    </w:r>
    <w:r w:rsidDel="00000000" w:rsidR="00000000" w:rsidRPr="00000000">
      <w:rPr>
        <w:rtl w:val="0"/>
      </w:rPr>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b w:val="1"/>
        <w:bCs w:val="1"/>
        <w:sz w:val="22"/>
        <w:szCs w:val="22"/>
        <w:rtl w:val="0"/>
      </w:rPr>
      <w:t xml:space="preserve">Call-Off Schedule 16 (Benchmarking)</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5714365</wp:posOffset>
          </wp:positionH>
          <wp:positionV relativeFrom="paragraph">
            <wp:posOffset>-13332</wp:posOffset>
          </wp:positionV>
          <wp:extent cx="849085" cy="685627"/>
          <wp:effectExtent b="0" l="0" r="0" t="0"/>
          <wp:wrapNone/>
          <wp:docPr descr="Crown Commercial Service" id="11" name="image1.png"/>
          <a:graphic>
            <a:graphicData uri="http://schemas.openxmlformats.org/drawingml/2006/picture">
              <pic:pic>
                <pic:nvPicPr>
                  <pic:cNvPr descr="Crown Commercial Service" id="0" name="image1.png"/>
                  <pic:cNvPicPr preferRelativeResize="0"/>
                </pic:nvPicPr>
                <pic:blipFill>
                  <a:blip r:embed="rId1"/>
                  <a:srcRect b="0" l="0" r="0" t="0"/>
                  <a:stretch>
                    <a:fillRect/>
                  </a:stretch>
                </pic:blipFill>
                <pic:spPr>
                  <a:xfrm>
                    <a:off x="0" y="0"/>
                    <a:ext cx="849085" cy="68562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8.99999999999994"/>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563"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link w:val="GPSL1CLAUSEHEADINGChar"/>
    <w:uiPriority w:val="99"/>
    <w:qFormat w:val="1"/>
    <w:pPr>
      <w:numPr>
        <w:numId w:val="2"/>
      </w:numPr>
      <w:tabs>
        <w:tab w:val="left" w:pos="142"/>
      </w:tabs>
      <w:overflowPunct w:val="1"/>
      <w:autoSpaceDE w:val="1"/>
      <w:autoSpaceDN w:val="1"/>
      <w:spacing w:before="120"/>
      <w:ind w:left="426" w:hanging="426"/>
      <w:textAlignment w:val="auto"/>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2"/>
      </w:numPr>
      <w:tabs>
        <w:tab w:val="left" w:pos="1985"/>
      </w:tabs>
      <w:overflowPunct w:val="1"/>
      <w:autoSpaceDE w:val="1"/>
      <w:autoSpaceDN w:val="1"/>
      <w:spacing w:after="120" w:before="120"/>
      <w:ind w:left="1656"/>
      <w:textAlignment w:val="auto"/>
    </w:pPr>
    <w:rPr>
      <w:lang w:eastAsia="zh-CN"/>
    </w:rPr>
  </w:style>
  <w:style w:type="paragraph" w:styleId="GPSL4numberedclause" w:customStyle="1">
    <w:name w:val="GPS L4 numbered clause"/>
    <w:basedOn w:val="GPSL3numberedclause"/>
    <w:link w:val="GPSL4numberedclauseChar"/>
    <w:qFormat w:val="1"/>
    <w:pPr>
      <w:numPr>
        <w:ilvl w:val="3"/>
      </w:numPr>
      <w:tabs>
        <w:tab w:val="clear" w:pos="1985"/>
      </w:tabs>
      <w:ind w:left="2592" w:hanging="936"/>
    </w:pPr>
  </w:style>
  <w:style w:type="character" w:styleId="GPSL4numberedclauseChar" w:customStyle="1">
    <w:name w:val="GPS L4 numbered clause Char"/>
    <w:link w:val="GPSL4numberedclause"/>
    <w:locked w:val="1"/>
    <w:rPr>
      <w:rFonts w:ascii="Calibri" w:cs="Arial" w:eastAsia="Times New Roman" w:hAnsi="Calibri"/>
      <w:lang w:eastAsia="zh-CN"/>
    </w:rPr>
  </w:style>
  <w:style w:type="paragraph" w:styleId="GPSL5numberedclause" w:customStyle="1">
    <w:name w:val="GPS L5 numbered clause"/>
    <w:basedOn w:val="GPSL4numberedclause"/>
    <w:link w:val="GPSL5numberedclauseChar"/>
    <w:qFormat w:val="1"/>
    <w:pPr>
      <w:numPr>
        <w:ilvl w:val="4"/>
      </w:numPr>
      <w:tabs>
        <w:tab w:val="left" w:pos="3119"/>
      </w:tabs>
      <w:ind w:left="3119" w:hanging="567"/>
    </w:pPr>
  </w:style>
  <w:style w:type="paragraph" w:styleId="GPSL2NumberedBoldHeading" w:customStyle="1">
    <w:name w:val="GPS L2 Numbered Bold Heading"/>
    <w:basedOn w:val="Normal"/>
    <w:link w:val="GPSL2NumberedBoldHeadingChar"/>
    <w:qFormat w:val="1"/>
    <w:pPr>
      <w:numPr>
        <w:ilvl w:val="1"/>
        <w:numId w:val="2"/>
      </w:numPr>
      <w:tabs>
        <w:tab w:val="left" w:pos="1134"/>
      </w:tabs>
      <w:overflowPunct w:val="1"/>
      <w:autoSpaceDE w:val="1"/>
      <w:autoSpaceDN w:val="1"/>
      <w:spacing w:after="120" w:before="120"/>
      <w:ind w:hanging="218"/>
      <w:textAlignment w:val="auto"/>
    </w:pPr>
    <w:rPr>
      <w:b w:val="1"/>
      <w:lang w:eastAsia="zh-CN"/>
    </w:rPr>
  </w:style>
  <w:style w:type="paragraph" w:styleId="GPSL6numbered" w:customStyle="1">
    <w:name w:val="GPS L6 numbered"/>
    <w:basedOn w:val="GPSL5numberedclause"/>
    <w:uiPriority w:val="99"/>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character" w:styleId="GPSL2NumberedBoldHeadingChar" w:customStyle="1">
    <w:name w:val="GPS L2 Numbered Bold Heading Char"/>
    <w:link w:val="GPSL2NumberedBoldHeading"/>
    <w:locked w:val="1"/>
    <w:rPr>
      <w:rFonts w:ascii="Calibri" w:cs="Arial" w:eastAsia="Times New Roman" w:hAnsi="Calibri"/>
      <w:b w:val="1"/>
      <w:lang w:eastAsia="zh-CN"/>
    </w:rPr>
  </w:style>
  <w:style w:type="paragraph" w:styleId="GPsDefinition" w:customStyle="1">
    <w:name w:val="GPs Definition"/>
    <w:basedOn w:val="Normal"/>
    <w:uiPriority w:val="99"/>
    <w:qFormat w:val="1"/>
    <w:pPr>
      <w:numPr>
        <w:numId w:val="1"/>
      </w:numPr>
      <w:tabs>
        <w:tab w:val="left" w:pos="175"/>
      </w:tabs>
      <w:spacing w:after="120"/>
    </w:pPr>
  </w:style>
  <w:style w:type="paragraph" w:styleId="GPSDefinitionL2" w:customStyle="1">
    <w:name w:val="GPS Definition L2"/>
    <w:basedOn w:val="GPsDefinition"/>
    <w:uiPriority w:val="99"/>
    <w:qFormat w:val="1"/>
    <w:pPr>
      <w:numPr>
        <w:ilvl w:val="1"/>
      </w:numPr>
      <w:ind w:hanging="544"/>
    </w:pPr>
  </w:style>
  <w:style w:type="paragraph" w:styleId="GPSDefinitionL3" w:customStyle="1">
    <w:name w:val="GPS Definition L3"/>
    <w:basedOn w:val="GPSDefinitionL2"/>
    <w:uiPriority w:val="99"/>
    <w:qFormat w:val="1"/>
    <w:pPr>
      <w:numPr>
        <w:ilvl w:val="2"/>
      </w:numPr>
    </w:pPr>
  </w:style>
  <w:style w:type="paragraph" w:styleId="GPSDefinitionL4" w:customStyle="1">
    <w:name w:val="GPS Definition L4"/>
    <w:basedOn w:val="GPSDefinitionL3"/>
    <w:uiPriority w:val="99"/>
    <w:qFormat w:val="1"/>
    <w:pPr>
      <w:numPr>
        <w:ilvl w:val="3"/>
      </w:numPr>
    </w:pPr>
  </w:style>
  <w:style w:type="paragraph" w:styleId="GPSDefinitionTerm" w:customStyle="1">
    <w:name w:val="GPS Definition Term"/>
    <w:basedOn w:val="Normal"/>
    <w:uiPriority w:val="99"/>
    <w:qFormat w:val="1"/>
    <w:pPr>
      <w:spacing w:after="120"/>
      <w:ind w:left="-108"/>
      <w:jc w:val="left"/>
    </w:pPr>
    <w:rPr>
      <w:b w:val="1"/>
    </w:rPr>
  </w:style>
  <w:style w:type="paragraph" w:styleId="GPSL1SCHEDULEHeading" w:customStyle="1">
    <w:name w:val="GPS L1 SCHEDULE Heading"/>
    <w:basedOn w:val="GPSL1CLAUSEHEADING"/>
    <w:link w:val="GPSL1SCHEDULEHeadingChar"/>
    <w:qFormat w:val="1"/>
    <w:pPr>
      <w:ind w:left="360" w:hanging="360"/>
      <w:outlineLvl w:val="9"/>
    </w:pPr>
  </w:style>
  <w:style w:type="paragraph" w:styleId="GPSmacrorestart" w:customStyle="1">
    <w:name w:val="GPS macro restart"/>
    <w:basedOn w:val="Normal"/>
    <w:qFormat w:val="1"/>
    <w:pPr>
      <w:spacing w:after="0"/>
    </w:pPr>
    <w:rPr>
      <w:color w:val="ffffff"/>
      <w:sz w:val="16"/>
      <w:szCs w:val="16"/>
    </w:rPr>
  </w:style>
  <w:style w:type="paragraph" w:styleId="GPSSchTitleandNumber" w:customStyle="1">
    <w:name w:val="GPS Sch Title and Number"/>
    <w:basedOn w:val="Normal"/>
    <w:link w:val="GPSSchTitleandNumberChar"/>
    <w:qFormat w:val="1"/>
    <w:pPr>
      <w:keepNext w:val="1"/>
      <w:overflowPunct w:val="1"/>
      <w:autoSpaceDE w:val="1"/>
      <w:autoSpaceDN w:val="1"/>
      <w:ind w:firstLine="426"/>
      <w:jc w:val="center"/>
      <w:textAlignment w:val="auto"/>
      <w:outlineLvl w:val="0"/>
    </w:pPr>
    <w:rPr>
      <w:rFonts w:ascii="Arial Bold" w:cs="Times New Roman" w:eastAsia="STZhongsong" w:hAnsi="Arial Bold"/>
      <w:b w:val="1"/>
      <w:caps w:val="1"/>
      <w:lang w:eastAsia="zh-CN"/>
    </w:rPr>
  </w:style>
  <w:style w:type="paragraph" w:styleId="GPSL2Numbered" w:customStyle="1">
    <w:name w:val="GPS L2 Numbered"/>
    <w:basedOn w:val="GPSL2NumberedBoldHeading"/>
    <w:link w:val="GPSL2NumberedChar"/>
    <w:qFormat w:val="1"/>
    <w:pPr>
      <w:tabs>
        <w:tab w:val="clear" w:pos="1134"/>
      </w:tabs>
      <w:ind w:left="936" w:hanging="576"/>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character" w:styleId="GPSL1SCHEDULEHeadingChar" w:customStyle="1">
    <w:name w:val="GPS L1 SCHEDULE Heading Char"/>
    <w:link w:val="GPSL1SCHEDULEHeading"/>
    <w:locked w:val="1"/>
    <w:rPr>
      <w:rFonts w:ascii="Calibri" w:cs="Arial" w:eastAsia="STZhongsong" w:hAnsi="Calibri"/>
      <w:b w:val="1"/>
      <w:caps w:val="1"/>
      <w:lang w:eastAsia="zh-CN"/>
    </w:rPr>
  </w:style>
  <w:style w:type="character" w:styleId="GPSSchTitleandNumberChar" w:customStyle="1">
    <w:name w:val="GPS Sch Title and Number Char"/>
    <w:link w:val="GPSSchTitleandNumber"/>
    <w:locked w:val="1"/>
    <w:rPr>
      <w:rFonts w:ascii="Arial Bold" w:cs="Times New Roman" w:eastAsia="STZhongsong" w:hAnsi="Arial Bold"/>
      <w:b w:val="1"/>
      <w:caps w:val="1"/>
      <w:lang w:eastAsia="zh-CN"/>
    </w:rPr>
  </w:style>
  <w:style w:type="paragraph" w:styleId="GPSL2numberedclause" w:customStyle="1">
    <w:name w:val="GPS L2 numbered clause"/>
    <w:basedOn w:val="Normal"/>
    <w:link w:val="GPSL2numberedclauseChar1"/>
    <w:qFormat w:val="1"/>
    <w:pPr>
      <w:tabs>
        <w:tab w:val="left" w:pos="1134"/>
      </w:tabs>
      <w:overflowPunct w:val="1"/>
      <w:autoSpaceDE w:val="1"/>
      <w:autoSpaceDN w:val="1"/>
      <w:spacing w:after="120" w:before="120"/>
      <w:ind w:left="1134" w:hanging="567"/>
      <w:textAlignment w:val="auto"/>
    </w:pPr>
    <w:rPr>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1CLAUSEHEADINGChar" w:customStyle="1">
    <w:name w:val="GPS L1 CLAUSE HEADING Char"/>
    <w:link w:val="GPSL1CLAUSEHEADING"/>
    <w:rPr>
      <w:rFonts w:ascii="Calibri" w:cs="Arial" w:eastAsia="STZhongsong" w:hAnsi="Calibri"/>
      <w:b w:val="1"/>
      <w:caps w:val="1"/>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ascii="Calibri" w:cs="Arial" w:eastAsia="Times New Roman"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Arial" w:eastAsia="Times New Roman" w:hAnsi="Calibri"/>
      <w:b w:val="1"/>
      <w:bCs w:val="1"/>
      <w:sz w:val="20"/>
      <w:szCs w:val="20"/>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paragraph" w:styleId="Normal1" w:customStyle="1">
    <w:name w:val="Normal1"/>
    <w:pPr>
      <w:widowControl w:val="0"/>
      <w:spacing w:after="80"/>
    </w:pPr>
  </w:style>
  <w:style w:type="table" w:styleId="TableGrid">
    <w:name w:val="Table Grid"/>
    <w:basedOn w:val="TableNormal"/>
    <w:uiPriority w:val="59"/>
    <w:pPr>
      <w:spacing w:after="0"/>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4D49BE"/>
    <w:pPr>
      <w:spacing w:after="0"/>
    </w:pPr>
    <w:rPr>
      <w:rFonts w:eastAsia="Times New Roman"/>
    </w:rPr>
  </w:style>
  <w:style w:type="table" w:styleId="a" w:customStyle="1">
    <w:basedOn w:val="TableNormal"/>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D752C6"/>
    <w:pPr>
      <w:overflowPunct w:val="1"/>
      <w:autoSpaceDE w:val="1"/>
      <w:autoSpaceDN w:val="1"/>
      <w:adjustRightInd w:val="1"/>
      <w:spacing w:after="200" w:line="276" w:lineRule="auto"/>
      <w:ind w:left="720"/>
      <w:contextualSpacing w:val="1"/>
      <w:jc w:val="left"/>
      <w:textAlignment w:val="auto"/>
    </w:pPr>
    <w:rPr>
      <w:rFonts w:cs="Calibri"/>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vZosutyBGODVHwgg3jcwnw0XcA==">CgMxLjAyDmguaDl5Ym5xMXNzeXp4MghoLmdqZGd4czIJaC4zMGowemxsMgloLjFmb2I5dGUyCWguM3pueXNoNzIJaC4yZXQ5MnAwMghoLnR5amN3dDgAciExVVB2alZjRGFWUlUzX0hUaGxhUFdycUpnUUhLVGVXTmk=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2024-07-09T08:21:00Z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90441076-1</vt:lpwstr>
  </property>
  <property fmtid="{D5CDD505-2E9C-101B-9397-08002B2CF9AE}" pid="3" name="DWFAuthor">
    <vt:lpwstr>DJEFFERIES</vt:lpwstr>
  </property>
  <property fmtid="{D5CDD505-2E9C-101B-9397-08002B2CF9AE}" pid="4" name="DWFTypist">
    <vt:lpwstr>DJEFFERIES</vt:lpwstr>
  </property>
  <property fmtid="{D5CDD505-2E9C-101B-9397-08002B2CF9AE}" pid="5" name="DWFTypistName">
    <vt:lpwstr>Douglas Jefferies</vt:lpwstr>
  </property>
  <property fmtid="{D5CDD505-2E9C-101B-9397-08002B2CF9AE}" pid="6" name="DWFAuthorName">
    <vt:lpwstr>Douglas Jefferies</vt:lpwstr>
  </property>
  <property fmtid="{D5CDD505-2E9C-101B-9397-08002B2CF9AE}" pid="7" name="DWFClientNum">
    <vt:lpwstr>2040175</vt:lpwstr>
  </property>
  <property fmtid="{D5CDD505-2E9C-101B-9397-08002B2CF9AE}" pid="8" name="DWFClientName">
    <vt:lpwstr>Government Legal Department</vt:lpwstr>
  </property>
  <property fmtid="{D5CDD505-2E9C-101B-9397-08002B2CF9AE}" pid="9" name="DWFMatterNum">
    <vt:lpwstr>26</vt:lpwstr>
  </property>
  <property fmtid="{D5CDD505-2E9C-101B-9397-08002B2CF9AE}" pid="10" name="DWFMatterName">
    <vt:lpwstr>RM6179 - LSP - 099 - Model Contracts Review 2024</vt:lpwstr>
  </property>
  <property fmtid="{D5CDD505-2E9C-101B-9397-08002B2CF9AE}" pid="11" name="DWFOffice">
    <vt:lpwstr>LLP - Edinburgh - 2 Semple Street</vt:lpwstr>
  </property>
  <property fmtid="{D5CDD505-2E9C-101B-9397-08002B2CF9AE}" pid="12" name="DWFClientPartner">
    <vt:lpwstr>Colin Murray</vt:lpwstr>
  </property>
  <property fmtid="{D5CDD505-2E9C-101B-9397-08002B2CF9AE}" pid="13" name="DWFMatterPartner">
    <vt:lpwstr>Douglas Jefferies</vt:lpwstr>
  </property>
  <property fmtid="{D5CDD505-2E9C-101B-9397-08002B2CF9AE}" pid="14" name="DWFPracticeGroup">
    <vt:lpwstr>Commercial, Regulatory &amp; Data</vt:lpwstr>
  </property>
  <property fmtid="{D5CDD505-2E9C-101B-9397-08002B2CF9AE}" pid="15" name="DMSDocNumber">
    <vt:lpwstr>90441076</vt:lpwstr>
  </property>
  <property fmtid="{D5CDD505-2E9C-101B-9397-08002B2CF9AE}" pid="16" name="DMSDocVersion">
    <vt:lpwstr>1</vt:lpwstr>
  </property>
  <property fmtid="{D5CDD505-2E9C-101B-9397-08002B2CF9AE}" pid="17" name="DWFOurRef">
    <vt:lpwstr>Government Legal Department</vt:lpwstr>
  </property>
  <property fmtid="{D5CDD505-2E9C-101B-9397-08002B2CF9AE}" pid="18" name="DWFDocName">
    <vt:lpwstr/>
  </property>
</Properties>
</file>