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1C3" w:rsidRDefault="00B62AD0">
      <w:pPr>
        <w:keepNext/>
        <w:pBdr>
          <w:top w:val="nil"/>
          <w:left w:val="nil"/>
          <w:bottom w:val="nil"/>
          <w:right w:val="nil"/>
          <w:between w:val="nil"/>
        </w:pBdr>
        <w:spacing w:before="120" w:after="120"/>
        <w:ind w:left="0"/>
        <w:jc w:val="left"/>
        <w:rPr>
          <w:b/>
          <w:color w:val="000000"/>
          <w:sz w:val="36"/>
          <w:szCs w:val="36"/>
        </w:rPr>
      </w:pPr>
      <w:bookmarkStart w:id="0" w:name="_GoBack"/>
      <w:bookmarkEnd w:id="0"/>
      <w:r>
        <w:rPr>
          <w:b/>
          <w:color w:val="000000"/>
          <w:sz w:val="36"/>
          <w:szCs w:val="36"/>
        </w:rPr>
        <w:t>Call-Off Schedule 8 (Business Continuity and Disaster Recovery)</w:t>
      </w:r>
    </w:p>
    <w:p w:rsidR="008C11C3" w:rsidRDefault="008C11C3">
      <w:pPr>
        <w:keepNext/>
        <w:pBdr>
          <w:top w:val="nil"/>
          <w:left w:val="nil"/>
          <w:bottom w:val="nil"/>
          <w:right w:val="nil"/>
          <w:between w:val="nil"/>
        </w:pBdr>
        <w:tabs>
          <w:tab w:val="left" w:pos="0"/>
        </w:tabs>
        <w:spacing w:before="120" w:after="120"/>
        <w:ind w:left="0"/>
        <w:jc w:val="left"/>
      </w:pPr>
      <w:bookmarkStart w:id="1" w:name="_heading=h.gjdgxs" w:colFirst="0" w:colLast="0"/>
      <w:bookmarkEnd w:id="1"/>
    </w:p>
    <w:p w:rsidR="008C11C3" w:rsidRDefault="00B62AD0">
      <w:pPr>
        <w:keepNext/>
        <w:numPr>
          <w:ilvl w:val="0"/>
          <w:numId w:val="1"/>
        </w:numPr>
        <w:pBdr>
          <w:top w:val="nil"/>
          <w:left w:val="nil"/>
          <w:bottom w:val="nil"/>
          <w:right w:val="nil"/>
          <w:between w:val="nil"/>
        </w:pBdr>
        <w:tabs>
          <w:tab w:val="left" w:pos="0"/>
        </w:tabs>
        <w:spacing w:before="120" w:after="120"/>
        <w:ind w:left="426" w:hanging="426"/>
        <w:jc w:val="left"/>
      </w:pPr>
      <w:r>
        <w:rPr>
          <w:b/>
          <w:color w:val="000000"/>
        </w:rPr>
        <w:t>Definitions</w:t>
      </w:r>
    </w:p>
    <w:p w:rsidR="008C11C3" w:rsidRDefault="00B62AD0">
      <w:pPr>
        <w:keepNext/>
        <w:numPr>
          <w:ilvl w:val="1"/>
          <w:numId w:val="1"/>
        </w:numPr>
        <w:pBdr>
          <w:top w:val="nil"/>
          <w:left w:val="nil"/>
          <w:bottom w:val="nil"/>
          <w:right w:val="nil"/>
          <w:between w:val="nil"/>
        </w:pBdr>
        <w:spacing w:before="120" w:after="120"/>
        <w:ind w:left="1134" w:hanging="708"/>
        <w:jc w:val="left"/>
        <w:rPr>
          <w:color w:val="000000"/>
        </w:rPr>
      </w:pPr>
      <w:r>
        <w:rPr>
          <w:color w:val="000000"/>
        </w:rPr>
        <w:t xml:space="preserve">In this Schedule, the following words shall have the following meanings and they shall supplement Joint Schedule 1 </w:t>
      </w:r>
      <w:r>
        <w:rPr>
          <w:i/>
          <w:color w:val="000000"/>
        </w:rPr>
        <w:t>(Definitions)</w:t>
      </w:r>
      <w:r>
        <w:rPr>
          <w:color w:val="000000"/>
        </w:rPr>
        <w:t>:</w:t>
      </w:r>
    </w:p>
    <w:tbl>
      <w:tblPr>
        <w:tblStyle w:val="a2"/>
        <w:tblW w:w="8172" w:type="dxa"/>
        <w:tblInd w:w="1008" w:type="dxa"/>
        <w:tblLayout w:type="fixed"/>
        <w:tblLook w:val="0400" w:firstRow="0" w:lastRow="0" w:firstColumn="0" w:lastColumn="0" w:noHBand="0" w:noVBand="1"/>
      </w:tblPr>
      <w:tblGrid>
        <w:gridCol w:w="3097"/>
        <w:gridCol w:w="5075"/>
      </w:tblGrid>
      <w:tr w:rsidR="008C11C3">
        <w:tc>
          <w:tcPr>
            <w:tcW w:w="3097" w:type="dxa"/>
          </w:tcPr>
          <w:p w:rsidR="008C11C3" w:rsidRDefault="00B62AD0">
            <w:pPr>
              <w:pBdr>
                <w:top w:val="nil"/>
                <w:left w:val="nil"/>
                <w:bottom w:val="nil"/>
                <w:right w:val="nil"/>
                <w:between w:val="nil"/>
              </w:pBdr>
              <w:spacing w:before="120" w:after="120"/>
              <w:ind w:left="0"/>
              <w:jc w:val="left"/>
              <w:rPr>
                <w:rFonts w:ascii="Arial" w:eastAsia="Arial" w:hAnsi="Arial" w:cs="Arial"/>
                <w:b/>
                <w:color w:val="000000"/>
                <w:sz w:val="24"/>
                <w:szCs w:val="24"/>
              </w:rPr>
            </w:pPr>
            <w:r>
              <w:rPr>
                <w:rFonts w:ascii="Arial" w:eastAsia="Arial" w:hAnsi="Arial" w:cs="Arial"/>
                <w:b/>
                <w:color w:val="000000"/>
                <w:sz w:val="24"/>
                <w:szCs w:val="24"/>
              </w:rPr>
              <w:t>"BCDR Plan"</w:t>
            </w:r>
          </w:p>
        </w:tc>
        <w:tc>
          <w:tcPr>
            <w:tcW w:w="5075" w:type="dxa"/>
          </w:tcPr>
          <w:p w:rsidR="008C11C3" w:rsidRDefault="00B62AD0">
            <w:pPr>
              <w:pBdr>
                <w:top w:val="nil"/>
                <w:left w:val="nil"/>
                <w:bottom w:val="nil"/>
                <w:right w:val="nil"/>
                <w:between w:val="nil"/>
              </w:pBdr>
              <w:tabs>
                <w:tab w:val="left" w:pos="-9"/>
              </w:tabs>
              <w:spacing w:before="120" w:after="120"/>
              <w:ind w:left="0"/>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2.</w:t>
            </w:r>
            <w:r>
              <w:rPr>
                <w:rFonts w:ascii="Arial" w:eastAsia="Arial" w:hAnsi="Arial" w:cs="Arial"/>
                <w:sz w:val="24"/>
                <w:szCs w:val="24"/>
              </w:rPr>
              <w:t>2</w:t>
            </w:r>
            <w:r>
              <w:rPr>
                <w:rFonts w:ascii="Arial" w:eastAsia="Arial" w:hAnsi="Arial" w:cs="Arial"/>
                <w:color w:val="000000"/>
                <w:sz w:val="24"/>
                <w:szCs w:val="24"/>
              </w:rPr>
              <w:t xml:space="preserve"> of this Schedule;</w:t>
            </w:r>
          </w:p>
        </w:tc>
      </w:tr>
      <w:tr w:rsidR="008C11C3">
        <w:tc>
          <w:tcPr>
            <w:tcW w:w="3097" w:type="dxa"/>
          </w:tcPr>
          <w:p w:rsidR="008C11C3" w:rsidRDefault="00B62AD0">
            <w:pPr>
              <w:pBdr>
                <w:top w:val="nil"/>
                <w:left w:val="nil"/>
                <w:bottom w:val="nil"/>
                <w:right w:val="nil"/>
                <w:between w:val="nil"/>
              </w:pBdr>
              <w:spacing w:before="120" w:after="120"/>
              <w:ind w:left="0"/>
              <w:jc w:val="left"/>
              <w:rPr>
                <w:rFonts w:ascii="Arial" w:eastAsia="Arial" w:hAnsi="Arial" w:cs="Arial"/>
                <w:b/>
                <w:color w:val="000000"/>
                <w:sz w:val="24"/>
                <w:szCs w:val="24"/>
              </w:rPr>
            </w:pPr>
            <w:r>
              <w:rPr>
                <w:rFonts w:ascii="Arial" w:eastAsia="Arial" w:hAnsi="Arial" w:cs="Arial"/>
                <w:b/>
                <w:color w:val="000000"/>
                <w:sz w:val="24"/>
                <w:szCs w:val="24"/>
              </w:rPr>
              <w:t>"Business Continuity Plan"</w:t>
            </w:r>
          </w:p>
        </w:tc>
        <w:tc>
          <w:tcPr>
            <w:tcW w:w="5075" w:type="dxa"/>
          </w:tcPr>
          <w:p w:rsidR="008C11C3" w:rsidRDefault="00B62AD0">
            <w:pPr>
              <w:pBdr>
                <w:top w:val="nil"/>
                <w:left w:val="nil"/>
                <w:bottom w:val="nil"/>
                <w:right w:val="nil"/>
                <w:between w:val="nil"/>
              </w:pBdr>
              <w:tabs>
                <w:tab w:val="left" w:pos="-9"/>
              </w:tabs>
              <w:spacing w:before="120" w:after="120"/>
              <w:ind w:left="0"/>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2.</w:t>
            </w:r>
            <w:r>
              <w:rPr>
                <w:rFonts w:ascii="Arial" w:eastAsia="Arial" w:hAnsi="Arial" w:cs="Arial"/>
                <w:sz w:val="24"/>
                <w:szCs w:val="24"/>
              </w:rPr>
              <w:t>3</w:t>
            </w:r>
            <w:r>
              <w:rPr>
                <w:rFonts w:ascii="Arial" w:eastAsia="Arial" w:hAnsi="Arial" w:cs="Arial"/>
                <w:color w:val="000000"/>
                <w:sz w:val="24"/>
                <w:szCs w:val="24"/>
              </w:rPr>
              <w:t>.2 of this Schedule;</w:t>
            </w:r>
          </w:p>
        </w:tc>
      </w:tr>
      <w:tr w:rsidR="008C11C3">
        <w:tc>
          <w:tcPr>
            <w:tcW w:w="3097" w:type="dxa"/>
          </w:tcPr>
          <w:p w:rsidR="008C11C3" w:rsidRDefault="00B62AD0">
            <w:pPr>
              <w:pBdr>
                <w:top w:val="nil"/>
                <w:left w:val="nil"/>
                <w:bottom w:val="nil"/>
                <w:right w:val="nil"/>
                <w:between w:val="nil"/>
              </w:pBdr>
              <w:spacing w:before="120" w:after="120"/>
              <w:ind w:left="0"/>
              <w:jc w:val="left"/>
              <w:rPr>
                <w:rFonts w:ascii="Arial" w:eastAsia="Arial" w:hAnsi="Arial" w:cs="Arial"/>
                <w:b/>
                <w:color w:val="000000"/>
                <w:sz w:val="24"/>
                <w:szCs w:val="24"/>
              </w:rPr>
            </w:pPr>
            <w:r>
              <w:rPr>
                <w:rFonts w:ascii="Arial" w:eastAsia="Arial" w:hAnsi="Arial" w:cs="Arial"/>
                <w:b/>
                <w:color w:val="000000"/>
                <w:sz w:val="24"/>
                <w:szCs w:val="24"/>
              </w:rPr>
              <w:t>"Disaster Recovery Plan"</w:t>
            </w:r>
          </w:p>
        </w:tc>
        <w:tc>
          <w:tcPr>
            <w:tcW w:w="5075" w:type="dxa"/>
          </w:tcPr>
          <w:p w:rsidR="008C11C3" w:rsidRDefault="00B62AD0">
            <w:pPr>
              <w:pBdr>
                <w:top w:val="nil"/>
                <w:left w:val="nil"/>
                <w:bottom w:val="nil"/>
                <w:right w:val="nil"/>
                <w:between w:val="nil"/>
              </w:pBdr>
              <w:tabs>
                <w:tab w:val="left" w:pos="-9"/>
              </w:tabs>
              <w:spacing w:before="120" w:after="120"/>
              <w:ind w:left="0"/>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2.3.3 of this Schedule;</w:t>
            </w:r>
          </w:p>
        </w:tc>
      </w:tr>
      <w:tr w:rsidR="008C11C3">
        <w:trPr>
          <w:trHeight w:val="560"/>
        </w:trPr>
        <w:tc>
          <w:tcPr>
            <w:tcW w:w="3097" w:type="dxa"/>
          </w:tcPr>
          <w:p w:rsidR="008C11C3" w:rsidRDefault="00B62AD0">
            <w:pPr>
              <w:pBdr>
                <w:top w:val="nil"/>
                <w:left w:val="nil"/>
                <w:bottom w:val="nil"/>
                <w:right w:val="nil"/>
                <w:between w:val="nil"/>
              </w:pBdr>
              <w:spacing w:before="120" w:after="120"/>
              <w:ind w:left="0"/>
              <w:jc w:val="left"/>
              <w:rPr>
                <w:rFonts w:ascii="Arial" w:eastAsia="Arial" w:hAnsi="Arial" w:cs="Arial"/>
                <w:b/>
                <w:color w:val="000000"/>
                <w:sz w:val="24"/>
                <w:szCs w:val="24"/>
              </w:rPr>
            </w:pPr>
            <w:r>
              <w:rPr>
                <w:rFonts w:ascii="Arial" w:eastAsia="Arial" w:hAnsi="Arial" w:cs="Arial"/>
                <w:b/>
                <w:color w:val="000000"/>
                <w:sz w:val="24"/>
                <w:szCs w:val="24"/>
              </w:rPr>
              <w:t>"Related Supplier"</w:t>
            </w:r>
          </w:p>
        </w:tc>
        <w:tc>
          <w:tcPr>
            <w:tcW w:w="5075" w:type="dxa"/>
          </w:tcPr>
          <w:p w:rsidR="008C11C3" w:rsidRDefault="00B62AD0">
            <w:pPr>
              <w:pBdr>
                <w:top w:val="nil"/>
                <w:left w:val="nil"/>
                <w:bottom w:val="nil"/>
                <w:right w:val="nil"/>
                <w:between w:val="nil"/>
              </w:pBdr>
              <w:tabs>
                <w:tab w:val="left" w:pos="-9"/>
              </w:tabs>
              <w:spacing w:before="120" w:after="120"/>
              <w:ind w:left="0"/>
              <w:jc w:val="left"/>
              <w:rPr>
                <w:rFonts w:ascii="Arial" w:eastAsia="Arial" w:hAnsi="Arial" w:cs="Arial"/>
                <w:color w:val="000000"/>
                <w:sz w:val="24"/>
                <w:szCs w:val="24"/>
              </w:rPr>
            </w:pPr>
            <w:r>
              <w:rPr>
                <w:rFonts w:ascii="Arial" w:eastAsia="Arial" w:hAnsi="Arial" w:cs="Arial"/>
                <w:color w:val="000000"/>
                <w:sz w:val="24"/>
                <w:szCs w:val="24"/>
              </w:rPr>
              <w:t>any person who provides Deliverables to the Buyer which are related to the Deliverables from time to time;</w:t>
            </w:r>
          </w:p>
        </w:tc>
      </w:tr>
      <w:tr w:rsidR="008C11C3">
        <w:trPr>
          <w:trHeight w:val="560"/>
        </w:trPr>
        <w:tc>
          <w:tcPr>
            <w:tcW w:w="3097" w:type="dxa"/>
          </w:tcPr>
          <w:p w:rsidR="008C11C3" w:rsidRDefault="00B62AD0">
            <w:pPr>
              <w:pBdr>
                <w:top w:val="nil"/>
                <w:left w:val="nil"/>
                <w:bottom w:val="nil"/>
                <w:right w:val="nil"/>
                <w:between w:val="nil"/>
              </w:pBdr>
              <w:spacing w:before="120" w:after="120"/>
              <w:ind w:left="0"/>
              <w:jc w:val="left"/>
              <w:rPr>
                <w:rFonts w:ascii="Arial" w:eastAsia="Arial" w:hAnsi="Arial" w:cs="Arial"/>
                <w:b/>
                <w:color w:val="000000"/>
                <w:sz w:val="24"/>
                <w:szCs w:val="24"/>
              </w:rPr>
            </w:pPr>
            <w:r>
              <w:rPr>
                <w:rFonts w:ascii="Arial" w:eastAsia="Arial" w:hAnsi="Arial" w:cs="Arial"/>
                <w:b/>
                <w:color w:val="000000"/>
                <w:sz w:val="24"/>
                <w:szCs w:val="24"/>
              </w:rPr>
              <w:t>"Review Report"</w:t>
            </w:r>
          </w:p>
        </w:tc>
        <w:tc>
          <w:tcPr>
            <w:tcW w:w="5075" w:type="dxa"/>
          </w:tcPr>
          <w:p w:rsidR="008C11C3" w:rsidRDefault="00B62AD0">
            <w:pPr>
              <w:pBdr>
                <w:top w:val="nil"/>
                <w:left w:val="nil"/>
                <w:bottom w:val="nil"/>
                <w:right w:val="nil"/>
                <w:between w:val="nil"/>
              </w:pBdr>
              <w:tabs>
                <w:tab w:val="left" w:pos="-9"/>
              </w:tabs>
              <w:spacing w:before="120" w:after="120"/>
              <w:ind w:left="0"/>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6.3 of this Schedule; and</w:t>
            </w:r>
          </w:p>
        </w:tc>
      </w:tr>
      <w:tr w:rsidR="008C11C3">
        <w:tc>
          <w:tcPr>
            <w:tcW w:w="3097" w:type="dxa"/>
          </w:tcPr>
          <w:p w:rsidR="008C11C3" w:rsidRDefault="00B62AD0">
            <w:pPr>
              <w:pBdr>
                <w:top w:val="nil"/>
                <w:left w:val="nil"/>
                <w:bottom w:val="nil"/>
                <w:right w:val="nil"/>
                <w:between w:val="nil"/>
              </w:pBdr>
              <w:spacing w:before="120" w:after="120"/>
              <w:ind w:left="0"/>
              <w:jc w:val="left"/>
              <w:rPr>
                <w:rFonts w:ascii="Arial" w:eastAsia="Arial" w:hAnsi="Arial" w:cs="Arial"/>
                <w:b/>
                <w:color w:val="000000"/>
                <w:sz w:val="24"/>
                <w:szCs w:val="24"/>
              </w:rPr>
            </w:pPr>
            <w:r>
              <w:rPr>
                <w:rFonts w:ascii="Arial" w:eastAsia="Arial" w:hAnsi="Arial" w:cs="Arial"/>
                <w:b/>
                <w:color w:val="000000"/>
                <w:sz w:val="24"/>
                <w:szCs w:val="24"/>
              </w:rPr>
              <w:t>"Supplier's Proposals"</w:t>
            </w:r>
          </w:p>
        </w:tc>
        <w:tc>
          <w:tcPr>
            <w:tcW w:w="5075" w:type="dxa"/>
          </w:tcPr>
          <w:p w:rsidR="008C11C3" w:rsidRDefault="00B62AD0">
            <w:pPr>
              <w:pBdr>
                <w:top w:val="nil"/>
                <w:left w:val="nil"/>
                <w:bottom w:val="nil"/>
                <w:right w:val="nil"/>
                <w:between w:val="nil"/>
              </w:pBdr>
              <w:tabs>
                <w:tab w:val="left" w:pos="-9"/>
              </w:tabs>
              <w:spacing w:before="120" w:after="120"/>
              <w:ind w:left="0"/>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6.3 of this </w:t>
            </w:r>
            <w:proofErr w:type="gramStart"/>
            <w:r>
              <w:rPr>
                <w:rFonts w:ascii="Arial" w:eastAsia="Arial" w:hAnsi="Arial" w:cs="Arial"/>
                <w:color w:val="000000"/>
                <w:sz w:val="24"/>
                <w:szCs w:val="24"/>
              </w:rPr>
              <w:t>Schedule.</w:t>
            </w:r>
            <w:proofErr w:type="gramEnd"/>
          </w:p>
        </w:tc>
      </w:tr>
    </w:tbl>
    <w:p w:rsidR="008C11C3" w:rsidRDefault="00B62AD0">
      <w:pPr>
        <w:keepNext/>
        <w:numPr>
          <w:ilvl w:val="0"/>
          <w:numId w:val="1"/>
        </w:numPr>
        <w:pBdr>
          <w:top w:val="nil"/>
          <w:left w:val="nil"/>
          <w:bottom w:val="nil"/>
          <w:right w:val="nil"/>
          <w:between w:val="nil"/>
        </w:pBdr>
        <w:tabs>
          <w:tab w:val="left" w:pos="426"/>
        </w:tabs>
        <w:spacing w:before="120" w:after="120"/>
        <w:ind w:left="426" w:hanging="426"/>
        <w:jc w:val="left"/>
      </w:pPr>
      <w:r>
        <w:rPr>
          <w:b/>
          <w:color w:val="000000"/>
        </w:rPr>
        <w:t>BCDR Plan</w:t>
      </w:r>
    </w:p>
    <w:p w:rsidR="008C11C3" w:rsidRDefault="00B62AD0">
      <w:pPr>
        <w:keepNext/>
        <w:numPr>
          <w:ilvl w:val="1"/>
          <w:numId w:val="1"/>
        </w:numPr>
        <w:pBdr>
          <w:top w:val="nil"/>
          <w:left w:val="nil"/>
          <w:bottom w:val="nil"/>
          <w:right w:val="nil"/>
          <w:between w:val="nil"/>
        </w:pBdr>
        <w:tabs>
          <w:tab w:val="left" w:pos="0"/>
        </w:tabs>
        <w:spacing w:before="120" w:after="120"/>
        <w:ind w:left="1134" w:hanging="708"/>
        <w:jc w:val="left"/>
      </w:pPr>
      <w:r>
        <w:rPr>
          <w:color w:val="000000"/>
        </w:rPr>
        <w:t xml:space="preserve">The Buyer and the Supplier recognise that, where specified in Framework Schedule 4 </w:t>
      </w:r>
      <w:r>
        <w:rPr>
          <w:i/>
          <w:color w:val="000000"/>
        </w:rPr>
        <w:t>(Framework Management)</w:t>
      </w:r>
      <w:r>
        <w:rPr>
          <w:color w:val="000000"/>
        </w:rPr>
        <w:t>, CCS shall have the right to enforce the Buyer's rights under this Schedule.</w:t>
      </w:r>
    </w:p>
    <w:p w:rsidR="008C11C3" w:rsidRDefault="00B62AD0">
      <w:pPr>
        <w:keepNext/>
        <w:numPr>
          <w:ilvl w:val="1"/>
          <w:numId w:val="1"/>
        </w:numPr>
        <w:pBdr>
          <w:top w:val="nil"/>
          <w:left w:val="nil"/>
          <w:bottom w:val="nil"/>
          <w:right w:val="nil"/>
          <w:between w:val="nil"/>
        </w:pBdr>
        <w:spacing w:before="120" w:after="120"/>
        <w:ind w:left="1134" w:hanging="708"/>
        <w:jc w:val="left"/>
        <w:rPr>
          <w:color w:val="000000"/>
        </w:rPr>
      </w:pPr>
      <w:bookmarkStart w:id="2" w:name="_heading=h.30j0zll" w:colFirst="0" w:colLast="0"/>
      <w:bookmarkEnd w:id="2"/>
      <w:r>
        <w:rPr>
          <w:color w:val="000000"/>
        </w:rPr>
        <w:t>Within forty</w:t>
      </w:r>
      <w:r>
        <w:t xml:space="preserve"> </w:t>
      </w:r>
      <w:r>
        <w:rPr>
          <w:color w:val="000000"/>
        </w:rPr>
        <w:t xml:space="preserve">(40) Working Days of the </w:t>
      </w:r>
      <w:r>
        <w:t>Effective</w:t>
      </w:r>
      <w:r>
        <w:rPr>
          <w:color w:val="000000"/>
        </w:rPr>
        <w:t xml:space="preserve"> Date the Supplier shall prepare and deliver to the Buyer for the Buyer’s written approval a plan (a </w:t>
      </w:r>
      <w:r>
        <w:rPr>
          <w:b/>
          <w:color w:val="000000"/>
        </w:rPr>
        <w:t>"BCDR Plan"</w:t>
      </w:r>
      <w:r>
        <w:rPr>
          <w:color w:val="000000"/>
        </w:rPr>
        <w:t>), which shall detail the processes and arrangements that the Supplier shall follow to:</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ensure continuity of the business processes and operations supported by the Services following any failure or disruption of any element of the Deliverables; and</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bookmarkStart w:id="3" w:name="_heading=h.1fob9te" w:colFirst="0" w:colLast="0"/>
      <w:bookmarkEnd w:id="3"/>
      <w:r>
        <w:rPr>
          <w:color w:val="000000"/>
        </w:rPr>
        <w:t>the recovery of the Deliverables in the event of a Disaster.</w:t>
      </w:r>
    </w:p>
    <w:p w:rsidR="008C11C3" w:rsidRDefault="00B62AD0">
      <w:pPr>
        <w:numPr>
          <w:ilvl w:val="1"/>
          <w:numId w:val="1"/>
        </w:numPr>
        <w:pBdr>
          <w:top w:val="nil"/>
          <w:left w:val="nil"/>
          <w:bottom w:val="nil"/>
          <w:right w:val="nil"/>
          <w:between w:val="nil"/>
        </w:pBdr>
        <w:tabs>
          <w:tab w:val="left" w:pos="1985"/>
          <w:tab w:val="left" w:pos="2127"/>
        </w:tabs>
        <w:spacing w:before="120" w:after="120"/>
        <w:ind w:left="1134" w:hanging="708"/>
        <w:jc w:val="left"/>
        <w:rPr>
          <w:color w:val="000000"/>
        </w:rPr>
      </w:pPr>
      <w:r>
        <w:rPr>
          <w:color w:val="000000"/>
        </w:rPr>
        <w:t>The BCDR Plan shall be divided int</w:t>
      </w:r>
      <w:r>
        <w:rPr>
          <w:color w:val="000000"/>
        </w:rPr>
        <w:t>o the following sections: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bookmarkStart w:id="4" w:name="_heading=h.3znysh7" w:colFirst="0" w:colLast="0"/>
      <w:bookmarkEnd w:id="4"/>
      <w:r>
        <w:rPr>
          <w:color w:val="000000"/>
        </w:rPr>
        <w:t xml:space="preserve">Section 1 which shall set out general principles applicable to the BCDR Plan; </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bookmarkStart w:id="5" w:name="_heading=h.2et92p0" w:colFirst="0" w:colLast="0"/>
      <w:bookmarkEnd w:id="5"/>
      <w:r>
        <w:rPr>
          <w:color w:val="000000"/>
        </w:rPr>
        <w:t xml:space="preserve">Section 2 which shall relate to business continuity (the </w:t>
      </w:r>
      <w:r>
        <w:rPr>
          <w:b/>
          <w:color w:val="000000"/>
        </w:rPr>
        <w:t>"Business Continuity Plan"</w:t>
      </w:r>
      <w:r>
        <w:rPr>
          <w:color w:val="000000"/>
        </w:rPr>
        <w:t>); and</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bookmarkStart w:id="6" w:name="_heading=h.tyjcwt" w:colFirst="0" w:colLast="0"/>
      <w:bookmarkEnd w:id="6"/>
      <w:r>
        <w:rPr>
          <w:color w:val="000000"/>
        </w:rPr>
        <w:lastRenderedPageBreak/>
        <w:t xml:space="preserve">Section 3 which shall relate to disaster recovery (the </w:t>
      </w:r>
      <w:r>
        <w:rPr>
          <w:b/>
          <w:color w:val="000000"/>
        </w:rPr>
        <w:t>"Disaster Recovery Plan"</w:t>
      </w:r>
      <w:r>
        <w:rPr>
          <w:color w:val="000000"/>
        </w:rPr>
        <w:t xml:space="preserve">); </w:t>
      </w:r>
      <w:r>
        <w:rPr>
          <w:color w:val="000000"/>
          <w:highlight w:val="yellow"/>
        </w:rPr>
        <w:t>[and</w:t>
      </w:r>
      <w:r>
        <w:rPr>
          <w:color w:val="000000"/>
        </w:rPr>
        <w:t>.</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highlight w:val="yellow"/>
        </w:rPr>
        <w:t>Section 4 which shall relate to an Insolvency Event of the Supplier, and Key-Subcontractors and/or any Supplier Group member (the “</w:t>
      </w:r>
      <w:r>
        <w:rPr>
          <w:b/>
          <w:color w:val="000000"/>
          <w:highlight w:val="yellow"/>
        </w:rPr>
        <w:t>Insolvency Continuity Plan</w:t>
      </w:r>
      <w:r>
        <w:rPr>
          <w:color w:val="000000"/>
          <w:highlight w:val="yellow"/>
        </w:rPr>
        <w:t>”).]</w:t>
      </w:r>
      <w:r>
        <w:rPr>
          <w:color w:val="000000"/>
        </w:rPr>
        <w:t xml:space="preserve"> </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bookmarkStart w:id="7" w:name="_heading=h.3dy6vkm" w:colFirst="0" w:colLast="0"/>
      <w:bookmarkEnd w:id="7"/>
      <w:r>
        <w:rPr>
          <w:color w:val="000000"/>
        </w:rPr>
        <w:t xml:space="preserve">Following receipt of the draft BCDR Plan from the Supplier, </w:t>
      </w:r>
      <w:r>
        <w:rPr>
          <w:color w:val="000000"/>
        </w:rPr>
        <w:t>the Parties shall use reasonable endeavours to agree the contents of the BCDR Plan. If the Parties are unable to agree the contents of the BCDR Plan within twenty (20) Working Days of its submission, then such Dispute shall be resolved in accordance with t</w:t>
      </w:r>
      <w:r>
        <w:rPr>
          <w:color w:val="000000"/>
        </w:rPr>
        <w:t>he Dispute Resolution Procedure.</w:t>
      </w:r>
    </w:p>
    <w:p w:rsidR="008C11C3" w:rsidRDefault="00B62AD0">
      <w:pPr>
        <w:keepNext/>
        <w:numPr>
          <w:ilvl w:val="0"/>
          <w:numId w:val="1"/>
        </w:numPr>
        <w:pBdr>
          <w:top w:val="nil"/>
          <w:left w:val="nil"/>
          <w:bottom w:val="nil"/>
          <w:right w:val="nil"/>
          <w:between w:val="nil"/>
        </w:pBdr>
        <w:tabs>
          <w:tab w:val="left" w:pos="0"/>
        </w:tabs>
        <w:spacing w:before="120" w:after="120"/>
        <w:ind w:left="426" w:hanging="426"/>
        <w:jc w:val="left"/>
        <w:rPr>
          <w:b/>
          <w:smallCaps/>
          <w:color w:val="000000"/>
        </w:rPr>
      </w:pPr>
      <w:bookmarkStart w:id="8" w:name="_heading=h.1t3h5sf" w:colFirst="0" w:colLast="0"/>
      <w:bookmarkEnd w:id="8"/>
      <w:r>
        <w:rPr>
          <w:b/>
          <w:color w:val="000000"/>
        </w:rPr>
        <w:t xml:space="preserve">General Principles of the BCDR Plan (Section </w:t>
      </w:r>
      <w:r>
        <w:rPr>
          <w:color w:val="000000"/>
        </w:rPr>
        <w:t>1</w:t>
      </w:r>
      <w:r>
        <w:rPr>
          <w:b/>
          <w:color w:val="000000"/>
        </w:rPr>
        <w:t>)</w:t>
      </w:r>
    </w:p>
    <w:p w:rsidR="008C11C3" w:rsidRDefault="00B62AD0">
      <w:pPr>
        <w:keepNext/>
        <w:numPr>
          <w:ilvl w:val="1"/>
          <w:numId w:val="1"/>
        </w:numPr>
        <w:pBdr>
          <w:top w:val="nil"/>
          <w:left w:val="nil"/>
          <w:bottom w:val="nil"/>
          <w:right w:val="nil"/>
          <w:between w:val="nil"/>
        </w:pBdr>
        <w:spacing w:before="120" w:after="120"/>
        <w:ind w:hanging="481"/>
        <w:jc w:val="left"/>
        <w:rPr>
          <w:color w:val="000000"/>
        </w:rPr>
      </w:pPr>
      <w:r>
        <w:rPr>
          <w:color w:val="000000"/>
        </w:rPr>
        <w:t>Section 1 of the BCDR Plan shall:</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set out how the business continuity and disaster recovery elements of the BCDR Plan link to each other;</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provide details of how the invocation of any element of the BCDR Plan may impact upon the provision of the Deliverables and any goods and/or services provided to the Buyer by a Related Supplier;</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contain an obligation upon the Supplier to liaise with the Bu</w:t>
      </w:r>
      <w:r>
        <w:rPr>
          <w:color w:val="000000"/>
        </w:rPr>
        <w:t>yer and any Related Suppliers with respect to business continuity and disaster recovery;</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detail how the BCDR Plan interoperates with any overarching disaster recovery or business continuity plan of the Buyer and any of its other Related Suppliers in each c</w:t>
      </w:r>
      <w:r>
        <w:rPr>
          <w:color w:val="000000"/>
        </w:rPr>
        <w:t>ase as notified to the Supplier by the Buyer from time to time;</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contain a communication strategy including details of an incident and problem management service and advice and help desk facility which can be accessed via multiple channels;</w:t>
      </w:r>
    </w:p>
    <w:p w:rsidR="008C11C3" w:rsidRDefault="00B62AD0">
      <w:pPr>
        <w:keepNext/>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contain a risk analysis, including:</w:t>
      </w:r>
    </w:p>
    <w:p w:rsidR="008C11C3" w:rsidRDefault="00B62AD0">
      <w:pPr>
        <w:numPr>
          <w:ilvl w:val="3"/>
          <w:numId w:val="1"/>
        </w:numPr>
        <w:pBdr>
          <w:top w:val="nil"/>
          <w:left w:val="nil"/>
          <w:bottom w:val="nil"/>
          <w:right w:val="nil"/>
          <w:between w:val="nil"/>
        </w:pBdr>
        <w:tabs>
          <w:tab w:val="left" w:pos="2835"/>
        </w:tabs>
        <w:spacing w:before="120" w:after="120"/>
        <w:ind w:left="2835" w:hanging="850"/>
        <w:jc w:val="left"/>
        <w:rPr>
          <w:color w:val="000000"/>
        </w:rPr>
      </w:pPr>
      <w:r>
        <w:rPr>
          <w:color w:val="000000"/>
        </w:rPr>
        <w:t>failure or disruption scenarios and assessments of likely frequency of occurrence;</w:t>
      </w:r>
    </w:p>
    <w:p w:rsidR="008C11C3" w:rsidRDefault="00B62AD0">
      <w:pPr>
        <w:numPr>
          <w:ilvl w:val="3"/>
          <w:numId w:val="1"/>
        </w:numPr>
        <w:pBdr>
          <w:top w:val="nil"/>
          <w:left w:val="nil"/>
          <w:bottom w:val="nil"/>
          <w:right w:val="nil"/>
          <w:between w:val="nil"/>
        </w:pBdr>
        <w:tabs>
          <w:tab w:val="left" w:pos="2835"/>
        </w:tabs>
        <w:spacing w:before="120" w:after="120"/>
        <w:ind w:left="2835" w:hanging="850"/>
        <w:jc w:val="left"/>
        <w:rPr>
          <w:color w:val="000000"/>
        </w:rPr>
      </w:pPr>
      <w:r>
        <w:rPr>
          <w:color w:val="000000"/>
        </w:rPr>
        <w:t>identification of any single points of failure within the provision of Deliverables and processes for managing those risks;</w:t>
      </w:r>
    </w:p>
    <w:p w:rsidR="008C11C3" w:rsidRDefault="00B62AD0">
      <w:pPr>
        <w:numPr>
          <w:ilvl w:val="3"/>
          <w:numId w:val="1"/>
        </w:numPr>
        <w:pBdr>
          <w:top w:val="nil"/>
          <w:left w:val="nil"/>
          <w:bottom w:val="nil"/>
          <w:right w:val="nil"/>
          <w:between w:val="nil"/>
        </w:pBdr>
        <w:tabs>
          <w:tab w:val="left" w:pos="2835"/>
        </w:tabs>
        <w:spacing w:before="120" w:after="120"/>
        <w:ind w:left="2835" w:hanging="850"/>
        <w:jc w:val="left"/>
        <w:rPr>
          <w:color w:val="000000"/>
        </w:rPr>
      </w:pPr>
      <w:r>
        <w:rPr>
          <w:color w:val="000000"/>
        </w:rPr>
        <w:t>identification of risks arising from an Insolvency Event of the Supplier, any Key Subcontractors and/or Supplier Group member;</w:t>
      </w:r>
    </w:p>
    <w:p w:rsidR="008C11C3" w:rsidRDefault="00B62AD0">
      <w:pPr>
        <w:numPr>
          <w:ilvl w:val="3"/>
          <w:numId w:val="1"/>
        </w:numPr>
        <w:pBdr>
          <w:top w:val="nil"/>
          <w:left w:val="nil"/>
          <w:bottom w:val="nil"/>
          <w:right w:val="nil"/>
          <w:between w:val="nil"/>
        </w:pBdr>
        <w:tabs>
          <w:tab w:val="left" w:pos="2835"/>
        </w:tabs>
        <w:spacing w:before="120" w:after="120"/>
        <w:ind w:left="2835" w:hanging="850"/>
        <w:jc w:val="left"/>
        <w:rPr>
          <w:color w:val="000000"/>
        </w:rPr>
      </w:pPr>
      <w:r>
        <w:rPr>
          <w:color w:val="000000"/>
        </w:rPr>
        <w:t xml:space="preserve">identification of risks arising from the interaction of the provision of Deliverables with the goods and/or services provided by </w:t>
      </w:r>
      <w:r>
        <w:rPr>
          <w:color w:val="000000"/>
        </w:rPr>
        <w:t>a Related Supplier; and</w:t>
      </w:r>
    </w:p>
    <w:p w:rsidR="008C11C3" w:rsidRDefault="00B62AD0">
      <w:pPr>
        <w:numPr>
          <w:ilvl w:val="3"/>
          <w:numId w:val="1"/>
        </w:numPr>
        <w:pBdr>
          <w:top w:val="nil"/>
          <w:left w:val="nil"/>
          <w:bottom w:val="nil"/>
          <w:right w:val="nil"/>
          <w:between w:val="nil"/>
        </w:pBdr>
        <w:tabs>
          <w:tab w:val="left" w:pos="2835"/>
        </w:tabs>
        <w:spacing w:before="120" w:after="120"/>
        <w:ind w:left="2835" w:hanging="850"/>
        <w:jc w:val="left"/>
        <w:rPr>
          <w:color w:val="000000"/>
        </w:rPr>
      </w:pPr>
      <w:r>
        <w:rPr>
          <w:color w:val="000000"/>
        </w:rPr>
        <w:lastRenderedPageBreak/>
        <w:t>a business impact analysis of different anticipated failures or disruptions;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provide for documentation of processes, including business processes, and procedures;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set out key contact details for the Supplier (and any Subcontractors) and for the Buyer;</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identify the procedures for reverting to "normal service";</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 xml:space="preserve">set out method(s) of recovering or updating data collected (or which ought to have been collected) during a </w:t>
      </w:r>
      <w:r>
        <w:rPr>
          <w:color w:val="000000"/>
        </w:rPr>
        <w:t>failure or disruption to minimise data loss;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identify the responsibilities (if any) that the Buyer has agreed it will assume in the event of the invocation of the BCDR Plan;</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 xml:space="preserve">provide for the provision of technical assistance to key contacts at the Buyer as </w:t>
      </w:r>
      <w:r>
        <w:rPr>
          <w:color w:val="000000"/>
        </w:rPr>
        <w:t>required by the Buyer to inform decisions in support of the Buyer’s business continuity plans;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contain an obligation upon the Supplier to liaise with the Buyer and (at the Buyer’s request) any Related Supplier with respect to issues concerning insolvency c</w:t>
      </w:r>
      <w:r>
        <w:rPr>
          <w:color w:val="000000"/>
        </w:rPr>
        <w:t>ontinuity where applicable; and</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detail how the BCDR Plan links and interoperates with any overarching and/or connected insolvency continuity plan of the Buyer and any of its other Related Suppliers in each case as notified to the Supplier by the Buyer from</w:t>
      </w:r>
      <w:r>
        <w:rPr>
          <w:color w:val="000000"/>
        </w:rPr>
        <w:t xml:space="preserve"> time to time.</w:t>
      </w:r>
    </w:p>
    <w:p w:rsidR="008C11C3" w:rsidRDefault="00B62AD0">
      <w:pPr>
        <w:keepNext/>
        <w:numPr>
          <w:ilvl w:val="1"/>
          <w:numId w:val="1"/>
        </w:numPr>
        <w:pBdr>
          <w:top w:val="nil"/>
          <w:left w:val="nil"/>
          <w:bottom w:val="nil"/>
          <w:right w:val="nil"/>
          <w:between w:val="nil"/>
        </w:pBdr>
        <w:spacing w:before="120" w:after="120"/>
        <w:ind w:left="1134" w:hanging="708"/>
        <w:jc w:val="left"/>
        <w:rPr>
          <w:color w:val="000000"/>
        </w:rPr>
      </w:pPr>
      <w:r>
        <w:rPr>
          <w:color w:val="000000"/>
        </w:rPr>
        <w:t>The BCDR Plan shall be designed so as to ensure that:</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the Deliverables are provided in accordance with the Contract at all times during and after the invocation of the BCDR Plan;</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the adverse impact of any Disaster is minimised as far as reas</w:t>
      </w:r>
      <w:r>
        <w:rPr>
          <w:color w:val="000000"/>
        </w:rPr>
        <w:t>onably possible;</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it complies with the relevant provisions of ISO/IEC 27002; ISO22301/ISO22313 and all other industry standards from time to time in force; and</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it details a process for the management of disaster recovery testing.</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r>
        <w:rPr>
          <w:color w:val="000000"/>
        </w:rPr>
        <w:t>The BCDR Plan shall be upgradeable and sufficiently flexible to support any changes to the Deliverables and the business operations supported by the provision of Deliverables.</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r>
        <w:rPr>
          <w:color w:val="000000"/>
        </w:rPr>
        <w:t xml:space="preserve">The Supplier shall not be entitled to any relief from its obligations under the </w:t>
      </w:r>
      <w:r>
        <w:rPr>
          <w:color w:val="000000"/>
        </w:rPr>
        <w:t>Framework Performance Measures (FPMs) or Key Performance Indicators, or to any increase in the Charges to the extent that a Disaster occurs as a consequence of any Default by the Supplier of the Contract.</w:t>
      </w:r>
    </w:p>
    <w:p w:rsidR="008C11C3" w:rsidRDefault="00B62AD0">
      <w:pPr>
        <w:keepNext/>
        <w:numPr>
          <w:ilvl w:val="0"/>
          <w:numId w:val="1"/>
        </w:numPr>
        <w:pBdr>
          <w:top w:val="nil"/>
          <w:left w:val="nil"/>
          <w:bottom w:val="nil"/>
          <w:right w:val="nil"/>
          <w:between w:val="nil"/>
        </w:pBdr>
        <w:tabs>
          <w:tab w:val="left" w:pos="0"/>
        </w:tabs>
        <w:spacing w:before="120" w:after="120"/>
        <w:ind w:left="426" w:hanging="426"/>
        <w:jc w:val="left"/>
        <w:rPr>
          <w:b/>
          <w:smallCaps/>
          <w:color w:val="000000"/>
        </w:rPr>
      </w:pPr>
      <w:r>
        <w:rPr>
          <w:b/>
          <w:color w:val="000000"/>
        </w:rPr>
        <w:lastRenderedPageBreak/>
        <w:t>Business Continuity (Section 2)</w:t>
      </w:r>
    </w:p>
    <w:p w:rsidR="008C11C3" w:rsidRDefault="00B62AD0">
      <w:pPr>
        <w:keepNext/>
        <w:numPr>
          <w:ilvl w:val="1"/>
          <w:numId w:val="1"/>
        </w:numPr>
        <w:pBdr>
          <w:top w:val="nil"/>
          <w:left w:val="nil"/>
          <w:bottom w:val="nil"/>
          <w:right w:val="nil"/>
          <w:between w:val="nil"/>
        </w:pBdr>
        <w:spacing w:before="120" w:after="120"/>
        <w:ind w:left="1134" w:hanging="708"/>
        <w:jc w:val="left"/>
        <w:rPr>
          <w:color w:val="000000"/>
        </w:rPr>
      </w:pPr>
      <w:bookmarkStart w:id="9" w:name="_heading=h.4d34og8" w:colFirst="0" w:colLast="0"/>
      <w:bookmarkEnd w:id="9"/>
      <w:r>
        <w:rPr>
          <w:color w:val="000000"/>
        </w:rPr>
        <w:t>The Business Contin</w:t>
      </w:r>
      <w:r>
        <w:rPr>
          <w:color w:val="000000"/>
        </w:rPr>
        <w:t>uity Plan shall set out the arrangements that are to be invoked to ensure that the business processes facilitated by the provision of Deliverables remain supported and to ensure continuity of the business operations supported by the Services including:</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the alternative processes, options and responsibilities that may be adopted in the event of a failure in or disruption to the provision of Deliverables; and</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 xml:space="preserve">the steps to be taken by the Supplier upon resumption of the provision of Deliverables in order to </w:t>
      </w:r>
      <w:r>
        <w:rPr>
          <w:color w:val="000000"/>
        </w:rPr>
        <w:t>address the effect of the failure or disruption.</w:t>
      </w:r>
    </w:p>
    <w:p w:rsidR="008C11C3" w:rsidRDefault="00B62AD0">
      <w:pPr>
        <w:keepNext/>
        <w:numPr>
          <w:ilvl w:val="1"/>
          <w:numId w:val="1"/>
        </w:numPr>
        <w:pBdr>
          <w:top w:val="nil"/>
          <w:left w:val="nil"/>
          <w:bottom w:val="nil"/>
          <w:right w:val="nil"/>
          <w:between w:val="nil"/>
        </w:pBdr>
        <w:spacing w:before="120" w:after="120"/>
        <w:ind w:left="1134" w:hanging="708"/>
        <w:jc w:val="left"/>
        <w:rPr>
          <w:color w:val="000000"/>
        </w:rPr>
      </w:pPr>
      <w:r>
        <w:rPr>
          <w:color w:val="000000"/>
        </w:rPr>
        <w:t>The Business Continuity Plan shall:</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address the various possible levels of failures of or disruptions to the provision of Deliverables;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bookmarkStart w:id="10" w:name="_heading=h.2s8eyo1" w:colFirst="0" w:colLast="0"/>
      <w:bookmarkEnd w:id="10"/>
      <w:r>
        <w:rPr>
          <w:color w:val="000000"/>
        </w:rPr>
        <w:t>set out the goods and/or services to be provided and the steps to be ta</w:t>
      </w:r>
      <w:r>
        <w:rPr>
          <w:color w:val="000000"/>
        </w:rPr>
        <w:t>ken to remedy the different levels of failures of and disruption to the Deliverables;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bookmarkStart w:id="11" w:name="_heading=h.9i9hfic9bxma" w:colFirst="0" w:colLast="0"/>
      <w:bookmarkEnd w:id="11"/>
      <w:r>
        <w:rPr>
          <w:color w:val="000000"/>
        </w:rPr>
        <w:t>specify any applicable Framework Performance Measures (FPMs) and/or Key Performance Indicators with respect to the provision of the business continuity Services and detai</w:t>
      </w:r>
      <w:r>
        <w:rPr>
          <w:color w:val="000000"/>
        </w:rPr>
        <w:t>ls of any agreed relaxation to the Key Performance Indicators in respect of the provision of other Deliverables during any period of invocation of the Business Continuity Plan; and</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set out the circumstances in which the Business Continuity Plan is invoked.</w:t>
      </w:r>
    </w:p>
    <w:p w:rsidR="008C11C3" w:rsidRDefault="00B62AD0">
      <w:pPr>
        <w:keepNext/>
        <w:numPr>
          <w:ilvl w:val="0"/>
          <w:numId w:val="1"/>
        </w:numPr>
        <w:pBdr>
          <w:top w:val="nil"/>
          <w:left w:val="nil"/>
          <w:bottom w:val="nil"/>
          <w:right w:val="nil"/>
          <w:between w:val="nil"/>
        </w:pBdr>
        <w:tabs>
          <w:tab w:val="left" w:pos="0"/>
        </w:tabs>
        <w:spacing w:before="120" w:after="120"/>
        <w:ind w:left="426" w:hanging="426"/>
        <w:jc w:val="left"/>
        <w:rPr>
          <w:b/>
          <w:smallCaps/>
          <w:color w:val="000000"/>
        </w:rPr>
      </w:pPr>
      <w:r>
        <w:rPr>
          <w:b/>
          <w:color w:val="000000"/>
        </w:rPr>
        <w:t xml:space="preserve">Disaster Recovery (Section </w:t>
      </w:r>
      <w:r>
        <w:rPr>
          <w:color w:val="000000"/>
        </w:rPr>
        <w:t>3</w:t>
      </w:r>
      <w:r>
        <w:rPr>
          <w:b/>
          <w:color w:val="000000"/>
        </w:rPr>
        <w:t>)</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bookmarkStart w:id="12" w:name="_heading=h.17dp8vu" w:colFirst="0" w:colLast="0"/>
      <w:bookmarkEnd w:id="12"/>
      <w:r>
        <w:rPr>
          <w:color w:val="000000"/>
        </w:rPr>
        <w:t xml:space="preserve">The Disaster Recovery Plan (which shall be invoked only upon the occurrence of a Disaster) shall be designed to ensure that upon the occurrence of a Disaster the Supplier ensures continuity of the business operations of the Buyer supported by the Services </w:t>
      </w:r>
      <w:r>
        <w:rPr>
          <w:color w:val="000000"/>
        </w:rPr>
        <w:t>following any Disaster or during any period of service failure or disruption with, as far as reasonably possible, minimal adverse impact.</w:t>
      </w:r>
    </w:p>
    <w:p w:rsidR="008C11C3" w:rsidRDefault="00B62AD0">
      <w:pPr>
        <w:keepNext/>
        <w:numPr>
          <w:ilvl w:val="1"/>
          <w:numId w:val="1"/>
        </w:numPr>
        <w:pBdr>
          <w:top w:val="nil"/>
          <w:left w:val="nil"/>
          <w:bottom w:val="nil"/>
          <w:right w:val="nil"/>
          <w:between w:val="nil"/>
        </w:pBdr>
        <w:spacing w:before="120" w:after="120"/>
        <w:ind w:left="1134" w:hanging="708"/>
        <w:jc w:val="left"/>
        <w:rPr>
          <w:color w:val="000000"/>
        </w:rPr>
      </w:pPr>
      <w:r>
        <w:rPr>
          <w:color w:val="000000"/>
        </w:rPr>
        <w:t>The Supplier's BCDR Plan shall include an approach to business continuity and disaster recovery that addresses the fol</w:t>
      </w:r>
      <w:r>
        <w:rPr>
          <w:color w:val="000000"/>
        </w:rPr>
        <w:t>lowing:</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loss of access to the Buyer Premises;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loss of utilities to the Buyer Premises;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loss of the Supplier's helpdesk or CAFM system;</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loss of a Subcontractor;</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emergency notification and escalation process;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contact lists;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lastRenderedPageBreak/>
        <w:t>staff training and awareness;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BCDR Plan testing;</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post implementation review process;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any applicable Framework Performance Measures (FPMs) and/or Key Performance Indicators with respect to the provision of the disaster recovery services and details of any agreed relaxation to the Framew</w:t>
      </w:r>
      <w:r>
        <w:rPr>
          <w:color w:val="000000"/>
        </w:rPr>
        <w:t>ork Performance Measures (FPMs) and/or Key Performance Indicators in respect of the provision of other Deliverables during any period of invocation of the Disaster Recovery Plan;</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details of how the Supplier shall ensure compliance with security standards e</w:t>
      </w:r>
      <w:r>
        <w:rPr>
          <w:color w:val="000000"/>
        </w:rPr>
        <w:t>nsuring that compliance is maintained for any period during which the Disaster Recovery Plan is invoked;</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access controls to any disaster recovery sites used by the Supplier in relation to its obligations pursuant to this Schedule; and</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testing and management arrangements.</w:t>
      </w:r>
    </w:p>
    <w:p w:rsidR="008C11C3" w:rsidRDefault="00B62AD0">
      <w:pPr>
        <w:keepNext/>
        <w:numPr>
          <w:ilvl w:val="0"/>
          <w:numId w:val="1"/>
        </w:numPr>
        <w:pBdr>
          <w:top w:val="nil"/>
          <w:left w:val="nil"/>
          <w:bottom w:val="nil"/>
          <w:right w:val="nil"/>
          <w:between w:val="nil"/>
        </w:pBdr>
        <w:tabs>
          <w:tab w:val="left" w:pos="0"/>
        </w:tabs>
        <w:spacing w:before="120" w:after="120"/>
        <w:ind w:left="426" w:hanging="426"/>
        <w:jc w:val="left"/>
        <w:rPr>
          <w:b/>
          <w:smallCaps/>
          <w:color w:val="000000"/>
        </w:rPr>
      </w:pPr>
      <w:r>
        <w:rPr>
          <w:b/>
          <w:color w:val="000000"/>
        </w:rPr>
        <w:t>Review and changing the BCDR Plan</w:t>
      </w:r>
    </w:p>
    <w:p w:rsidR="008C11C3" w:rsidRDefault="00B62AD0">
      <w:pPr>
        <w:keepNext/>
        <w:numPr>
          <w:ilvl w:val="1"/>
          <w:numId w:val="1"/>
        </w:numPr>
        <w:pBdr>
          <w:top w:val="nil"/>
          <w:left w:val="nil"/>
          <w:bottom w:val="nil"/>
          <w:right w:val="nil"/>
          <w:between w:val="nil"/>
        </w:pBdr>
        <w:spacing w:before="120" w:after="120"/>
        <w:ind w:left="1134" w:hanging="708"/>
        <w:jc w:val="left"/>
        <w:rPr>
          <w:color w:val="000000"/>
        </w:rPr>
      </w:pPr>
      <w:bookmarkStart w:id="13" w:name="_heading=h.3rdcrjn" w:colFirst="0" w:colLast="0"/>
      <w:bookmarkEnd w:id="13"/>
      <w:r>
        <w:rPr>
          <w:color w:val="000000"/>
        </w:rPr>
        <w:t>The Supplier shall review the BCDR Plan:</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bookmarkStart w:id="14" w:name="_heading=h.26in1rg" w:colFirst="0" w:colLast="0"/>
      <w:bookmarkEnd w:id="14"/>
      <w:r>
        <w:rPr>
          <w:color w:val="000000"/>
        </w:rPr>
        <w:t>on a regular basis and as a minimum once every six (6) Months;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bookmarkStart w:id="15" w:name="_heading=h.lnxbz9" w:colFirst="0" w:colLast="0"/>
      <w:bookmarkEnd w:id="15"/>
      <w:r>
        <w:rPr>
          <w:color w:val="000000"/>
        </w:rPr>
        <w:t>within three (3) calendar Months of the BCDR Plan (or any part) having been invoked pursuant to Paragraph 8; and</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bookmarkStart w:id="16" w:name="_heading=h.35nkun2" w:colFirst="0" w:colLast="0"/>
      <w:bookmarkEnd w:id="16"/>
      <w:r>
        <w:rPr>
          <w:color w:val="000000"/>
        </w:rPr>
        <w:t>where the Buyer requests in writing any additional reviews (over and above those provided for in Paragraphs 6.1.1 and 6.1.2 of this Schedule) w</w:t>
      </w:r>
      <w:r>
        <w:rPr>
          <w:color w:val="000000"/>
        </w:rPr>
        <w:t xml:space="preserve">hereupon the Supplier shall conduct such reviews in accordance with the Buyer’s written requirements. Prior to starting its review, the Supplier shall provide an accurate written estimate of the total </w:t>
      </w:r>
      <w:proofErr w:type="gramStart"/>
      <w:r>
        <w:rPr>
          <w:color w:val="000000"/>
        </w:rPr>
        <w:t>costs</w:t>
      </w:r>
      <w:proofErr w:type="gramEnd"/>
      <w:r>
        <w:rPr>
          <w:color w:val="000000"/>
        </w:rPr>
        <w:t xml:space="preserve"> payable by the Buyer for the Buyer’s approval. Th</w:t>
      </w:r>
      <w:r>
        <w:rPr>
          <w:color w:val="000000"/>
        </w:rPr>
        <w:t>e costs of both Parties of any such additional reviews shall be met by the Buyer except that the Supplier shall not be entitled to charge the Buyer for any costs that it may incur above any estimate without the Buyer’s prior written approval.</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bookmarkStart w:id="17" w:name="_heading=h.1ksv4uv" w:colFirst="0" w:colLast="0"/>
      <w:bookmarkEnd w:id="17"/>
      <w:r>
        <w:rPr>
          <w:color w:val="000000"/>
        </w:rPr>
        <w:t>Each review of the BCDR Plan pursuant to Paragraph 6.1 shall assess its suitability having regard to any change to the Deliverables or any underlying business processes and operations facilitated by or supported by the Services which have taken place since</w:t>
      </w:r>
      <w:r>
        <w:rPr>
          <w:color w:val="000000"/>
        </w:rPr>
        <w:t xml:space="preserve"> the later of the original approval of the BCDR Plan or the last review of the BCDR Plan, and shall also have regard to any occurrence of any event since that date (or the likelihood of any such event taking place in the foreseeable future) which may incre</w:t>
      </w:r>
      <w:r>
        <w:rPr>
          <w:color w:val="000000"/>
        </w:rPr>
        <w:t>ase the likelihood of the need to invoke the BCDR Plan. The review shall be completed by the Supplier within such period as the Buyer shall reasonably require.</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bookmarkStart w:id="18" w:name="_heading=h.44sinio" w:colFirst="0" w:colLast="0"/>
      <w:bookmarkEnd w:id="18"/>
      <w:r>
        <w:rPr>
          <w:color w:val="000000"/>
        </w:rPr>
        <w:lastRenderedPageBreak/>
        <w:t>The Supplier shall, within twenty (20) Working Days of the conclusion of each such review of the</w:t>
      </w:r>
      <w:r>
        <w:rPr>
          <w:color w:val="000000"/>
        </w:rPr>
        <w:t xml:space="preserve"> BCDR Plan, provide to the Buyer a report (a </w:t>
      </w:r>
      <w:r>
        <w:rPr>
          <w:b/>
          <w:color w:val="000000"/>
        </w:rPr>
        <w:t>"Review Report"</w:t>
      </w:r>
      <w:r>
        <w:rPr>
          <w:color w:val="000000"/>
        </w:rPr>
        <w:t xml:space="preserve">) setting out the Supplier's proposals (the </w:t>
      </w:r>
      <w:r>
        <w:rPr>
          <w:b/>
          <w:color w:val="000000"/>
        </w:rPr>
        <w:t>"Supplier's Proposals"</w:t>
      </w:r>
      <w:r>
        <w:rPr>
          <w:color w:val="000000"/>
        </w:rPr>
        <w:t>) for addressing any changes in the risk profile and its proposals for amendments to the BCDR Plan.</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bookmarkStart w:id="19" w:name="_heading=h.2jxsxqh" w:colFirst="0" w:colLast="0"/>
      <w:bookmarkEnd w:id="19"/>
      <w:r>
        <w:rPr>
          <w:color w:val="000000"/>
        </w:rPr>
        <w:t>Following receipt of the Revie</w:t>
      </w:r>
      <w:r>
        <w:rPr>
          <w:color w:val="000000"/>
        </w:rPr>
        <w:t>w Report and the Supplier’s Proposals, the Parties shall use reasonable endeavours to agree the Review Report and the Supplier's Proposals. If the Parties are unable to agree Review Report and the Supplier's Proposals within twenty (20) Working Days of its</w:t>
      </w:r>
      <w:r>
        <w:rPr>
          <w:color w:val="000000"/>
        </w:rPr>
        <w:t xml:space="preserve"> submission, then such Dispute shall be resolved in accordance with the Dispute Resolution Procedure.</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r>
        <w:rPr>
          <w:color w:val="000000"/>
        </w:rPr>
        <w:t xml:space="preserve">The Supplier shall as soon as </w:t>
      </w:r>
      <w:proofErr w:type="gramStart"/>
      <w:r>
        <w:rPr>
          <w:color w:val="000000"/>
        </w:rPr>
        <w:t>is</w:t>
      </w:r>
      <w:proofErr w:type="gramEnd"/>
      <w:r>
        <w:rPr>
          <w:color w:val="000000"/>
        </w:rPr>
        <w:t xml:space="preserve"> reasonably practicable after receiving the approval of the Supplier's Proposals effect any change in its practices or pro</w:t>
      </w:r>
      <w:r>
        <w:rPr>
          <w:color w:val="000000"/>
        </w:rPr>
        <w:t>cedures necessary so as to give effect to the Supplier's Proposals. Any such change shall be at the Supplier’s expense unless it can be reasonably shown that the changes are required because of a material change to the risk profile of the Deliverables.</w:t>
      </w:r>
    </w:p>
    <w:p w:rsidR="008C11C3" w:rsidRDefault="00B62AD0">
      <w:pPr>
        <w:keepNext/>
        <w:numPr>
          <w:ilvl w:val="0"/>
          <w:numId w:val="1"/>
        </w:numPr>
        <w:pBdr>
          <w:top w:val="nil"/>
          <w:left w:val="nil"/>
          <w:bottom w:val="nil"/>
          <w:right w:val="nil"/>
          <w:between w:val="nil"/>
        </w:pBdr>
        <w:tabs>
          <w:tab w:val="left" w:pos="0"/>
        </w:tabs>
        <w:spacing w:before="120" w:after="120"/>
        <w:ind w:left="426" w:hanging="426"/>
        <w:jc w:val="left"/>
      </w:pPr>
      <w:bookmarkStart w:id="20" w:name="_heading=h.z337ya" w:colFirst="0" w:colLast="0"/>
      <w:bookmarkEnd w:id="20"/>
      <w:r>
        <w:rPr>
          <w:b/>
          <w:color w:val="000000"/>
        </w:rPr>
        <w:t>Tes</w:t>
      </w:r>
      <w:r>
        <w:rPr>
          <w:b/>
          <w:color w:val="000000"/>
        </w:rPr>
        <w:t>ting the BCDR Plan</w:t>
      </w:r>
    </w:p>
    <w:p w:rsidR="008C11C3" w:rsidRDefault="00B62AD0">
      <w:pPr>
        <w:keepNext/>
        <w:numPr>
          <w:ilvl w:val="1"/>
          <w:numId w:val="1"/>
        </w:numPr>
        <w:pBdr>
          <w:top w:val="nil"/>
          <w:left w:val="nil"/>
          <w:bottom w:val="nil"/>
          <w:right w:val="nil"/>
          <w:between w:val="nil"/>
        </w:pBdr>
        <w:spacing w:before="120" w:after="120"/>
        <w:ind w:left="1134" w:hanging="708"/>
        <w:jc w:val="left"/>
        <w:rPr>
          <w:color w:val="000000"/>
        </w:rPr>
      </w:pPr>
      <w:bookmarkStart w:id="21" w:name="_heading=h.3j2qqm3" w:colFirst="0" w:colLast="0"/>
      <w:bookmarkEnd w:id="21"/>
      <w:r>
        <w:rPr>
          <w:color w:val="000000"/>
        </w:rPr>
        <w:t xml:space="preserve">The Supplier shall test the BCDR Plan: </w:t>
      </w:r>
    </w:p>
    <w:p w:rsidR="008C11C3" w:rsidRDefault="00B62A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rPr>
      </w:pPr>
      <w:r>
        <w:rPr>
          <w:color w:val="000000"/>
        </w:rPr>
        <w:t>regularly and in any event not less than once in every Contract Year;</w:t>
      </w:r>
    </w:p>
    <w:p w:rsidR="008C11C3" w:rsidRDefault="00B62A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rPr>
      </w:pPr>
      <w:r>
        <w:rPr>
          <w:color w:val="000000"/>
        </w:rPr>
        <w:t>in the event of any major reconfiguration of the Deliverables;</w:t>
      </w:r>
    </w:p>
    <w:p w:rsidR="008C11C3" w:rsidRDefault="00B62A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rPr>
      </w:pPr>
      <w:r>
        <w:rPr>
          <w:color w:val="000000"/>
        </w:rPr>
        <w:t>at any time where the Buyer considers it necessary (acting in its sole discretion).</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bookmarkStart w:id="22" w:name="_heading=h.1y810tw" w:colFirst="0" w:colLast="0"/>
      <w:bookmarkEnd w:id="22"/>
      <w:r>
        <w:rPr>
          <w:color w:val="000000"/>
        </w:rPr>
        <w:t xml:space="preserve">If the Buyer requires an additional test of the BCDR Plan, it shall give the Supplier written notice and the Supplier shall conduct the test in accordance with the Buyer’s </w:t>
      </w:r>
      <w:r>
        <w:rPr>
          <w:color w:val="000000"/>
        </w:rPr>
        <w:t xml:space="preserve">requirements and the relevant provisions of the BCDR Plan.  The Supplier's costs of the additional test shall be borne by the Buyer unless the BCDR Plan fails the additional test in which case the Supplier's costs of that failed test shall be borne by the </w:t>
      </w:r>
      <w:r>
        <w:rPr>
          <w:color w:val="000000"/>
        </w:rPr>
        <w:t>Supplier.</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r>
        <w:rPr>
          <w:color w:val="000000"/>
        </w:rPr>
        <w:t xml:space="preserve">The Supplier shall undertake and manage testing of the BCDR Plan in full consultation with and under the supervision of the Buyer and shall liaise with the Buyer in respect of the planning, performance, and review, of each test, and shall comply </w:t>
      </w:r>
      <w:r>
        <w:rPr>
          <w:color w:val="000000"/>
        </w:rPr>
        <w:t>with the reasonable requirements of the Buyer.</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r>
        <w:rPr>
          <w:color w:val="000000"/>
        </w:rPr>
        <w:t xml:space="preserve">The Supplier shall ensure that any use by it or any Subcontractor of "live" data in such testing is first approved with the Buyer. Copies of live test data used in any such testing shall be (if so required by </w:t>
      </w:r>
      <w:r>
        <w:rPr>
          <w:color w:val="000000"/>
        </w:rPr>
        <w:t>the Buyer) destroyed or returned to the Buyer on completion of the test.</w:t>
      </w:r>
    </w:p>
    <w:p w:rsidR="008C11C3" w:rsidRDefault="00B62AD0">
      <w:pPr>
        <w:keepNext/>
        <w:numPr>
          <w:ilvl w:val="1"/>
          <w:numId w:val="1"/>
        </w:numPr>
        <w:pBdr>
          <w:top w:val="nil"/>
          <w:left w:val="nil"/>
          <w:bottom w:val="nil"/>
          <w:right w:val="nil"/>
          <w:between w:val="nil"/>
        </w:pBdr>
        <w:spacing w:before="120" w:after="120"/>
        <w:ind w:left="1134" w:hanging="708"/>
        <w:jc w:val="left"/>
        <w:rPr>
          <w:color w:val="000000"/>
        </w:rPr>
      </w:pPr>
      <w:r>
        <w:rPr>
          <w:color w:val="000000"/>
        </w:rPr>
        <w:t>The Supplier shall, within twenty (20) Working Days of the conclusion of each test, provide to the Buyer a report setting out:</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the outcome of the test;</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lastRenderedPageBreak/>
        <w:t>any failures in the BCDR Plan (including the BCDR Plan's procedures) revealed by the test; and</w:t>
      </w:r>
    </w:p>
    <w:p w:rsidR="008C11C3" w:rsidRDefault="00B62A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rPr>
      </w:pPr>
      <w:r>
        <w:rPr>
          <w:color w:val="000000"/>
        </w:rPr>
        <w:t>the Supplier's proposals for remedying any such failures.</w:t>
      </w:r>
    </w:p>
    <w:p w:rsidR="008C11C3" w:rsidRDefault="00B62AD0">
      <w:pPr>
        <w:numPr>
          <w:ilvl w:val="1"/>
          <w:numId w:val="1"/>
        </w:numPr>
        <w:pBdr>
          <w:top w:val="nil"/>
          <w:left w:val="nil"/>
          <w:bottom w:val="nil"/>
          <w:right w:val="nil"/>
          <w:between w:val="nil"/>
        </w:pBdr>
        <w:spacing w:before="120" w:after="120"/>
        <w:ind w:left="1134" w:hanging="708"/>
        <w:jc w:val="left"/>
        <w:rPr>
          <w:color w:val="000000"/>
        </w:rPr>
      </w:pPr>
      <w:bookmarkStart w:id="23" w:name="_heading=h.4i7ojhp" w:colFirst="0" w:colLast="0"/>
      <w:bookmarkEnd w:id="23"/>
      <w:r>
        <w:rPr>
          <w:color w:val="000000"/>
        </w:rPr>
        <w:t>Following each test, the Supplier shall take all measures requested by the Buyer to remedy any failures</w:t>
      </w:r>
      <w:r>
        <w:rPr>
          <w:color w:val="000000"/>
        </w:rPr>
        <w:t xml:space="preserve"> in the BCDR Plan and such remedial activity and re-testing shall be completed by the Supplier, at its own cost, by the date reasonably required by the Buyer.</w:t>
      </w:r>
    </w:p>
    <w:p w:rsidR="008C11C3" w:rsidRDefault="00B62AD0">
      <w:pPr>
        <w:keepNext/>
        <w:numPr>
          <w:ilvl w:val="0"/>
          <w:numId w:val="1"/>
        </w:numPr>
        <w:pBdr>
          <w:top w:val="nil"/>
          <w:left w:val="nil"/>
          <w:bottom w:val="nil"/>
          <w:right w:val="nil"/>
          <w:between w:val="nil"/>
        </w:pBdr>
        <w:tabs>
          <w:tab w:val="left" w:pos="0"/>
        </w:tabs>
        <w:spacing w:before="120" w:after="120"/>
        <w:ind w:left="426" w:hanging="426"/>
        <w:jc w:val="left"/>
      </w:pPr>
      <w:bookmarkStart w:id="24" w:name="_heading=h.2xcytpi" w:colFirst="0" w:colLast="0"/>
      <w:bookmarkEnd w:id="24"/>
      <w:r>
        <w:rPr>
          <w:b/>
          <w:color w:val="000000"/>
        </w:rPr>
        <w:t>Invoking the BCDR Plan</w:t>
      </w:r>
    </w:p>
    <w:p w:rsidR="008C11C3" w:rsidRDefault="00B62AD0">
      <w:pPr>
        <w:spacing w:before="120" w:after="120"/>
        <w:ind w:left="426"/>
        <w:jc w:val="left"/>
      </w:pPr>
      <w:r>
        <w:t>In the event of a complete loss of service or in the event of a Disaster, the Supplier shall immediately invoke the BCDR Plan (and shall inform the Buyer promptly of such invocation). In all other instances the Supplier shall invoke or test the BCDR Plan o</w:t>
      </w:r>
      <w:r>
        <w:t>nly with the prior consent of the Buyer.</w:t>
      </w:r>
    </w:p>
    <w:p w:rsidR="008C11C3" w:rsidRDefault="00B62AD0">
      <w:pPr>
        <w:keepNext/>
        <w:numPr>
          <w:ilvl w:val="0"/>
          <w:numId w:val="1"/>
        </w:numPr>
        <w:pBdr>
          <w:top w:val="nil"/>
          <w:left w:val="nil"/>
          <w:bottom w:val="nil"/>
          <w:right w:val="nil"/>
          <w:between w:val="nil"/>
        </w:pBdr>
        <w:tabs>
          <w:tab w:val="left" w:pos="0"/>
        </w:tabs>
        <w:spacing w:before="120" w:after="120"/>
        <w:ind w:left="426" w:hanging="426"/>
        <w:jc w:val="left"/>
        <w:rPr>
          <w:color w:val="000000"/>
        </w:rPr>
      </w:pPr>
      <w:r>
        <w:rPr>
          <w:b/>
          <w:color w:val="000000"/>
        </w:rPr>
        <w:t>Circumstances beyond your control</w:t>
      </w:r>
    </w:p>
    <w:p w:rsidR="008C11C3" w:rsidRDefault="00B62AD0">
      <w:pPr>
        <w:spacing w:before="120" w:after="120"/>
        <w:ind w:left="426"/>
      </w:pPr>
      <w:r>
        <w:t xml:space="preserve">The Supplier shall not be entitled to relief under Clause 23 </w:t>
      </w:r>
      <w:r>
        <w:rPr>
          <w:i/>
        </w:rPr>
        <w:t>(Circumstances beyond your control)</w:t>
      </w:r>
      <w:r>
        <w:t xml:space="preserve"> of the General Terms if it would not have been impacted by the Force Majeure Event h</w:t>
      </w:r>
      <w:r>
        <w:t>ad it not failed to comply with its obligations under this Schedule.</w:t>
      </w:r>
    </w:p>
    <w:p w:rsidR="008C11C3" w:rsidRDefault="00B62AD0">
      <w:pPr>
        <w:keepNext/>
        <w:numPr>
          <w:ilvl w:val="0"/>
          <w:numId w:val="1"/>
        </w:numPr>
        <w:pBdr>
          <w:top w:val="nil"/>
          <w:left w:val="nil"/>
          <w:bottom w:val="nil"/>
          <w:right w:val="nil"/>
          <w:between w:val="nil"/>
        </w:pBdr>
        <w:tabs>
          <w:tab w:val="left" w:pos="0"/>
        </w:tabs>
        <w:spacing w:before="120" w:after="120"/>
        <w:ind w:left="426" w:hanging="426"/>
        <w:jc w:val="left"/>
        <w:rPr>
          <w:color w:val="000000"/>
        </w:rPr>
      </w:pPr>
      <w:r>
        <w:rPr>
          <w:b/>
          <w:color w:val="000000"/>
          <w:highlight w:val="yellow"/>
        </w:rPr>
        <w:t>[Insolvency Continuity Plan (Section 4)</w:t>
      </w:r>
    </w:p>
    <w:p w:rsidR="008C11C3" w:rsidRDefault="00B62AD0">
      <w:pPr>
        <w:keepNext/>
        <w:numPr>
          <w:ilvl w:val="1"/>
          <w:numId w:val="1"/>
        </w:numPr>
        <w:pBdr>
          <w:top w:val="nil"/>
          <w:left w:val="nil"/>
          <w:bottom w:val="nil"/>
          <w:right w:val="nil"/>
          <w:between w:val="nil"/>
        </w:pBdr>
        <w:tabs>
          <w:tab w:val="left" w:pos="0"/>
        </w:tabs>
        <w:spacing w:before="120" w:after="120"/>
        <w:ind w:left="1134" w:hanging="708"/>
        <w:jc w:val="left"/>
        <w:rPr>
          <w:color w:val="000000"/>
        </w:rPr>
      </w:pPr>
      <w:r>
        <w:rPr>
          <w:color w:val="000000"/>
          <w:highlight w:val="yellow"/>
        </w:rPr>
        <w:t>The Insolvency Continuity Plan shall be designed by the Supplier to permit continuity of the business operations of the Buyer supported by the Deli</w:t>
      </w:r>
      <w:r>
        <w:rPr>
          <w:color w:val="000000"/>
          <w:highlight w:val="yellow"/>
        </w:rPr>
        <w:t>verables through continued provision of the Deliverables following an Insolvency Event of the Supplier, any Key Sub-contractor and/or any Supplier Group member with, as far as reasonably possible, minimal adverse impact.</w:t>
      </w:r>
    </w:p>
    <w:p w:rsidR="008C11C3" w:rsidRDefault="00B62AD0">
      <w:pPr>
        <w:keepNext/>
        <w:numPr>
          <w:ilvl w:val="1"/>
          <w:numId w:val="1"/>
        </w:numPr>
        <w:pBdr>
          <w:top w:val="nil"/>
          <w:left w:val="nil"/>
          <w:bottom w:val="nil"/>
          <w:right w:val="nil"/>
          <w:between w:val="nil"/>
        </w:pBdr>
        <w:tabs>
          <w:tab w:val="left" w:pos="0"/>
        </w:tabs>
        <w:spacing w:before="120" w:after="120"/>
        <w:ind w:left="1134" w:hanging="708"/>
        <w:jc w:val="left"/>
        <w:rPr>
          <w:color w:val="000000"/>
        </w:rPr>
      </w:pPr>
      <w:r>
        <w:rPr>
          <w:color w:val="000000"/>
          <w:highlight w:val="yellow"/>
        </w:rPr>
        <w:t>The Insolvency Continuity Plan shal</w:t>
      </w:r>
      <w:r>
        <w:rPr>
          <w:color w:val="000000"/>
          <w:highlight w:val="yellow"/>
        </w:rPr>
        <w:t>l include the following:</w:t>
      </w:r>
    </w:p>
    <w:p w:rsidR="008C11C3" w:rsidRDefault="00B62AD0">
      <w:pPr>
        <w:keepNext/>
        <w:numPr>
          <w:ilvl w:val="2"/>
          <w:numId w:val="1"/>
        </w:numPr>
        <w:pBdr>
          <w:top w:val="nil"/>
          <w:left w:val="nil"/>
          <w:bottom w:val="nil"/>
          <w:right w:val="nil"/>
          <w:between w:val="nil"/>
        </w:pBdr>
        <w:tabs>
          <w:tab w:val="left" w:pos="0"/>
        </w:tabs>
        <w:spacing w:before="120" w:after="120"/>
        <w:ind w:left="1985" w:hanging="851"/>
        <w:jc w:val="left"/>
        <w:rPr>
          <w:color w:val="000000"/>
        </w:rPr>
      </w:pPr>
      <w:r>
        <w:rPr>
          <w:color w:val="000000"/>
          <w:highlight w:val="yellow"/>
        </w:rPr>
        <w:t>communication strategies which are designed to minimise the potential disruption to the provision of the Deliverables, including key contact details in respect of the supply chain and key contact details for operational and contract Supplier Staff, Key Sub</w:t>
      </w:r>
      <w:r>
        <w:rPr>
          <w:color w:val="000000"/>
          <w:highlight w:val="yellow"/>
        </w:rPr>
        <w:t>contractor personnel and Supplier Group member personnel;</w:t>
      </w:r>
    </w:p>
    <w:p w:rsidR="008C11C3" w:rsidRDefault="00B62AD0">
      <w:pPr>
        <w:keepNext/>
        <w:numPr>
          <w:ilvl w:val="2"/>
          <w:numId w:val="1"/>
        </w:numPr>
        <w:pBdr>
          <w:top w:val="nil"/>
          <w:left w:val="nil"/>
          <w:bottom w:val="nil"/>
          <w:right w:val="nil"/>
          <w:between w:val="nil"/>
        </w:pBdr>
        <w:tabs>
          <w:tab w:val="left" w:pos="0"/>
        </w:tabs>
        <w:spacing w:before="120" w:after="120"/>
        <w:ind w:left="1985" w:hanging="851"/>
        <w:jc w:val="left"/>
        <w:rPr>
          <w:color w:val="000000"/>
        </w:rPr>
      </w:pPr>
      <w:r>
        <w:rPr>
          <w:color w:val="000000"/>
          <w:highlight w:val="yellow"/>
        </w:rPr>
        <w:t>identification, explanation, assessment and an impact analysis of risks in respect of dependencies between the Supplier, Key Subcontractors and Supplier Group members where failure of those dependen</w:t>
      </w:r>
      <w:r>
        <w:rPr>
          <w:color w:val="000000"/>
          <w:highlight w:val="yellow"/>
        </w:rPr>
        <w:t>cies could reasonably have an adverse impact on the Deliverables;</w:t>
      </w:r>
    </w:p>
    <w:p w:rsidR="008C11C3" w:rsidRDefault="00B62AD0">
      <w:pPr>
        <w:keepNext/>
        <w:numPr>
          <w:ilvl w:val="2"/>
          <w:numId w:val="1"/>
        </w:numPr>
        <w:pBdr>
          <w:top w:val="nil"/>
          <w:left w:val="nil"/>
          <w:bottom w:val="nil"/>
          <w:right w:val="nil"/>
          <w:between w:val="nil"/>
        </w:pBdr>
        <w:tabs>
          <w:tab w:val="left" w:pos="0"/>
        </w:tabs>
        <w:spacing w:before="120" w:after="120"/>
        <w:ind w:left="1985" w:hanging="851"/>
        <w:jc w:val="left"/>
        <w:rPr>
          <w:color w:val="000000"/>
        </w:rPr>
      </w:pPr>
      <w:r>
        <w:rPr>
          <w:color w:val="000000"/>
          <w:highlight w:val="yellow"/>
        </w:rPr>
        <w:t>plans to manage and mitigate identified risks;</w:t>
      </w:r>
    </w:p>
    <w:p w:rsidR="008C11C3" w:rsidRDefault="00B62AD0">
      <w:pPr>
        <w:keepNext/>
        <w:numPr>
          <w:ilvl w:val="2"/>
          <w:numId w:val="1"/>
        </w:numPr>
        <w:pBdr>
          <w:top w:val="nil"/>
          <w:left w:val="nil"/>
          <w:bottom w:val="nil"/>
          <w:right w:val="nil"/>
          <w:between w:val="nil"/>
        </w:pBdr>
        <w:tabs>
          <w:tab w:val="left" w:pos="0"/>
        </w:tabs>
        <w:spacing w:before="120" w:after="120"/>
        <w:ind w:left="1985" w:hanging="851"/>
        <w:jc w:val="left"/>
        <w:rPr>
          <w:color w:val="000000"/>
        </w:rPr>
      </w:pPr>
      <w:r>
        <w:rPr>
          <w:color w:val="000000"/>
          <w:highlight w:val="yellow"/>
        </w:rPr>
        <w:t xml:space="preserve">details of the roles and responsibilities of the Supplier, Key Subcontractors and/or Supplier Group members to minimise and </w:t>
      </w:r>
      <w:r>
        <w:rPr>
          <w:color w:val="000000"/>
          <w:highlight w:val="yellow"/>
        </w:rPr>
        <w:lastRenderedPageBreak/>
        <w:t>mitigate the effect</w:t>
      </w:r>
      <w:r>
        <w:rPr>
          <w:color w:val="000000"/>
          <w:highlight w:val="yellow"/>
        </w:rPr>
        <w:t>s of an Insolvency Event of such persons on the Deliverables;</w:t>
      </w:r>
    </w:p>
    <w:p w:rsidR="008C11C3" w:rsidRDefault="00B62AD0">
      <w:pPr>
        <w:keepNext/>
        <w:numPr>
          <w:ilvl w:val="2"/>
          <w:numId w:val="1"/>
        </w:numPr>
        <w:pBdr>
          <w:top w:val="nil"/>
          <w:left w:val="nil"/>
          <w:bottom w:val="nil"/>
          <w:right w:val="nil"/>
          <w:between w:val="nil"/>
        </w:pBdr>
        <w:tabs>
          <w:tab w:val="left" w:pos="0"/>
        </w:tabs>
        <w:spacing w:before="120" w:after="120"/>
        <w:ind w:left="1985" w:hanging="851"/>
        <w:jc w:val="left"/>
        <w:rPr>
          <w:color w:val="000000"/>
        </w:rPr>
      </w:pPr>
      <w:r>
        <w:rPr>
          <w:color w:val="000000"/>
          <w:highlight w:val="yellow"/>
        </w:rPr>
        <w:t>details of the recovery team to be put in place by the Supplier (which may include representatives of the Supplier, Key Subcontractors and Supplier Group members); and</w:t>
      </w:r>
    </w:p>
    <w:p w:rsidR="008C11C3" w:rsidRDefault="00B62AD0">
      <w:pPr>
        <w:keepNext/>
        <w:numPr>
          <w:ilvl w:val="2"/>
          <w:numId w:val="1"/>
        </w:numPr>
        <w:pBdr>
          <w:top w:val="nil"/>
          <w:left w:val="nil"/>
          <w:bottom w:val="nil"/>
          <w:right w:val="nil"/>
          <w:between w:val="nil"/>
        </w:pBdr>
        <w:tabs>
          <w:tab w:val="left" w:pos="0"/>
        </w:tabs>
        <w:spacing w:before="120" w:after="120"/>
        <w:ind w:left="1985" w:hanging="851"/>
        <w:jc w:val="left"/>
        <w:rPr>
          <w:color w:val="000000"/>
        </w:rPr>
      </w:pPr>
      <w:r>
        <w:rPr>
          <w:color w:val="000000"/>
          <w:highlight w:val="yellow"/>
        </w:rPr>
        <w:t>sufficient detail to enable an appointed insolvency practitioner to invoke the plan in the event of an Insolvency Event of the Supplier.</w:t>
      </w:r>
    </w:p>
    <w:p w:rsidR="008C11C3" w:rsidRDefault="00B62AD0">
      <w:pPr>
        <w:keepNext/>
        <w:numPr>
          <w:ilvl w:val="1"/>
          <w:numId w:val="1"/>
        </w:numPr>
        <w:pBdr>
          <w:top w:val="nil"/>
          <w:left w:val="nil"/>
          <w:bottom w:val="nil"/>
          <w:right w:val="nil"/>
          <w:between w:val="nil"/>
        </w:pBdr>
        <w:tabs>
          <w:tab w:val="left" w:pos="0"/>
        </w:tabs>
        <w:spacing w:before="120" w:after="120"/>
        <w:ind w:left="1134" w:hanging="708"/>
        <w:jc w:val="left"/>
        <w:rPr>
          <w:color w:val="000000"/>
        </w:rPr>
      </w:pPr>
      <w:r>
        <w:rPr>
          <w:color w:val="000000"/>
          <w:highlight w:val="yellow"/>
        </w:rPr>
        <w:t>Paragraph 3.1.6(c) is amended with the addition of the following words at the end of the Paragraph:</w:t>
      </w:r>
    </w:p>
    <w:p w:rsidR="008C11C3" w:rsidRDefault="00B62AD0">
      <w:pPr>
        <w:keepNext/>
        <w:pBdr>
          <w:top w:val="nil"/>
          <w:left w:val="nil"/>
          <w:bottom w:val="nil"/>
          <w:right w:val="nil"/>
          <w:between w:val="nil"/>
        </w:pBdr>
        <w:tabs>
          <w:tab w:val="left" w:pos="0"/>
        </w:tabs>
        <w:spacing w:before="120" w:after="120"/>
        <w:ind w:left="1134" w:hanging="708"/>
        <w:jc w:val="left"/>
        <w:rPr>
          <w:color w:val="000000"/>
        </w:rPr>
      </w:pPr>
      <w:r>
        <w:rPr>
          <w:color w:val="000000"/>
          <w:highlight w:val="yellow"/>
        </w:rPr>
        <w:tab/>
      </w:r>
      <w:r>
        <w:rPr>
          <w:color w:val="000000"/>
          <w:highlight w:val="yellow"/>
        </w:rPr>
        <w:t>as may be more fully described in the Insolvency Continuity Plan</w:t>
      </w:r>
    </w:p>
    <w:p w:rsidR="008C11C3" w:rsidRDefault="00B62AD0">
      <w:pPr>
        <w:keepNext/>
        <w:numPr>
          <w:ilvl w:val="1"/>
          <w:numId w:val="1"/>
        </w:numPr>
        <w:pBdr>
          <w:top w:val="nil"/>
          <w:left w:val="nil"/>
          <w:bottom w:val="nil"/>
          <w:right w:val="nil"/>
          <w:between w:val="nil"/>
        </w:pBdr>
        <w:tabs>
          <w:tab w:val="left" w:pos="0"/>
        </w:tabs>
        <w:spacing w:before="120" w:after="120"/>
        <w:ind w:left="1134" w:hanging="708"/>
        <w:jc w:val="left"/>
        <w:rPr>
          <w:color w:val="000000"/>
        </w:rPr>
      </w:pPr>
      <w:r>
        <w:rPr>
          <w:color w:val="000000"/>
          <w:highlight w:val="yellow"/>
        </w:rPr>
        <w:t>Add new Paragraph 3.1.15:</w:t>
      </w:r>
    </w:p>
    <w:p w:rsidR="008C11C3" w:rsidRDefault="00B62AD0">
      <w:pPr>
        <w:keepNext/>
        <w:pBdr>
          <w:top w:val="nil"/>
          <w:left w:val="nil"/>
          <w:bottom w:val="nil"/>
          <w:right w:val="nil"/>
          <w:between w:val="nil"/>
        </w:pBdr>
        <w:tabs>
          <w:tab w:val="left" w:pos="0"/>
        </w:tabs>
        <w:spacing w:before="120" w:after="120"/>
        <w:ind w:left="1985" w:hanging="851"/>
        <w:jc w:val="left"/>
        <w:rPr>
          <w:color w:val="000000"/>
        </w:rPr>
      </w:pPr>
      <w:r>
        <w:rPr>
          <w:color w:val="000000"/>
          <w:highlight w:val="yellow"/>
        </w:rPr>
        <w:t>3.1.15</w:t>
      </w:r>
      <w:r>
        <w:rPr>
          <w:color w:val="000000"/>
          <w:highlight w:val="yellow"/>
        </w:rPr>
        <w:tab/>
        <w:t xml:space="preserve">set out how the business continuity and disaster recovery elements of the BCDR Plan link to the Insolvency Continuity Plan, and how the Insolvency Continuity </w:t>
      </w:r>
      <w:r>
        <w:rPr>
          <w:color w:val="000000"/>
          <w:highlight w:val="yellow"/>
        </w:rPr>
        <w:t>Plan links to the business continuity and disaster recovery elements of the BCDR Plan;</w:t>
      </w:r>
    </w:p>
    <w:p w:rsidR="008C11C3" w:rsidRDefault="00B62AD0">
      <w:pPr>
        <w:keepNext/>
        <w:numPr>
          <w:ilvl w:val="1"/>
          <w:numId w:val="1"/>
        </w:numPr>
        <w:pBdr>
          <w:top w:val="nil"/>
          <w:left w:val="nil"/>
          <w:bottom w:val="nil"/>
          <w:right w:val="nil"/>
          <w:between w:val="nil"/>
        </w:pBdr>
        <w:tabs>
          <w:tab w:val="left" w:pos="0"/>
        </w:tabs>
        <w:spacing w:before="120" w:after="120"/>
        <w:ind w:left="1134" w:hanging="708"/>
        <w:jc w:val="left"/>
        <w:rPr>
          <w:color w:val="000000"/>
        </w:rPr>
      </w:pPr>
      <w:r>
        <w:rPr>
          <w:color w:val="000000"/>
          <w:highlight w:val="yellow"/>
        </w:rPr>
        <w:t>Add new Paragraph 8.2:</w:t>
      </w:r>
    </w:p>
    <w:p w:rsidR="008C11C3" w:rsidRDefault="00B62AD0">
      <w:pPr>
        <w:pBdr>
          <w:top w:val="nil"/>
          <w:left w:val="nil"/>
          <w:bottom w:val="nil"/>
          <w:right w:val="nil"/>
          <w:between w:val="nil"/>
        </w:pBdr>
        <w:spacing w:before="120" w:after="120"/>
        <w:ind w:left="1985" w:hanging="851"/>
        <w:jc w:val="left"/>
        <w:rPr>
          <w:color w:val="000000"/>
          <w:highlight w:val="yellow"/>
        </w:rPr>
      </w:pPr>
      <w:r>
        <w:rPr>
          <w:color w:val="000000"/>
          <w:highlight w:val="yellow"/>
        </w:rPr>
        <w:t>7.2</w:t>
      </w:r>
      <w:r>
        <w:rPr>
          <w:color w:val="000000"/>
          <w:highlight w:val="yellow"/>
        </w:rPr>
        <w:tab/>
      </w:r>
      <w:r>
        <w:rPr>
          <w:color w:val="000000"/>
          <w:highlight w:val="yellow"/>
        </w:rPr>
        <w:t>The Insolvency Continuity Plan element of the BCDR Plan, including any linked elements in other parts of the BCDR Plan, shall be invoked by the Supplier:</w:t>
      </w:r>
    </w:p>
    <w:p w:rsidR="008C11C3" w:rsidRDefault="00B62AD0">
      <w:pPr>
        <w:pBdr>
          <w:top w:val="nil"/>
          <w:left w:val="nil"/>
          <w:bottom w:val="nil"/>
          <w:right w:val="nil"/>
          <w:between w:val="nil"/>
        </w:pBdr>
        <w:spacing w:before="120" w:after="120"/>
        <w:ind w:left="1985" w:hanging="851"/>
        <w:jc w:val="left"/>
        <w:rPr>
          <w:color w:val="000000"/>
          <w:highlight w:val="yellow"/>
        </w:rPr>
      </w:pPr>
      <w:r>
        <w:rPr>
          <w:color w:val="000000"/>
          <w:highlight w:val="yellow"/>
        </w:rPr>
        <w:t>7.2.1</w:t>
      </w:r>
      <w:r>
        <w:rPr>
          <w:color w:val="000000"/>
          <w:highlight w:val="yellow"/>
        </w:rPr>
        <w:tab/>
        <w:t>where an Insolvency Event of a Key Sub-contractor and/or Supplier Group member (other than the S</w:t>
      </w:r>
      <w:r>
        <w:rPr>
          <w:color w:val="000000"/>
          <w:highlight w:val="yellow"/>
        </w:rPr>
        <w:t>upplier) could reasonably be expected to adversely affect delivery of the Deliverables; and/or</w:t>
      </w:r>
    </w:p>
    <w:p w:rsidR="008C11C3" w:rsidRDefault="00B62AD0">
      <w:pPr>
        <w:pBdr>
          <w:top w:val="nil"/>
          <w:left w:val="nil"/>
          <w:bottom w:val="nil"/>
          <w:right w:val="nil"/>
          <w:between w:val="nil"/>
        </w:pBdr>
        <w:spacing w:before="120" w:after="120"/>
        <w:ind w:left="1985" w:hanging="851"/>
        <w:jc w:val="left"/>
        <w:rPr>
          <w:color w:val="000000"/>
          <w:highlight w:val="yellow"/>
        </w:rPr>
      </w:pPr>
      <w:r>
        <w:rPr>
          <w:color w:val="000000"/>
          <w:highlight w:val="yellow"/>
        </w:rPr>
        <w:t>7.2.2</w:t>
      </w:r>
      <w:r>
        <w:rPr>
          <w:color w:val="000000"/>
          <w:highlight w:val="yellow"/>
        </w:rPr>
        <w:tab/>
        <w:t>where there is an Insolvency Event of the Supplier and the insolvency arrangements enable the Supplier to invoke the plan.</w:t>
      </w:r>
    </w:p>
    <w:p w:rsidR="008C11C3" w:rsidRDefault="008C11C3">
      <w:pPr>
        <w:spacing w:before="120" w:after="120"/>
        <w:ind w:firstLine="1418"/>
      </w:pPr>
    </w:p>
    <w:p w:rsidR="008C11C3" w:rsidRDefault="008C11C3">
      <w:pPr>
        <w:spacing w:before="120" w:after="120"/>
        <w:ind w:firstLine="1418"/>
      </w:pPr>
    </w:p>
    <w:sectPr w:rsidR="008C11C3">
      <w:headerReference w:type="default" r:id="rId8"/>
      <w:footerReference w:type="default" r:id="rId9"/>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AD0" w:rsidRDefault="00B62AD0">
      <w:pPr>
        <w:spacing w:after="0"/>
      </w:pPr>
      <w:r>
        <w:separator/>
      </w:r>
    </w:p>
  </w:endnote>
  <w:endnote w:type="continuationSeparator" w:id="0">
    <w:p w:rsidR="00B62AD0" w:rsidRDefault="00B62A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1C3" w:rsidRDefault="008C11C3">
    <w:pPr>
      <w:tabs>
        <w:tab w:val="center" w:pos="4513"/>
        <w:tab w:val="right" w:pos="9026"/>
      </w:tabs>
      <w:spacing w:after="0"/>
      <w:ind w:left="0"/>
      <w:jc w:val="left"/>
      <w:rPr>
        <w:sz w:val="20"/>
        <w:szCs w:val="20"/>
      </w:rPr>
    </w:pPr>
  </w:p>
  <w:p w:rsidR="008C11C3" w:rsidRDefault="00B62AD0">
    <w:pPr>
      <w:tabs>
        <w:tab w:val="center" w:pos="4513"/>
        <w:tab w:val="right" w:pos="9026"/>
      </w:tabs>
      <w:spacing w:after="0"/>
      <w:ind w:left="0"/>
      <w:jc w:val="left"/>
      <w:rPr>
        <w:sz w:val="20"/>
        <w:szCs w:val="20"/>
      </w:rPr>
    </w:pPr>
    <w:r>
      <w:rPr>
        <w:sz w:val="20"/>
        <w:szCs w:val="20"/>
      </w:rPr>
      <w:t>Framework Ref: RM6346 Records Information Management, Digital Solutions and Associated Services</w:t>
    </w:r>
    <w:r>
      <w:rPr>
        <w:sz w:val="20"/>
        <w:szCs w:val="20"/>
      </w:rPr>
      <w:tab/>
    </w:r>
    <w:r>
      <w:rPr>
        <w:sz w:val="20"/>
        <w:szCs w:val="20"/>
      </w:rPr>
      <w:t xml:space="preserve">                                           </w:t>
    </w:r>
  </w:p>
  <w:p w:rsidR="008C11C3" w:rsidRDefault="00B62AD0">
    <w:pPr>
      <w:tabs>
        <w:tab w:val="center" w:pos="4513"/>
        <w:tab w:val="right" w:pos="9026"/>
      </w:tabs>
      <w:spacing w:after="0"/>
      <w:ind w:left="0"/>
      <w:jc w:val="left"/>
      <w:rPr>
        <w:sz w:val="20"/>
        <w:szCs w:val="20"/>
      </w:rPr>
    </w:pPr>
    <w:r>
      <w:rPr>
        <w:sz w:val="20"/>
        <w:szCs w:val="20"/>
      </w:rPr>
      <w:t>Project Version: v0.5</w:t>
    </w:r>
    <w:r>
      <w:rPr>
        <w:sz w:val="20"/>
        <w:szCs w:val="20"/>
      </w:rPr>
      <w:tab/>
    </w:r>
    <w:r>
      <w:rPr>
        <w:sz w:val="20"/>
        <w:szCs w:val="20"/>
      </w:rPr>
      <w:tab/>
      <w:t xml:space="preserve"> </w:t>
    </w:r>
    <w:r>
      <w:rPr>
        <w:sz w:val="20"/>
        <w:szCs w:val="20"/>
      </w:rPr>
      <w:fldChar w:fldCharType="begin"/>
    </w:r>
    <w:r>
      <w:rPr>
        <w:sz w:val="20"/>
        <w:szCs w:val="20"/>
      </w:rPr>
      <w:instrText>PAGE</w:instrText>
    </w:r>
    <w:r w:rsidR="00392FCE">
      <w:rPr>
        <w:sz w:val="20"/>
        <w:szCs w:val="20"/>
      </w:rPr>
      <w:fldChar w:fldCharType="separate"/>
    </w:r>
    <w:r w:rsidR="00392FCE">
      <w:rPr>
        <w:noProof/>
        <w:sz w:val="20"/>
        <w:szCs w:val="20"/>
      </w:rPr>
      <w:t>1</w:t>
    </w:r>
    <w:r>
      <w:rPr>
        <w:sz w:val="20"/>
        <w:szCs w:val="20"/>
      </w:rPr>
      <w:fldChar w:fldCharType="end"/>
    </w:r>
  </w:p>
  <w:p w:rsidR="008C11C3" w:rsidRDefault="00B62AD0">
    <w:pPr>
      <w:spacing w:after="0"/>
      <w:ind w:left="0"/>
      <w:jc w:val="left"/>
    </w:pPr>
    <w:r>
      <w:rPr>
        <w:sz w:val="20"/>
        <w:szCs w:val="20"/>
      </w:rPr>
      <w:t>Model Version: v1.0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AD0" w:rsidRDefault="00B62AD0">
      <w:pPr>
        <w:spacing w:after="0"/>
      </w:pPr>
      <w:r>
        <w:separator/>
      </w:r>
    </w:p>
  </w:footnote>
  <w:footnote w:type="continuationSeparator" w:id="0">
    <w:p w:rsidR="00B62AD0" w:rsidRDefault="00B62A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1C3" w:rsidRDefault="00B62AD0">
    <w:pPr>
      <w:tabs>
        <w:tab w:val="center" w:pos="4513"/>
        <w:tab w:val="right" w:pos="9026"/>
      </w:tabs>
      <w:spacing w:after="0"/>
      <w:ind w:left="0"/>
      <w:rPr>
        <w:sz w:val="22"/>
        <w:szCs w:val="22"/>
      </w:rPr>
    </w:pPr>
    <w:r>
      <w:rPr>
        <w:b/>
        <w:sz w:val="22"/>
        <w:szCs w:val="22"/>
      </w:rPr>
      <w:t>Call-Off Schedule 8 (Business Continuity and Disaster Recovery)</w:t>
    </w:r>
  </w:p>
  <w:p w:rsidR="008C11C3" w:rsidRDefault="00B62AD0">
    <w:pPr>
      <w:tabs>
        <w:tab w:val="center" w:pos="4513"/>
        <w:tab w:val="right" w:pos="9026"/>
      </w:tabs>
      <w:spacing w:after="0"/>
      <w:ind w:left="0"/>
      <w:rPr>
        <w:sz w:val="22"/>
        <w:szCs w:val="22"/>
      </w:rPr>
    </w:pPr>
    <w:r>
      <w:rPr>
        <w:sz w:val="22"/>
        <w:szCs w:val="22"/>
      </w:rPr>
      <w:t>Call-Off Ref:</w:t>
    </w:r>
  </w:p>
  <w:p w:rsidR="008C11C3" w:rsidRDefault="00B62AD0">
    <w:pPr>
      <w:tabs>
        <w:tab w:val="center" w:pos="4513"/>
        <w:tab w:val="right" w:pos="9026"/>
      </w:tabs>
      <w:spacing w:after="0"/>
      <w:ind w:left="0"/>
      <w:rPr>
        <w:sz w:val="22"/>
        <w:szCs w:val="22"/>
      </w:rPr>
    </w:pPr>
    <w:r>
      <w:rPr>
        <w:sz w:val="22"/>
        <w:szCs w:val="22"/>
      </w:rPr>
      <w:t>Crown Copyright 2025</w:t>
    </w:r>
  </w:p>
  <w:p w:rsidR="008C11C3" w:rsidRDefault="008C11C3">
    <w:pPr>
      <w:tabs>
        <w:tab w:val="center" w:pos="4513"/>
        <w:tab w:val="right" w:pos="9026"/>
      </w:tabs>
      <w:spacing w:after="0"/>
      <w:ind w:left="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869F6"/>
    <w:multiLevelType w:val="multilevel"/>
    <w:tmpl w:val="98964872"/>
    <w:lvl w:ilvl="0">
      <w:start w:val="1"/>
      <w:numFmt w:val="decimal"/>
      <w:pStyle w:val="GPSL1SCHEDULEHeading"/>
      <w:lvlText w:val="%1."/>
      <w:lvlJc w:val="left"/>
      <w:pPr>
        <w:ind w:left="360" w:hanging="360"/>
      </w:pPr>
      <w:rPr>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i w:val="0"/>
        <w:smallCaps w:val="0"/>
        <w:strike w:val="0"/>
        <w:color w:val="000000"/>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5704735D"/>
    <w:multiLevelType w:val="multilevel"/>
    <w:tmpl w:val="06FC43C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C3"/>
    <w:rsid w:val="00392FCE"/>
    <w:rsid w:val="008C11C3"/>
    <w:rsid w:val="00B62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840010-F37A-4A26-BB81-8C7863CB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GPSL1SCHEDULEHeading">
    <w:name w:val="GPS L1 SCHEDULE Heading"/>
    <w:basedOn w:val="GPSL1CLAUSEHEADING"/>
    <w:link w:val="GPSL1SCHEDULEHeadingChar"/>
    <w:qFormat/>
    <w:pPr>
      <w:numPr>
        <w:numId w:val="1"/>
      </w:numPr>
      <w:outlineLvl w:val="9"/>
    </w:pPr>
    <w:rPr>
      <w:rFonts w:ascii="Calibri" w:hAnsi="Calibri"/>
    </w:rPr>
  </w:style>
  <w:style w:type="character" w:customStyle="1" w:styleId="GPSL2numberedclauseChar1">
    <w:name w:val="GPS L2 numbered clause Char1"/>
    <w:link w:val="GPSL2numberedclause"/>
    <w:rsid w:val="00164310"/>
    <w:rPr>
      <w:rFonts w:eastAsia="Times New Roman"/>
      <w:sz w:val="24"/>
      <w:lang w:eastAsia="zh-CN"/>
    </w:rPr>
  </w:style>
  <w:style w:type="character" w:styleId="Hyperlink">
    <w:name w:val="Hyperlink"/>
    <w:basedOn w:val="DefaultParagraphFont"/>
    <w:uiPriority w:val="99"/>
    <w:unhideWhenUsed/>
    <w:rPr>
      <w:color w:val="0000FF" w:themeColor="hyperlink"/>
      <w:u w:val="singl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Term">
    <w:name w:val="GPS Definition Term"/>
    <w:basedOn w:val="Normal"/>
    <w:qFormat/>
    <w:pPr>
      <w:spacing w:after="120"/>
      <w:ind w:left="-108"/>
      <w:jc w:val="left"/>
    </w:pPr>
    <w:rPr>
      <w: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paragraph" w:customStyle="1" w:styleId="GPSL2numberedclause">
    <w:name w:val="GPS L2 numbered clause"/>
    <w:basedOn w:val="Normal"/>
    <w:link w:val="GPSL2numberedclauseChar1"/>
    <w:qFormat/>
    <w:rsid w:val="00164310"/>
    <w:pPr>
      <w:numPr>
        <w:ilvl w:val="1"/>
        <w:numId w:val="2"/>
      </w:numPr>
      <w:spacing w:before="120" w:after="120"/>
      <w:jc w:val="left"/>
    </w:pPr>
    <w:rPr>
      <w:lang w:eastAsia="zh-CN"/>
    </w:rPr>
  </w:style>
  <w:style w:type="character" w:customStyle="1" w:styleId="FooterChar">
    <w:name w:val="Footer Char"/>
    <w:basedOn w:val="DefaultParagraphFont"/>
    <w:link w:val="Footer"/>
    <w:uiPriority w:val="99"/>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GPSmacrorestart">
    <w:name w:val="GPS macro restart"/>
    <w:basedOn w:val="Normal"/>
    <w:qFormat/>
    <w:pPr>
      <w:spacing w:after="0"/>
      <w:ind w:left="0"/>
    </w:pPr>
    <w:rPr>
      <w:color w:val="FFFFFF"/>
      <w:sz w:val="16"/>
      <w:szCs w:val="16"/>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CLAUSEHEADING">
    <w:name w:val="GPS L1 CLAUSE HEADING"/>
    <w:basedOn w:val="Normal"/>
    <w:next w:val="Normal"/>
    <w:qFormat/>
    <w:rsid w:val="00CE67F4"/>
    <w:pPr>
      <w:keepNext/>
      <w:numPr>
        <w:numId w:val="2"/>
      </w:numPr>
      <w:tabs>
        <w:tab w:val="left" w:pos="0"/>
      </w:tabs>
      <w:spacing w:before="120"/>
      <w:jc w:val="left"/>
      <w:outlineLvl w:val="1"/>
    </w:pPr>
    <w:rPr>
      <w:rFonts w:ascii="Arial Bold" w:eastAsia="STZhongsong" w:hAnsi="Arial Bold"/>
      <w:b/>
      <w:lang w:eastAsia="zh-CN"/>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CE67F4"/>
    <w:pPr>
      <w:numPr>
        <w:ilvl w:val="3"/>
      </w:numPr>
      <w:tabs>
        <w:tab w:val="clear" w:pos="1985"/>
        <w:tab w:val="clear" w:pos="2127"/>
      </w:tabs>
    </w:pPr>
    <w:rPr>
      <w:szCs w:val="20"/>
    </w:rPr>
  </w:style>
  <w:style w:type="character" w:customStyle="1" w:styleId="GPSL3numberedclauseChar">
    <w:name w:val="GPS L3 numbered clause Char"/>
    <w:link w:val="GPSL3numberedclause"/>
    <w:rPr>
      <w:rFonts w:ascii="Calibri" w:eastAsia="Times New Roman" w:hAnsi="Calibri" w:cs="Arial"/>
      <w:lang w:eastAsia="zh-CN"/>
    </w:rPr>
  </w:style>
  <w:style w:type="paragraph" w:styleId="Revision">
    <w:name w:val="Revision"/>
    <w:hidden/>
    <w:uiPriority w:val="99"/>
    <w:semiHidden/>
    <w:pPr>
      <w:spacing w:after="0"/>
    </w:pPr>
    <w:rPr>
      <w:rFonts w:eastAsia="Times New Roman"/>
    </w:rPr>
  </w:style>
  <w:style w:type="character" w:customStyle="1" w:styleId="GPSL4numberedclauseChar">
    <w:name w:val="GPS L4 numbered clause Char"/>
    <w:link w:val="GPSL4numberedclause"/>
    <w:rsid w:val="00CE67F4"/>
    <w:rPr>
      <w:rFonts w:eastAsia="Times New Roman"/>
      <w:sz w:val="24"/>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num" w:pos="3600"/>
        <w:tab w:val="left" w:pos="4253"/>
      </w:tabs>
    </w:pPr>
  </w:style>
  <w:style w:type="paragraph" w:customStyle="1" w:styleId="GPSSchTitleandNumber">
    <w:name w:val="GPS Sch Title and Number"/>
    <w:basedOn w:val="Normal"/>
    <w:link w:val="GPSSchTitleandNumberChar"/>
    <w:qFormat/>
    <w:pPr>
      <w:keepNext/>
      <w:ind w:left="0"/>
      <w:jc w:val="center"/>
      <w:outlineLvl w:val="0"/>
    </w:pP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spacing w:after="120"/>
      <w:ind w:left="720" w:hanging="720"/>
    </w:p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table" w:customStyle="1" w:styleId="a0">
    <w:basedOn w:val="TableNormal"/>
    <w:tblPr>
      <w:tblStyleRowBandSize w:val="1"/>
      <w:tblStyleColBandSize w:val="1"/>
      <w:tblCellMar>
        <w:left w:w="115" w:type="dxa"/>
        <w:right w:w="115" w:type="dxa"/>
      </w:tblCellMar>
    </w:tblPr>
  </w:style>
  <w:style w:type="paragraph" w:customStyle="1" w:styleId="GPSDefinitionL4">
    <w:name w:val="GPS Definition L4"/>
    <w:basedOn w:val="GPSDefinitionL3"/>
    <w:qFormat/>
    <w:pPr>
      <w:numPr>
        <w:ilvl w:val="3"/>
      </w:numPr>
      <w:tabs>
        <w:tab w:val="num" w:pos="720"/>
      </w:tabs>
      <w:ind w:left="720" w:hanging="545"/>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701"/>
    <w:pPr>
      <w:spacing w:after="200" w:line="276" w:lineRule="auto"/>
      <w:ind w:left="720"/>
      <w:contextualSpacing/>
      <w:jc w:val="left"/>
    </w:pPr>
    <w:rPr>
      <w:rFonts w:ascii="Calibri" w:eastAsia="Calibri" w:hAnsi="Calibri" w:cs="Calibri"/>
    </w:r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arrhNmFxxXD+dJVdnjvZaK4+A==">CgMxLjAyCGguZ2pkZ3hzMgloLjMwajB6bGwyCWguMWZvYjl0ZTIJaC4zem55c2g3MgloLjJldDkycDAyCGgudHlqY3d0MgloLjNkeTZ2a20yCWguMXQzaDVzZjIJaC40ZDM0b2c4MgloLjJzOGV5bzEyDmguOWk5aGZpYzlieG1hMgloLjE3ZHA4dnUyCWguM3JkY3JqbjIJaC4yNmluMXJnMghoLmxueGJ6OTIJaC4zNW5rdW4yMgloLjFrc3Y0dXYyCWguNDRzaW5pbzIJaC4yanhzeHFoMghoLnozMzd5YTIJaC4zajJxcW0zMgloLjF5ODEwdHcyCWguNGk3b2pocDIJaC4yeGN5dHBpOAByITFGX1h0bmR5SW1QeXB2MzdtbU1ya2JHNVgxUkdKWHF5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Jackie Gould</cp:lastModifiedBy>
  <cp:revision>2</cp:revision>
  <dcterms:created xsi:type="dcterms:W3CDTF">2025-08-04T15:54:00Z</dcterms:created>
  <dcterms:modified xsi:type="dcterms:W3CDTF">2025-08-04T15:54:00Z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4477dcbb-e9e8-44d6-8c46-49e282799ab0</vt:lpwstr>
  </property>
  <property fmtid="{D5CDD505-2E9C-101B-9397-08002B2CF9AE}" pid="3" name="ContentTypeId">
    <vt:lpwstr>0x01010049E24096C3B12B4DBFEA258BF752736B</vt:lpwstr>
  </property>
</Properties>
</file>