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2D1C" w14:textId="77777777" w:rsidR="00DB3AF6" w:rsidRDefault="006B2FD4">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12098994" w14:textId="77777777" w:rsidR="00DB3AF6" w:rsidRDefault="006B2FD4">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12EFB6BB"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1141CDBF" w14:textId="77777777" w:rsidR="00DB3AF6" w:rsidRDefault="006B2FD4">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247ED980"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bookmarkStart w:id="0" w:name="_heading=h.30j0zll" w:colFirst="0" w:colLast="0"/>
      <w:bookmarkEnd w:id="0"/>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16AD76C"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AD70E7E"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bookmarkStart w:id="1" w:name="_heading=h.1fob9te" w:colFirst="0" w:colLast="0"/>
      <w:bookmarkEnd w:id="1"/>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5753E3D2" w14:textId="77777777" w:rsidR="00DB3AF6" w:rsidRDefault="006B2FD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4857C66E" w14:textId="77777777" w:rsidR="00DB3AF6" w:rsidRDefault="006B2FD4">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2" w:name="_heading=h.3znysh7" w:colFirst="0" w:colLast="0"/>
      <w:bookmarkEnd w:id="2"/>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A644D50" w14:textId="77777777" w:rsidR="00DB3AF6" w:rsidRDefault="006B2FD4">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24F6F0B9" w14:textId="77777777" w:rsidR="00DB3AF6" w:rsidRDefault="006B2FD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307DA9F2"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w:t>
      </w:r>
      <w:r>
        <w:rPr>
          <w:rFonts w:ascii="Arial" w:eastAsia="Arial" w:hAnsi="Arial"/>
          <w:color w:val="000000"/>
          <w:sz w:val="24"/>
          <w:szCs w:val="24"/>
        </w:rPr>
        <w:lastRenderedPageBreak/>
        <w:t xml:space="preserve">hundred (100) Working Days of the first Order or six (6) Months following the Start Date, whichever is earlier.  </w:t>
      </w:r>
    </w:p>
    <w:p w14:paraId="5FED805B"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bookmarkStart w:id="3" w:name="_heading=h.2et92p0" w:colFirst="0" w:colLast="0"/>
      <w:bookmarkEnd w:id="3"/>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561FBED"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bookmarkStart w:id="4" w:name="_heading=h.tyjcwt" w:colFirst="0" w:colLast="0"/>
      <w:bookmarkEnd w:id="4"/>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B0A76E9"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2B808AE2" w14:textId="77777777" w:rsidR="00DB3AF6" w:rsidRDefault="006B2FD4" w:rsidP="00C90A94">
      <w:pPr>
        <w:keepNext/>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7D5CC974" w14:textId="77777777" w:rsidR="00DB3AF6" w:rsidRDefault="006B2FD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6BA960AC" w14:textId="77777777" w:rsidR="00DB3AF6" w:rsidRDefault="006B2FD4">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5BEE984D"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6B559883"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DC8D1ED"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C2A4026" w14:textId="77777777" w:rsidR="00DB3AF6" w:rsidRDefault="006B2FD4" w:rsidP="00C90A94">
      <w:pPr>
        <w:numPr>
          <w:ilvl w:val="1"/>
          <w:numId w:val="1"/>
        </w:numPr>
        <w:pBdr>
          <w:top w:val="nil"/>
          <w:left w:val="nil"/>
          <w:bottom w:val="nil"/>
          <w:right w:val="nil"/>
          <w:between w:val="nil"/>
        </w:pBdr>
        <w:tabs>
          <w:tab w:val="left" w:pos="1134"/>
        </w:tabs>
        <w:spacing w:before="120" w:after="120"/>
        <w:ind w:left="993" w:hanging="709"/>
        <w:jc w:val="left"/>
        <w:rPr>
          <w:rFonts w:ascii="Arial" w:eastAsia="Arial" w:hAnsi="Arial"/>
          <w:color w:val="000000"/>
          <w:sz w:val="24"/>
          <w:szCs w:val="24"/>
        </w:rPr>
      </w:pPr>
      <w:r>
        <w:rPr>
          <w:rFonts w:ascii="Arial" w:eastAsia="Arial" w:hAnsi="Arial"/>
          <w:color w:val="000000"/>
          <w:sz w:val="24"/>
          <w:szCs w:val="24"/>
        </w:rPr>
        <w:t>At any time during the Contract Period of the Call-Off Contract, both the Buyer and the Supplier may, respectively, make a proposal in writing for gainshare. If the Buyer deems gainshare to be applicable then the Supplier shall update the Continuous Improvement Plan so as to include details of the way in which the proposal shall be implemented in accordance with an agreed gainshare ratio.</w:t>
      </w:r>
    </w:p>
    <w:p w14:paraId="4DD1030E" w14:textId="77777777" w:rsidR="00DB3AF6" w:rsidRDefault="00DB3AF6"/>
    <w:sectPr w:rsidR="00DB3A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4D2C" w14:textId="77777777" w:rsidR="00690651" w:rsidRDefault="006B2FD4">
      <w:pPr>
        <w:spacing w:after="0"/>
      </w:pPr>
      <w:r>
        <w:separator/>
      </w:r>
    </w:p>
  </w:endnote>
  <w:endnote w:type="continuationSeparator" w:id="0">
    <w:p w14:paraId="71E40E6D" w14:textId="77777777" w:rsidR="00690651" w:rsidRDefault="006B2F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176" w14:textId="77777777" w:rsidR="00C90A94" w:rsidRDefault="00C90A94">
    <w:pPr>
      <w:pBdr>
        <w:top w:val="nil"/>
        <w:left w:val="nil"/>
        <w:bottom w:val="nil"/>
        <w:right w:val="nil"/>
        <w:between w:val="nil"/>
      </w:pBdr>
      <w:tabs>
        <w:tab w:val="center" w:pos="4513"/>
        <w:tab w:val="right" w:pos="9026"/>
      </w:tabs>
      <w:spacing w:after="0"/>
      <w:rPr>
        <w:rFonts w:eastAsia="Calibri" w:cs="Calibri"/>
        <w:color w:val="000000"/>
      </w:rPr>
    </w:pPr>
  </w:p>
  <w:p w14:paraId="2260C759" w14:textId="0919AA37" w:rsidR="00DB3AF6" w:rsidRDefault="002152CE">
    <w:pPr>
      <w:pBdr>
        <w:top w:val="nil"/>
        <w:left w:val="nil"/>
        <w:bottom w:val="nil"/>
        <w:right w:val="nil"/>
        <w:between w:val="nil"/>
      </w:pBdr>
      <w:tabs>
        <w:tab w:val="center" w:pos="4513"/>
        <w:tab w:val="right" w:pos="9026"/>
      </w:tabs>
      <w:spacing w:after="0"/>
      <w:rPr>
        <w:rFonts w:eastAsia="Calibri" w:cs="Calibri"/>
        <w:color w:val="000000"/>
      </w:rPr>
    </w:pPr>
    <w:r>
      <w:rPr>
        <w:rFonts w:eastAsia="Calibri" w:cs="Calibri"/>
        <w:color w:val="000000"/>
      </w:rPr>
      <w:t>76682104.1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DB64" w14:textId="77777777" w:rsidR="00DB3AF6" w:rsidRDefault="00DB3AF6">
    <w:pPr>
      <w:tabs>
        <w:tab w:val="center" w:pos="4513"/>
        <w:tab w:val="right" w:pos="9026"/>
      </w:tabs>
      <w:spacing w:after="0"/>
      <w:rPr>
        <w:rFonts w:ascii="Arial" w:eastAsia="Arial" w:hAnsi="Arial"/>
        <w:sz w:val="20"/>
        <w:szCs w:val="20"/>
      </w:rPr>
    </w:pPr>
  </w:p>
  <w:p w14:paraId="46374EFD" w14:textId="77777777" w:rsidR="00DB3AF6" w:rsidRDefault="006B2FD4">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6"/>
        <w:id w:val="-973905620"/>
      </w:sdtPr>
      <w:sdtEndPr/>
      <w:sdtContent>
        <w:r>
          <w:rPr>
            <w:rFonts w:ascii="Arial" w:eastAsia="Arial" w:hAnsi="Arial"/>
            <w:sz w:val="20"/>
            <w:szCs w:val="20"/>
          </w:rPr>
          <w:t>6335</w:t>
        </w:r>
      </w:sdtContent>
    </w:sdt>
  </w:p>
  <w:p w14:paraId="52DE1A93" w14:textId="77777777" w:rsidR="00DB3AF6" w:rsidRDefault="006B2FD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4783FB69" w14:textId="77777777" w:rsidR="00C90A94" w:rsidRDefault="006B2FD4">
    <w:pPr>
      <w:tabs>
        <w:tab w:val="center" w:pos="4513"/>
        <w:tab w:val="right" w:pos="9026"/>
      </w:tabs>
      <w:spacing w:after="0"/>
      <w:rPr>
        <w:rFonts w:ascii="Arial" w:eastAsia="Arial" w:hAnsi="Arial"/>
        <w:sz w:val="20"/>
        <w:szCs w:val="20"/>
      </w:rPr>
    </w:pPr>
    <w:r>
      <w:rPr>
        <w:rFonts w:ascii="Arial" w:eastAsia="Arial" w:hAnsi="Arial"/>
        <w:sz w:val="20"/>
        <w:szCs w:val="20"/>
      </w:rPr>
      <w:t>Model Version: v3.0</w:t>
    </w:r>
  </w:p>
  <w:p w14:paraId="2DAE4B00" w14:textId="53F9BC78" w:rsidR="00DB3AF6" w:rsidRDefault="002152CE">
    <w:pPr>
      <w:tabs>
        <w:tab w:val="center" w:pos="4513"/>
        <w:tab w:val="right" w:pos="9026"/>
      </w:tabs>
      <w:spacing w:after="0"/>
    </w:pPr>
    <w:r>
      <w:t>76682104.1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F850" w14:textId="77777777" w:rsidR="00DB3AF6" w:rsidRDefault="00DB3AF6">
    <w:pPr>
      <w:tabs>
        <w:tab w:val="center" w:pos="4513"/>
        <w:tab w:val="right" w:pos="9026"/>
      </w:tabs>
      <w:spacing w:after="0"/>
      <w:rPr>
        <w:rFonts w:ascii="Arial" w:eastAsia="Arial" w:hAnsi="Arial"/>
        <w:color w:val="A6A6A6"/>
        <w:sz w:val="20"/>
        <w:szCs w:val="20"/>
      </w:rPr>
    </w:pPr>
  </w:p>
  <w:p w14:paraId="3130D5F4" w14:textId="77777777" w:rsidR="00DB3AF6" w:rsidRDefault="006B2FD4">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398CB0A8" w14:textId="77777777" w:rsidR="00DB3AF6" w:rsidRDefault="006B2FD4">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noProof/>
        <w:color w:val="A6A6A6"/>
        <w:sz w:val="20"/>
        <w:szCs w:val="20"/>
      </w:rPr>
      <w:t>1</w:t>
    </w:r>
    <w:r>
      <w:rPr>
        <w:rFonts w:ascii="Arial" w:eastAsia="Arial" w:hAnsi="Arial"/>
        <w:color w:val="A6A6A6"/>
        <w:sz w:val="20"/>
        <w:szCs w:val="20"/>
      </w:rPr>
      <w:fldChar w:fldCharType="end"/>
    </w:r>
  </w:p>
  <w:p w14:paraId="5FB5C102" w14:textId="77777777" w:rsidR="00C90A94" w:rsidRDefault="006B2FD4">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p w14:paraId="6561EDA7" w14:textId="65E3EFCC" w:rsidR="00DB3AF6" w:rsidRDefault="002152CE">
    <w:pPr>
      <w:pBdr>
        <w:top w:val="nil"/>
        <w:left w:val="nil"/>
        <w:bottom w:val="nil"/>
        <w:right w:val="nil"/>
        <w:between w:val="nil"/>
      </w:pBdr>
      <w:tabs>
        <w:tab w:val="center" w:pos="4513"/>
        <w:tab w:val="right" w:pos="9026"/>
      </w:tabs>
      <w:spacing w:after="0"/>
      <w:rPr>
        <w:rFonts w:eastAsia="Calibri" w:cs="Calibri"/>
        <w:color w:val="A6A6A6"/>
      </w:rPr>
    </w:pPr>
    <w:r>
      <w:rPr>
        <w:rFonts w:eastAsia="Calibri" w:cs="Calibri"/>
        <w:color w:val="A6A6A6"/>
      </w:rPr>
      <w:t>76682104.1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97C0" w14:textId="77777777" w:rsidR="00690651" w:rsidRDefault="006B2FD4">
      <w:pPr>
        <w:spacing w:after="0"/>
      </w:pPr>
      <w:r>
        <w:separator/>
      </w:r>
    </w:p>
  </w:footnote>
  <w:footnote w:type="continuationSeparator" w:id="0">
    <w:p w14:paraId="6652B5FC" w14:textId="77777777" w:rsidR="00690651" w:rsidRDefault="006B2F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A454" w14:textId="77777777" w:rsidR="00DB3AF6" w:rsidRDefault="00DB3AF6">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D802" w14:textId="77777777" w:rsidR="00DB3AF6" w:rsidRDefault="006B2FD4">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749E9858" w14:textId="77777777" w:rsidR="00DB3AF6" w:rsidRDefault="006B2FD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3475D16" w14:textId="77777777" w:rsidR="00DB3AF6" w:rsidRDefault="006B2FD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p w14:paraId="63CAC4DF" w14:textId="77777777" w:rsidR="00DB3AF6" w:rsidRDefault="00DB3AF6">
    <w:pPr>
      <w:pBdr>
        <w:top w:val="nil"/>
        <w:left w:val="nil"/>
        <w:bottom w:val="nil"/>
        <w:right w:val="nil"/>
        <w:between w:val="nil"/>
      </w:pBdr>
      <w:tabs>
        <w:tab w:val="center" w:pos="4513"/>
        <w:tab w:val="right" w:pos="9026"/>
      </w:tabs>
      <w:spacing w:after="0"/>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2E94" w14:textId="77777777" w:rsidR="00DB3AF6" w:rsidRDefault="00DB3AF6">
    <w:pPr>
      <w:pBdr>
        <w:top w:val="nil"/>
        <w:left w:val="nil"/>
        <w:bottom w:val="nil"/>
        <w:right w:val="nil"/>
        <w:between w:val="nil"/>
      </w:pBdr>
      <w:tabs>
        <w:tab w:val="center" w:pos="4513"/>
        <w:tab w:val="right" w:pos="9026"/>
      </w:tabs>
      <w:spacing w:after="0"/>
      <w:rPr>
        <w:rFonts w:eastAsia="Calibri" w:cs="Calibri"/>
        <w:color w:val="000000"/>
      </w:rPr>
    </w:pPr>
  </w:p>
  <w:p w14:paraId="04ECD583" w14:textId="77777777" w:rsidR="00DB3AF6" w:rsidRDefault="00DB3AF6">
    <w:pPr>
      <w:pBdr>
        <w:top w:val="nil"/>
        <w:left w:val="nil"/>
        <w:bottom w:val="nil"/>
        <w:right w:val="nil"/>
        <w:between w:val="nil"/>
      </w:pBdr>
      <w:tabs>
        <w:tab w:val="center" w:pos="4513"/>
        <w:tab w:val="right" w:pos="9026"/>
      </w:tabs>
      <w:spacing w:after="0"/>
      <w:rPr>
        <w:rFonts w:eastAsia="Calibri" w:cs="Calibri"/>
        <w:color w:val="000000"/>
      </w:rPr>
    </w:pPr>
  </w:p>
  <w:p w14:paraId="0CC7ABBB" w14:textId="77777777" w:rsidR="00DB3AF6" w:rsidRDefault="00DB3AF6">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17D"/>
    <w:multiLevelType w:val="multilevel"/>
    <w:tmpl w:val="8BC46B5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A50249"/>
    <w:multiLevelType w:val="multilevel"/>
    <w:tmpl w:val="B2CCB7B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F6"/>
    <w:rsid w:val="002152CE"/>
    <w:rsid w:val="00690651"/>
    <w:rsid w:val="006B2FD4"/>
    <w:rsid w:val="00C90A94"/>
    <w:rsid w:val="00DA08B7"/>
    <w:rsid w:val="00DB3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D91C"/>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6Pwiijizpa1TOYbzoTJ26cmvNQ==">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3</cp:revision>
  <dcterms:created xsi:type="dcterms:W3CDTF">2023-02-08T16:26:00Z</dcterms:created>
  <dcterms:modified xsi:type="dcterms:W3CDTF">2023-02-08T16:27:00Z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76682104.1</vt:lpwstr>
  </property>
</Properties>
</file>