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3 (Framework Prices)</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60" w:hanging="360"/>
        <w:jc w:val="both"/>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How Framework Prices are used to calculate Call-Off Charges</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Prices: </w:t>
      </w:r>
    </w:p>
    <w:p w:rsidR="00000000" w:rsidDel="00000000" w:rsidP="00000000" w:rsidRDefault="00000000" w:rsidRPr="00000000" w14:paraId="00000004">
      <w:pPr>
        <w:numPr>
          <w:ilvl w:val="2"/>
          <w:numId w:val="1"/>
        </w:numPr>
        <w:pBdr>
          <w:top w:space="0" w:sz="0" w:val="nil"/>
          <w:left w:space="0" w:sz="0" w:val="nil"/>
          <w:bottom w:space="0" w:sz="0" w:val="nil"/>
          <w:right w:space="0" w:sz="0" w:val="nil"/>
          <w:between w:space="0" w:sz="0" w:val="nil"/>
        </w:pBdr>
        <w:tabs>
          <w:tab w:val="left" w:pos="1985"/>
          <w:tab w:val="left" w:pos="2127"/>
          <w:tab w:val="left" w:pos="1440"/>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be used as the basis for the charges (and are maximums that the Supplier may charge) under each Call Off Contract; and</w:t>
      </w:r>
    </w:p>
    <w:p w:rsidR="00000000" w:rsidDel="00000000" w:rsidP="00000000" w:rsidRDefault="00000000" w:rsidRPr="00000000" w14:paraId="00000005">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cannot be increased except as in accordance with this Schedule.</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Charges:</w:t>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calculated in accordance with the terms of the Call Off Contract and in particular in accordance with the terms of the Order Form;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Any variation to the Charges payable under a Call Off Contract must be agreed between the Supplier and the Buyer and implemented using the same procedure for altering Framework Prices in accordance with the provisions of this Framework Schedule 3</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How Framework Prices are calculated</w:t>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pricing mechanisms and prices set out in Annex 1 shall be available for use in calculation of Framework Prices in Call Off Contracts.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When the Supplier can ask to change the Framework Prices</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Prices will be fixed for the duration of the contract.</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give CCS at least three (3) Months' notice in writing </w:t>
      </w:r>
      <w:r w:rsidDel="00000000" w:rsidR="00000000" w:rsidRPr="00000000">
        <w:rPr>
          <w:rFonts w:ascii="Arial" w:cs="Arial" w:eastAsia="Arial" w:hAnsi="Arial"/>
          <w:sz w:val="24"/>
          <w:szCs w:val="24"/>
          <w:rtl w:val="0"/>
        </w:rPr>
        <w:t xml:space="preserve">should they wish </w:t>
      </w:r>
      <w:r w:rsidDel="00000000" w:rsidR="00000000" w:rsidRPr="00000000">
        <w:rPr>
          <w:rFonts w:ascii="Arial" w:cs="Arial" w:eastAsia="Arial" w:hAnsi="Arial"/>
          <w:color w:val="000000"/>
          <w:sz w:val="24"/>
          <w:szCs w:val="24"/>
          <w:rtl w:val="0"/>
        </w:rPr>
        <w:t xml:space="preserve">to request an increase.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notice requesting an increase shall include:</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of the Framework Prices to be reviewed;</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each Framework Price under review, written evidence of the justification for the requested increase including:</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4"/>
          <w:szCs w:val="24"/>
          <w:highlight w:val="white"/>
          <w:rtl w:val="0"/>
        </w:rPr>
        <w:t xml:space="preserve">CCS shall consider each request for a price increase.  CCS may grant Approval to an increase at its sole discretion.</w:t>
      </w:r>
      <w:r w:rsidDel="00000000" w:rsidR="00000000" w:rsidRPr="00000000">
        <w:rPr>
          <w:rtl w:val="0"/>
        </w:rPr>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rPr>
      </w:pPr>
      <w:r w:rsidDel="00000000" w:rsidR="00000000" w:rsidRPr="00000000">
        <w:rPr>
          <w:rFonts w:ascii="Arial" w:cs="Arial" w:eastAsia="Arial" w:hAnsi="Arial"/>
          <w:sz w:val="24"/>
          <w:szCs w:val="24"/>
          <w:rtl w:val="0"/>
        </w:rPr>
        <w:t xml:space="preserve">Where</w:t>
      </w:r>
      <w:r w:rsidDel="00000000" w:rsidR="00000000" w:rsidRPr="00000000">
        <w:rPr>
          <w:rFonts w:ascii="Arial" w:cs="Arial" w:eastAsia="Arial" w:hAnsi="Arial"/>
          <w:sz w:val="28"/>
          <w:szCs w:val="28"/>
          <w:highlight w:val="white"/>
          <w:rtl w:val="0"/>
        </w:rPr>
        <w:t xml:space="preserve"> </w:t>
      </w:r>
      <w:r w:rsidDel="00000000" w:rsidR="00000000" w:rsidRPr="00000000">
        <w:rPr>
          <w:rFonts w:ascii="Arial" w:cs="Arial" w:eastAsia="Arial" w:hAnsi="Arial"/>
          <w:sz w:val="24"/>
          <w:szCs w:val="24"/>
          <w:highlight w:val="white"/>
          <w:rtl w:val="0"/>
        </w:rPr>
        <w:t xml:space="preserve">CCS approves an increase then it will be implemented from the first (1st) Working Day following the relevant Review Date or such later date as CCS may determine at its sole discretion and Annex 1 shall be updated accordingly.</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1985"/>
          <w:tab w:val="left" w:pos="2127"/>
          <w:tab w:val="left" w:pos="1985"/>
          <w:tab w:val="left" w:pos="2552"/>
        </w:tabs>
        <w:spacing w:after="120" w:before="120" w:line="240" w:lineRule="auto"/>
        <w:rPr>
          <w:rFonts w:ascii="Arial" w:cs="Arial" w:eastAsia="Arial" w:hAnsi="Arial"/>
          <w:sz w:val="24"/>
          <w:szCs w:val="24"/>
          <w:highlight w:val="white"/>
        </w:rPr>
      </w:pPr>
      <w:bookmarkStart w:colFirst="0" w:colLast="0" w:name="_heading=h.3znysh7" w:id="3"/>
      <w:bookmarkEnd w:id="3"/>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Other events that allow the Supplier to change the Framework Prices</w:t>
      </w: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Prices can also be varied (and Annex 1 will be updated accordingly) due to:</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Specific Change in Law in accordance with Clause 24;</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review in accordance with insurance requirements in Clause 13; </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from the Supplier, which it can make at any time, to decrease the Framework Prices;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0"/>
        </w:tabs>
        <w:spacing w:after="240" w:before="240" w:line="240" w:lineRule="auto"/>
        <w:ind w:left="644" w:hanging="360"/>
        <w:jc w:val="both"/>
        <w:rPr>
          <w:rFonts w:ascii="Arial Bold" w:cs="Arial Bold" w:eastAsia="Arial Bold" w:hAnsi="Arial Bold"/>
          <w:b w:val="1"/>
          <w:smallCaps w:val="1"/>
          <w:color w:val="000000"/>
          <w:highlight w:val="yellow"/>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137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36"/>
          <w:szCs w:val="36"/>
        </w:rPr>
      </w:pPr>
      <w:bookmarkStart w:colFirst="0" w:colLast="0" w:name="_heading=h.1t3h5sf" w:id="4"/>
      <w:bookmarkEnd w:id="4"/>
      <w:r w:rsidDel="00000000" w:rsidR="00000000" w:rsidRPr="00000000">
        <w:br w:type="page"/>
      </w:r>
      <w:r w:rsidDel="00000000" w:rsidR="00000000" w:rsidRPr="00000000">
        <w:rPr>
          <w:rFonts w:ascii="Arial" w:cs="Arial" w:eastAsia="Arial" w:hAnsi="Arial"/>
          <w:b w:val="1"/>
          <w:sz w:val="36"/>
          <w:szCs w:val="36"/>
          <w:rtl w:val="0"/>
        </w:rPr>
        <w:t xml:space="preserve">Annex 1: Rates and Prices</w:t>
      </w:r>
    </w:p>
    <w:p w:rsidR="00000000" w:rsidDel="00000000" w:rsidP="00000000" w:rsidRDefault="00000000" w:rsidRPr="00000000" w14:paraId="0000001C">
      <w:pPr>
        <w:rPr>
          <w:rFonts w:ascii="Arial" w:cs="Arial" w:eastAsia="Arial" w:hAnsi="Arial"/>
          <w:b w:val="1"/>
          <w:sz w:val="26"/>
          <w:szCs w:val="26"/>
        </w:rPr>
      </w:pPr>
      <w:bookmarkStart w:colFirst="0" w:colLast="0" w:name="_heading=h.2et92p0" w:id="5"/>
      <w:bookmarkEnd w:id="5"/>
      <w:r w:rsidDel="00000000" w:rsidR="00000000" w:rsidRPr="00000000">
        <w:rPr>
          <w:rFonts w:ascii="Arial" w:cs="Arial" w:eastAsia="Arial" w:hAnsi="Arial"/>
          <w:b w:val="1"/>
          <w:sz w:val="24"/>
          <w:szCs w:val="24"/>
          <w:rtl w:val="0"/>
        </w:rPr>
        <w:t xml:space="preserve">Redacted under FOIA section 43, Commercial Interests</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88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pos="4513"/>
        <w:tab w:val="right"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tabs>
        <w:tab w:val="left" w:pos="720"/>
        <w:tab w:val="left" w:pos="1440"/>
        <w:tab w:val="left" w:pos="2160"/>
        <w:tab w:val="left" w:pos="2880"/>
        <w:tab w:val="left" w:pos="3600"/>
        <w:tab w:val="left" w:pos="4320"/>
        <w:tab w:val="left" w:pos="4905"/>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r w:rsidDel="00000000" w:rsidR="00000000" w:rsidRPr="00000000">
      <w:rPr>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tabs>
        <w:tab w:val="left" w:pos="720"/>
        <w:tab w:val="left" w:pos="1440"/>
        <w:tab w:val="left" w:pos="2160"/>
        <w:tab w:val="left" w:pos="2880"/>
        <w:tab w:val="left" w:pos="3600"/>
        <w:tab w:val="left" w:pos="4320"/>
        <w:tab w:val="left" w:pos="4905"/>
      </w:tabs>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w:t>
      <w:tab/>
    </w:r>
    <w:r w:rsidDel="00000000" w:rsidR="00000000" w:rsidRPr="00000000">
      <w:rPr>
        <w:rFonts w:ascii="Arial" w:cs="Arial" w:eastAsia="Arial" w:hAnsi="Arial"/>
        <w:color w:val="bfbfbf"/>
        <w:sz w:val="20"/>
        <w:szCs w:val="20"/>
        <w:rtl w:val="0"/>
      </w:rPr>
      <w:tab/>
    </w:r>
    <w:r w:rsidDel="00000000" w:rsidR="00000000" w:rsidRPr="00000000">
      <w:rPr>
        <w:color w:val="bfbfbf"/>
        <w:rtl w:val="0"/>
      </w:rPr>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3 (Framework Prices)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3 (Framework Prices)</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character" w:styleId="Emphasis">
    <w:name w:val="Emphasis"/>
    <w:basedOn w:val="DefaultParagraphFont"/>
    <w:rPr>
      <w:i w:val="1"/>
      <w:iCs w:val="1"/>
    </w:rPr>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ind w:left="644"/>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 w:val="num" w:pos="2160"/>
      </w:tabs>
    </w:p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autoRedefine w:val="1"/>
    <w:rsid w:val="003C776E"/>
    <w:pPr>
      <w:tabs>
        <w:tab w:val="clear" w:pos="0"/>
        <w:tab w:val="left" w:pos="142"/>
      </w:tabs>
      <w:spacing w:before="120"/>
      <w:ind w:left="360"/>
      <w:outlineLvl w:val="9"/>
    </w:pPr>
    <w:rPr>
      <w:rFonts w:ascii="Arial" w:hAnsi="Arial"/>
      <w:caps w:val="0"/>
      <w:sz w:val="24"/>
    </w:rPr>
  </w:style>
  <w:style w:type="character" w:styleId="GPSL1SCHEDULEHeadingChar" w:customStyle="1">
    <w:name w:val="GPS L1 SCHEDULE Heading Char"/>
    <w:link w:val="GPSL1SCHEDULEHeading"/>
    <w:rsid w:val="003C776E"/>
    <w:rPr>
      <w:rFonts w:ascii="Arial" w:cs="Arial" w:eastAsia="STZhongsong" w:hAnsi="Arial"/>
      <w:b w:val="1"/>
      <w:sz w:val="24"/>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SchAnnexname" w:customStyle="1">
    <w:name w:val="GPS Sch Annex name"/>
    <w:basedOn w:val="Normal"/>
    <w:link w:val="GPSSchAnnexnameChar"/>
    <w:qFormat w:val="1"/>
    <w:pPr>
      <w:keepNext w:val="1"/>
      <w:adjustRightInd w:val="0"/>
      <w:spacing w:after="240" w:line="240" w:lineRule="auto"/>
      <w:jc w:val="center"/>
      <w:outlineLvl w:val="1"/>
    </w:pPr>
    <w:rPr>
      <w:rFonts w:cs="Times New Roman" w:eastAsia="STZhongsong"/>
      <w:b w:val="1"/>
      <w:caps w:val="1"/>
      <w:sz w:val="20"/>
      <w:lang w:eastAsia="zh-CN"/>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character" w:styleId="Heading6Char5" w:customStyle="1">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val="1"/>
    <w:locked w:val="1"/>
    <w:rPr>
      <w:rFonts w:ascii="Calibri" w:hAnsi="Calibri"/>
      <w:b w:val="1"/>
      <w:lang w:eastAsia="en-GB" w:val="x-none"/>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cs="Arial" w:eastAsia="Times New Roman"/>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2GuidanceNumbered" w:customStyle="1">
    <w:name w:val="GPS L2 Guidance Numbered"/>
    <w:basedOn w:val="Normal"/>
    <w:link w:val="GPSL2GuidanceNumberedChar"/>
    <w:qFormat w:val="1"/>
    <w:pPr>
      <w:tabs>
        <w:tab w:val="num" w:pos="720"/>
        <w:tab w:val="left" w:pos="1418"/>
      </w:tabs>
      <w:adjustRightInd w:val="0"/>
      <w:spacing w:after="120" w:before="120" w:line="240" w:lineRule="auto"/>
      <w:ind w:left="720" w:hanging="720"/>
      <w:jc w:val="both"/>
    </w:pPr>
    <w:rPr>
      <w:rFonts w:cs="Arial" w:eastAsia="Times New Roman"/>
      <w:b w:val="1"/>
      <w:i w:val="1"/>
      <w:lang w:eastAsia="zh-CN"/>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cs="Arial" w:eastAsia="Times New Roman"/>
      <w:color w:val="ffffff"/>
      <w:sz w:val="16"/>
      <w:szCs w:val="16"/>
    </w:rPr>
  </w:style>
  <w:style w:type="paragraph" w:styleId="GPSSchPart" w:customStyle="1">
    <w:name w:val="GPS Sch Part"/>
    <w:basedOn w:val="GPSSchAnnexname"/>
    <w:link w:val="GPSSchPartChar"/>
    <w:qFormat w:val="1"/>
    <w:pPr>
      <w:spacing w:before="240"/>
      <w:ind w:firstLine="426"/>
      <w:outlineLvl w:val="9"/>
    </w:pPr>
    <w:rPr>
      <w:rFonts w:ascii="Arial Bold" w:hAnsi="Arial Bold"/>
      <w:sz w:val="22"/>
    </w:rPr>
  </w:style>
  <w:style w:type="paragraph" w:styleId="GPSL2Numbered" w:customStyle="1">
    <w:name w:val="GPS L2 Numbered"/>
    <w:basedOn w:val="GPSL2NumberedBoldHeading"/>
    <w:link w:val="GPSL2NumberedChar"/>
    <w:qFormat w:val="1"/>
    <w:pPr>
      <w:tabs>
        <w:tab w:val="left" w:pos="709"/>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GuidanceNumberedChar" w:customStyle="1">
    <w:name w:val="GPS L2 Guidance Numbered Char"/>
    <w:link w:val="GPSL2GuidanceNumbered"/>
    <w:rPr>
      <w:rFonts w:cs="Arial" w:eastAsia="Times New Roman"/>
      <w:b w:val="1"/>
      <w:i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Hyperlink">
    <w:name w:val="Hyperlink"/>
    <w:basedOn w:val="DefaultParagraphFont"/>
    <w:uiPriority w:val="99"/>
    <w:unhideWhenUsed w:val="1"/>
    <w:rPr>
      <w:color w:val="0000ff" w:themeColor="hyperlink"/>
      <w:u w:val="single"/>
    </w:rPr>
  </w:style>
  <w:style w:type="paragraph" w:styleId="Normal1" w:customStyle="1">
    <w:name w:val="Normal1"/>
    <w:pPr>
      <w:widowControl w:val="0"/>
      <w:spacing w:after="80" w:line="240" w:lineRule="auto"/>
    </w:pPr>
    <w:rPr>
      <w:color w:val="000000"/>
    </w:rPr>
  </w:style>
  <w:style w:type="paragraph" w:styleId="Revision">
    <w:name w:val="Revision"/>
    <w:hidden w:val="1"/>
    <w:uiPriority w:val="99"/>
    <w:semiHidden w:val="1"/>
    <w:pPr>
      <w:spacing w:after="0" w:line="240" w:lineRule="auto"/>
    </w:pPr>
  </w:style>
  <w:style w:type="character" w:styleId="GPSL2NumberedBoldHeadingChar" w:customStyle="1">
    <w:name w:val="GPS L2 Numbered Bold Heading Char"/>
    <w:link w:val="GPSL2NumberedBoldHeading"/>
    <w:locked w:val="1"/>
    <w:rsid w:val="0057789E"/>
    <w:rPr>
      <w:rFonts w:ascii="Calibri" w:cs="Arial" w:eastAsia="Times New Roman" w:hAnsi="Calibri"/>
      <w:b w:val="1"/>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2O/CIK8ki41J4wKk9++Ew6R4lA==">AMUW2mUE7UCTodYOxHONmPoXo9YA25wVLvkRuK9tTiGuv9pvIhzAY8eGKV+ibE99yMeG+xTQyD3wai0aP/EpAaBGcWBmLCbZ34qsgWZP7pv4pQLlPed4JI/nAESTLx3NpvMxlssl6gh/nRxHoI0AyjX2cWOaweMN8VnYNDavLjOPg3beXP2wEV79c0xsB/AhXoCsxwc7FEl3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2021-05-25T18:49:00Z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