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CF5E" w14:textId="77777777" w:rsidR="007C03C3" w:rsidRDefault="00FC7559">
      <w:pPr>
        <w:widowControl/>
        <w:pBdr>
          <w:top w:val="nil"/>
          <w:left w:val="nil"/>
          <w:bottom w:val="nil"/>
          <w:right w:val="nil"/>
          <w:between w:val="nil"/>
        </w:pBdr>
        <w:spacing w:before="240" w:after="120"/>
        <w:rPr>
          <w:rFonts w:ascii="Arial" w:eastAsia="Arial" w:hAnsi="Arial" w:cs="Arial"/>
          <w:b/>
          <w:color w:val="000000"/>
          <w:sz w:val="36"/>
          <w:szCs w:val="36"/>
        </w:rPr>
      </w:pPr>
      <w:bookmarkStart w:id="0" w:name="_heading=h.gjdgxs" w:colFirst="0" w:colLast="0"/>
      <w:bookmarkEnd w:id="0"/>
      <w:r>
        <w:rPr>
          <w:rFonts w:ascii="Arial" w:eastAsia="Arial" w:hAnsi="Arial" w:cs="Arial"/>
          <w:b/>
          <w:color w:val="000000"/>
          <w:sz w:val="36"/>
          <w:szCs w:val="36"/>
        </w:rPr>
        <w:t>Framework Schedule 7 (Call-Off Award Procedure</w:t>
      </w:r>
      <w:bookmarkStart w:id="1" w:name="bookmark=id.gjdgxs" w:colFirst="0" w:colLast="0"/>
      <w:bookmarkEnd w:id="1"/>
      <w:r>
        <w:rPr>
          <w:rFonts w:ascii="Arial" w:eastAsia="Arial" w:hAnsi="Arial" w:cs="Arial"/>
          <w:b/>
          <w:color w:val="000000"/>
          <w:sz w:val="36"/>
          <w:szCs w:val="36"/>
        </w:rPr>
        <w:t xml:space="preserve">) </w:t>
      </w:r>
    </w:p>
    <w:p w14:paraId="30CECF5F" w14:textId="77777777" w:rsidR="007C03C3" w:rsidRDefault="00FC7559">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14:paraId="30CECF60" w14:textId="77777777" w:rsidR="007C03C3" w:rsidRDefault="00FC7559">
      <w:pPr>
        <w:keepNext/>
        <w:widowControl/>
        <w:numPr>
          <w:ilvl w:val="0"/>
          <w:numId w:val="4"/>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14:paraId="30CECF61"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14:paraId="30CECF62"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If the potential Buyer can determine that:</w:t>
      </w:r>
    </w:p>
    <w:p w14:paraId="30CECF63"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14:paraId="30CECF64"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w:t>
      </w:r>
      <w:r>
        <w:rPr>
          <w:rFonts w:ascii="Arial" w:eastAsia="Arial" w:hAnsi="Arial" w:cs="Arial"/>
          <w:color w:val="000000"/>
          <w:sz w:val="24"/>
          <w:szCs w:val="24"/>
        </w:rPr>
        <w:t>n in this Contract and do not require amendment or any supplementary terms and conditions;</w:t>
      </w:r>
    </w:p>
    <w:p w14:paraId="30CECF65" w14:textId="77777777" w:rsidR="007C03C3" w:rsidRDefault="00FC7559">
      <w:pPr>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14:paraId="30CECF66"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w:t>
      </w:r>
      <w:r>
        <w:rPr>
          <w:rFonts w:ascii="Arial" w:eastAsia="Arial" w:hAnsi="Arial" w:cs="Arial"/>
          <w:color w:val="000000"/>
          <w:sz w:val="24"/>
          <w:szCs w:val="24"/>
        </w:rPr>
        <w:t xml:space="preserve"> not laid down in this Contract and the potential Buyer:</w:t>
      </w:r>
    </w:p>
    <w:p w14:paraId="30CECF67"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14:paraId="30CECF68"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w:t>
      </w:r>
      <w:r>
        <w:rPr>
          <w:rFonts w:ascii="Arial" w:eastAsia="Arial" w:hAnsi="Arial" w:cs="Arial"/>
          <w:color w:val="000000"/>
          <w:sz w:val="24"/>
          <w:szCs w:val="24"/>
        </w:rPr>
        <w:t xml:space="preserve"> permitted by and in accordance with the Regulations;</w:t>
      </w:r>
    </w:p>
    <w:p w14:paraId="30CECF69" w14:textId="77777777" w:rsidR="007C03C3" w:rsidRDefault="00FC7559">
      <w:pPr>
        <w:widowControl/>
        <w:pBdr>
          <w:top w:val="nil"/>
          <w:left w:val="nil"/>
          <w:bottom w:val="nil"/>
          <w:right w:val="nil"/>
          <w:between w:val="nil"/>
        </w:pBdr>
        <w:tabs>
          <w:tab w:val="left" w:pos="4536"/>
        </w:tabs>
        <w:spacing w:after="220"/>
        <w:ind w:left="900"/>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p>
    <w:p w14:paraId="30CECF6A" w14:textId="77777777" w:rsidR="007C03C3" w:rsidRDefault="00FC7559">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14:paraId="30CECF6B"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1.2 above the Buyer awarding a Call-Off Contract under this Contract without holding a further competition shall:</w:t>
      </w:r>
    </w:p>
    <w:p w14:paraId="30CECF6C"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14:paraId="30CECF6D"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direct award criteria to the Suppliers’ catalogues and description of the Deliverables as set out in Framework Schedule 1 (Specification) and Framework Schedule 2 (Framework Tender) for all Suppliers capable of meeting the Statement of Requiremen</w:t>
      </w:r>
      <w:r>
        <w:rPr>
          <w:rFonts w:ascii="Arial" w:eastAsia="Arial" w:hAnsi="Arial" w:cs="Arial"/>
          <w:color w:val="000000"/>
          <w:sz w:val="24"/>
          <w:szCs w:val="24"/>
        </w:rPr>
        <w:t>ts in order to establish which Supplier provides the most economically advantageous solution; and</w:t>
      </w:r>
    </w:p>
    <w:p w14:paraId="30CECF6E"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on the basis set out above, award the Call-Off Contract with the successful Supplier in accordance with Paragraph 6 </w:t>
      </w:r>
      <w:bookmarkStart w:id="4" w:name="_GoBack"/>
      <w:bookmarkEnd w:id="4"/>
      <w:r>
        <w:rPr>
          <w:rFonts w:ascii="Arial" w:eastAsia="Arial" w:hAnsi="Arial" w:cs="Arial"/>
          <w:color w:val="000000"/>
          <w:sz w:val="24"/>
          <w:szCs w:val="24"/>
        </w:rPr>
        <w:t>below.</w:t>
      </w:r>
    </w:p>
    <w:p w14:paraId="30CECF6F" w14:textId="77777777" w:rsidR="007C03C3" w:rsidRDefault="007C03C3">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14:paraId="30CECF70" w14:textId="77777777" w:rsidR="007C03C3" w:rsidRDefault="00FC7559">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14:paraId="30CECF71" w14:textId="77777777" w:rsidR="007C03C3" w:rsidRDefault="00FC7559">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14:paraId="30CECF72"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14:paraId="30CECF73" w14:textId="77777777" w:rsidR="007C03C3" w:rsidRDefault="00FC7559">
      <w:pPr>
        <w:widowControl/>
        <w:numPr>
          <w:ilvl w:val="1"/>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heading=h.3znysh7" w:colFirst="0" w:colLast="0"/>
      <w:bookmarkEnd w:id="5"/>
      <w:r>
        <w:rPr>
          <w:rFonts w:ascii="Arial" w:eastAsia="Arial" w:hAnsi="Arial" w:cs="Arial"/>
          <w:color w:val="000000"/>
          <w:sz w:val="24"/>
          <w:szCs w:val="24"/>
        </w:rPr>
        <w:t xml:space="preserve">develop a Statement of Requirements setting out its requirements for the Deliverables and identify the Suppliers capable of </w:t>
      </w:r>
      <w:r>
        <w:rPr>
          <w:rFonts w:ascii="Arial" w:eastAsia="Arial" w:hAnsi="Arial" w:cs="Arial"/>
          <w:sz w:val="24"/>
          <w:szCs w:val="24"/>
        </w:rPr>
        <w:t>supplying them</w:t>
      </w:r>
      <w:r>
        <w:rPr>
          <w:rFonts w:ascii="Arial" w:eastAsia="Arial" w:hAnsi="Arial" w:cs="Arial"/>
          <w:color w:val="000000"/>
          <w:sz w:val="24"/>
          <w:szCs w:val="24"/>
        </w:rPr>
        <w:t>;</w:t>
      </w:r>
    </w:p>
    <w:p w14:paraId="30CECF74"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6" w:name="_heading=h.2et92p0" w:colFirst="0" w:colLast="0"/>
      <w:bookmarkEnd w:id="6"/>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14:paraId="30CECF75" w14:textId="77777777" w:rsidR="007C03C3" w:rsidRDefault="00FC7559">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7" w:name="_heading=h.tyjcwt" w:colFirst="0" w:colLast="0"/>
      <w:bookmarkEnd w:id="7"/>
      <w:r>
        <w:rPr>
          <w:rFonts w:ascii="Arial" w:eastAsia="Arial" w:hAnsi="Arial" w:cs="Arial"/>
          <w:color w:val="000000"/>
          <w:sz w:val="24"/>
          <w:szCs w:val="24"/>
        </w:rPr>
        <w:t>invite tenders by conducting a Further Competition Procedure for its Deliverables in accordance with the Regulations and in particular:</w:t>
      </w:r>
    </w:p>
    <w:p w14:paraId="30CECF76"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w:t>
      </w:r>
      <w:r>
        <w:rPr>
          <w:rFonts w:ascii="Arial" w:eastAsia="Arial" w:hAnsi="Arial" w:cs="Arial"/>
          <w:color w:val="000000"/>
          <w:sz w:val="24"/>
          <w:szCs w:val="24"/>
        </w:rPr>
        <w:t>dentified in accordance with Paragraph 3.1.1 and shall conduct the Further Competition Procedure in accordance with the procedures set out in Paragraph 3; or</w:t>
      </w:r>
    </w:p>
    <w:p w14:paraId="30CECF77" w14:textId="77777777" w:rsidR="007C03C3" w:rsidRDefault="00FC7559">
      <w:pPr>
        <w:keepNext/>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14:paraId="30CECF78" w14:textId="77777777" w:rsidR="007C03C3" w:rsidRDefault="00FC7559">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14:paraId="30CECF79" w14:textId="77777777" w:rsidR="007C03C3" w:rsidRDefault="00FC7559">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 xml:space="preserve">set a time limit </w:t>
      </w:r>
      <w:r>
        <w:rPr>
          <w:rFonts w:ascii="Arial" w:eastAsia="Arial" w:hAnsi="Arial" w:cs="Arial"/>
          <w:color w:val="000000"/>
          <w:sz w:val="24"/>
          <w:szCs w:val="24"/>
        </w:rPr>
        <w:t xml:space="preserve">for the receipt by it of the tenders which </w:t>
      </w:r>
      <w:proofErr w:type="gramStart"/>
      <w:r>
        <w:rPr>
          <w:rFonts w:ascii="Arial" w:eastAsia="Arial" w:hAnsi="Arial" w:cs="Arial"/>
          <w:color w:val="000000"/>
          <w:sz w:val="24"/>
          <w:szCs w:val="24"/>
        </w:rPr>
        <w:t>takes into account</w:t>
      </w:r>
      <w:proofErr w:type="gramEnd"/>
      <w:r>
        <w:rPr>
          <w:rFonts w:ascii="Arial" w:eastAsia="Arial" w:hAnsi="Arial" w:cs="Arial"/>
          <w:color w:val="000000"/>
          <w:sz w:val="24"/>
          <w:szCs w:val="24"/>
        </w:rPr>
        <w:t xml:space="preserve"> factors such as the complexity of the subject matter of the proposed Call-Off Contract and the time needed to submit tenders; and</w:t>
      </w:r>
    </w:p>
    <w:p w14:paraId="30CECF7A" w14:textId="77777777" w:rsidR="007C03C3" w:rsidRDefault="00FC7559">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w:t>
      </w:r>
      <w:r>
        <w:rPr>
          <w:rFonts w:ascii="Arial" w:eastAsia="Arial" w:hAnsi="Arial" w:cs="Arial"/>
          <w:color w:val="000000"/>
          <w:sz w:val="24"/>
          <w:szCs w:val="24"/>
        </w:rPr>
        <w:t>he return of tenders has expired.</w:t>
      </w:r>
    </w:p>
    <w:p w14:paraId="30CECF7B"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14:paraId="30CECF7C" w14:textId="77777777" w:rsidR="007C03C3" w:rsidRDefault="00FC7559">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its Call-Off Contract to the successful Supplier in accordance with Paragraph 6. The Call-Off Contract shall:</w:t>
      </w:r>
    </w:p>
    <w:p w14:paraId="30CECF7D"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14:paraId="30CECF7E"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14:paraId="30CECF7F"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Charges payable for the</w:t>
      </w:r>
      <w:r>
        <w:rPr>
          <w:rFonts w:ascii="Arial" w:eastAsia="Arial" w:hAnsi="Arial" w:cs="Arial"/>
          <w:color w:val="000000"/>
          <w:sz w:val="24"/>
          <w:szCs w:val="24"/>
        </w:rPr>
        <w:t xml:space="preserve"> Deliverables in accordance with the tender submitted by the successful Supplier; and</w:t>
      </w:r>
    </w:p>
    <w:p w14:paraId="30CECF80"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lastRenderedPageBreak/>
        <w:t>incorporate the terms [of the Order Form and Contract] (as may be amended or refined by the Buyer in accordance with Paragraph 3.1.2. above) applicable to the Deliverable</w:t>
      </w:r>
      <w:r>
        <w:rPr>
          <w:rFonts w:ascii="Arial" w:eastAsia="Arial" w:hAnsi="Arial" w:cs="Arial"/>
          <w:color w:val="000000"/>
          <w:sz w:val="24"/>
          <w:szCs w:val="24"/>
        </w:rPr>
        <w:t>s,</w:t>
      </w:r>
    </w:p>
    <w:p w14:paraId="30CECF81"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provide unsuccessful Suppliers with written feedback in relation to the reasons why their tenders were unsuccessful.</w:t>
      </w:r>
    </w:p>
    <w:p w14:paraId="30CECF82" w14:textId="77777777" w:rsidR="007C03C3" w:rsidRDefault="00FC7559">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14:paraId="30CECF83"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CCS and the Buyer with either:</w:t>
      </w:r>
    </w:p>
    <w:p w14:paraId="30CECF84" w14:textId="77777777" w:rsidR="007C03C3" w:rsidRDefault="007C03C3">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p>
    <w:p w14:paraId="30CECF85"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14:paraId="30CECF86" w14:textId="77777777" w:rsidR="007C03C3" w:rsidRDefault="00FC7559">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w:t>
      </w:r>
      <w:r>
        <w:rPr>
          <w:rFonts w:ascii="Arial" w:eastAsia="Arial" w:hAnsi="Arial" w:cs="Arial"/>
          <w:color w:val="000000"/>
          <w:sz w:val="24"/>
          <w:szCs w:val="24"/>
        </w:rPr>
        <w:t xml:space="preserve"> as a minimum:</w:t>
      </w:r>
    </w:p>
    <w:p w14:paraId="30CECF87"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14:paraId="30CECF88"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w:t>
      </w:r>
      <w:r>
        <w:rPr>
          <w:rFonts w:ascii="Arial" w:eastAsia="Arial" w:hAnsi="Arial" w:cs="Arial"/>
          <w:color w:val="000000"/>
          <w:sz w:val="24"/>
          <w:szCs w:val="24"/>
        </w:rPr>
        <w:t>tement of Requirements;</w:t>
      </w:r>
    </w:p>
    <w:p w14:paraId="30CECF89"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14:paraId="30CECF8A"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14:paraId="30CECF8B"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w:t>
      </w:r>
      <w:r>
        <w:rPr>
          <w:rFonts w:ascii="Arial" w:eastAsia="Arial" w:hAnsi="Arial" w:cs="Arial"/>
          <w:color w:val="000000"/>
          <w:sz w:val="24"/>
          <w:szCs w:val="24"/>
        </w:rPr>
        <w:t>erables, as referenced in Framework Schedule 3 (Framework Prices) (if applicable).</w:t>
      </w:r>
    </w:p>
    <w:p w14:paraId="30CECF8C"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ensure that any prices submitted in relation to a Further Competition Procedure held pursuant to this Paragraph 3 shall be based on the charging structure</w:t>
      </w:r>
      <w:r>
        <w:rPr>
          <w:rFonts w:ascii="Arial" w:eastAsia="Arial" w:hAnsi="Arial" w:cs="Arial"/>
          <w:color w:val="000000"/>
          <w:sz w:val="24"/>
          <w:szCs w:val="24"/>
        </w:rPr>
        <w:t xml:space="preserve"> and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any discount to which the Buyer may be entitled as set out in Framework Schedule 3 (Framework Prices).</w:t>
      </w:r>
    </w:p>
    <w:p w14:paraId="30CECF8D" w14:textId="77777777" w:rsidR="007C03C3" w:rsidRDefault="00FC7559">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14:paraId="30CECF8E"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w:t>
      </w:r>
      <w:r>
        <w:rPr>
          <w:rFonts w:ascii="Arial" w:eastAsia="Arial" w:hAnsi="Arial" w:cs="Arial"/>
          <w:color w:val="000000"/>
          <w:sz w:val="24"/>
          <w:szCs w:val="24"/>
        </w:rPr>
        <w:t>sued by the Buyer in accordance with the Call-Off Procedure); and</w:t>
      </w:r>
    </w:p>
    <w:p w14:paraId="30CECF8F" w14:textId="77777777" w:rsidR="007C03C3" w:rsidRDefault="00FC7559">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 xml:space="preserve">all tenders submitted by the Supplier are made and will be made in good faith and that the Supplier has not fixed or adjusted and will </w:t>
      </w:r>
      <w:proofErr w:type="gramStart"/>
      <w:r>
        <w:rPr>
          <w:rFonts w:ascii="Arial" w:eastAsia="Arial" w:hAnsi="Arial" w:cs="Arial"/>
          <w:color w:val="000000"/>
          <w:sz w:val="24"/>
          <w:szCs w:val="24"/>
        </w:rPr>
        <w:t>not  fix</w:t>
      </w:r>
      <w:proofErr w:type="gramEnd"/>
      <w:r>
        <w:rPr>
          <w:rFonts w:ascii="Arial" w:eastAsia="Arial" w:hAnsi="Arial" w:cs="Arial"/>
          <w:color w:val="000000"/>
          <w:sz w:val="24"/>
          <w:szCs w:val="24"/>
        </w:rPr>
        <w:t xml:space="preserve"> or adjust the price of the tender by </w:t>
      </w:r>
      <w:r>
        <w:rPr>
          <w:rFonts w:ascii="Arial" w:eastAsia="Arial" w:hAnsi="Arial" w:cs="Arial"/>
          <w:color w:val="000000"/>
          <w:sz w:val="24"/>
          <w:szCs w:val="24"/>
        </w:rPr>
        <w:lastRenderedPageBreak/>
        <w:t>or in acc</w:t>
      </w:r>
      <w:r>
        <w:rPr>
          <w:rFonts w:ascii="Arial" w:eastAsia="Arial" w:hAnsi="Arial" w:cs="Arial"/>
          <w:color w:val="000000"/>
          <w:sz w:val="24"/>
          <w:szCs w:val="24"/>
        </w:rPr>
        <w:t>ordance with any agreement or arrangement with any other person. The Supplier certifies that it has not and undertakes that it will not:</w:t>
      </w:r>
    </w:p>
    <w:p w14:paraId="30CECF90" w14:textId="77777777" w:rsidR="007C03C3" w:rsidRDefault="00FC7559">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 xml:space="preserve">communicate to any person other than the person inviting these tenders the amount or approximate amount of the tender, </w:t>
      </w:r>
      <w:r>
        <w:rPr>
          <w:rFonts w:ascii="Arial" w:eastAsia="Arial" w:hAnsi="Arial" w:cs="Arial"/>
          <w:color w:val="000000"/>
          <w:sz w:val="24"/>
          <w:szCs w:val="24"/>
        </w:rPr>
        <w:t>except where the disclosure, in confidence, of the approximate amount of the tender was necessary to obtain quotations required for the preparation of the tender; and</w:t>
      </w:r>
    </w:p>
    <w:p w14:paraId="30CECF91" w14:textId="77777777" w:rsidR="007C03C3" w:rsidRDefault="00FC7559">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14:paraId="30CECF92" w14:textId="77777777" w:rsidR="007C03C3" w:rsidRDefault="00FC7559">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14:paraId="30CECF93"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w:t>
      </w:r>
      <w:r>
        <w:rPr>
          <w:rFonts w:ascii="Arial" w:eastAsia="Arial" w:hAnsi="Arial" w:cs="Arial"/>
          <w:color w:val="000000"/>
          <w:sz w:val="24"/>
          <w:szCs w:val="24"/>
        </w:rPr>
        <w:t>hat nothing in this Contract shall oblige the Buyer to award any Call-Off Contract.</w:t>
      </w:r>
    </w:p>
    <w:p w14:paraId="30CECF94" w14:textId="77777777" w:rsidR="007C03C3" w:rsidRDefault="00FC7559">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Who is responsible for the </w:t>
      </w:r>
      <w:proofErr w:type="gramStart"/>
      <w:r>
        <w:rPr>
          <w:rFonts w:ascii="Arial Bold" w:eastAsia="Arial Bold" w:hAnsi="Arial Bold" w:cs="Arial Bold"/>
          <w:b/>
          <w:color w:val="000000"/>
          <w:sz w:val="24"/>
          <w:szCs w:val="24"/>
        </w:rPr>
        <w:t>award</w:t>
      </w:r>
      <w:proofErr w:type="gramEnd"/>
    </w:p>
    <w:p w14:paraId="30CECF95"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w:t>
      </w:r>
      <w:r>
        <w:rPr>
          <w:rFonts w:ascii="Arial" w:eastAsia="Arial" w:hAnsi="Arial" w:cs="Arial"/>
          <w:color w:val="000000"/>
          <w:sz w:val="24"/>
          <w:szCs w:val="24"/>
        </w:rPr>
        <w:t>t and that CCS is not responsible or accountable for and shall have no liability whatsoever, except where it is the Buyer, in relation to:</w:t>
      </w:r>
    </w:p>
    <w:p w14:paraId="30CECF96"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14:paraId="30CECF97"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w:t>
      </w:r>
      <w:r>
        <w:rPr>
          <w:rFonts w:ascii="Arial" w:eastAsia="Arial" w:hAnsi="Arial" w:cs="Arial"/>
          <w:color w:val="000000"/>
          <w:sz w:val="24"/>
          <w:szCs w:val="24"/>
        </w:rPr>
        <w:t>tween the Supplier and Buyer entered into pursuant to this Contract.</w:t>
      </w:r>
    </w:p>
    <w:p w14:paraId="30CECF98" w14:textId="77777777" w:rsidR="007C03C3" w:rsidRDefault="00FC7559">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14:paraId="30CECF99"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 xml:space="preserve">Subject to Paragraphs 1 to 5 above and 7, a Buyer may award a Call-Off Contract with the Supplier by sending (including electronically) a signed </w:t>
      </w:r>
      <w:r>
        <w:rPr>
          <w:rFonts w:ascii="Arial" w:eastAsia="Arial" w:hAnsi="Arial" w:cs="Arial"/>
          <w:color w:val="000000"/>
          <w:sz w:val="24"/>
          <w:szCs w:val="24"/>
        </w:rPr>
        <w:t>order form substantially in the form (as may be amended or refined by the Buyer in accordance with Paragraph 3.1.2 above) of the Order Form Template set out in Framework Schedule 6 (Order Form Template and Call-Off Schedules).</w:t>
      </w:r>
    </w:p>
    <w:p w14:paraId="30CECF9A"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w:t>
      </w:r>
      <w:r>
        <w:rPr>
          <w:rFonts w:ascii="Arial" w:eastAsia="Arial" w:hAnsi="Arial" w:cs="Arial"/>
          <w:color w:val="000000"/>
          <w:sz w:val="24"/>
          <w:szCs w:val="24"/>
        </w:rPr>
        <w:t>cument or communication (including any document or communication in the apparent form of a Call-Off Contract) which is not as described in this Paragraph 6 shall not constitute a Call-Off Contract under this Contract.</w:t>
      </w:r>
    </w:p>
    <w:p w14:paraId="30CECF9B"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9" w:name="_heading=h.1t3h5sf" w:colFirst="0" w:colLast="0"/>
      <w:bookmarkEnd w:id="9"/>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14:paraId="30CECF9C" w14:textId="77777777" w:rsidR="007C03C3" w:rsidRDefault="00FC7559">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On receipt of the coun</w:t>
      </w:r>
      <w:r>
        <w:rPr>
          <w:rFonts w:ascii="Arial" w:eastAsia="Arial" w:hAnsi="Arial" w:cs="Arial"/>
          <w:color w:val="000000"/>
          <w:sz w:val="24"/>
          <w:szCs w:val="24"/>
        </w:rPr>
        <w:t>tersigned Order Form from the Supplier, the Buyer shall send (including by electronic means) a written notice of receipt to the Supplier within two (2) Working Days and the Call Off Contract shall be formed with effect from the Call Off Start Date stated i</w:t>
      </w:r>
      <w:r>
        <w:rPr>
          <w:rFonts w:ascii="Arial" w:eastAsia="Arial" w:hAnsi="Arial" w:cs="Arial"/>
          <w:color w:val="000000"/>
          <w:sz w:val="24"/>
          <w:szCs w:val="24"/>
        </w:rPr>
        <w:t>n the Order Form.</w:t>
      </w:r>
    </w:p>
    <w:p w14:paraId="30CECF9D" w14:textId="77777777" w:rsidR="007C03C3" w:rsidRDefault="007C03C3">
      <w:pPr>
        <w:keepNext/>
        <w:widowControl/>
        <w:pBdr>
          <w:top w:val="nil"/>
          <w:left w:val="nil"/>
          <w:bottom w:val="nil"/>
          <w:right w:val="nil"/>
          <w:between w:val="nil"/>
        </w:pBdr>
        <w:tabs>
          <w:tab w:val="left" w:pos="142"/>
        </w:tabs>
        <w:spacing w:before="120" w:after="240"/>
        <w:ind w:left="360"/>
        <w:rPr>
          <w:rFonts w:ascii="Arial" w:eastAsia="Arial" w:hAnsi="Arial" w:cs="Arial"/>
          <w:strike/>
          <w:color w:val="000000"/>
          <w:sz w:val="24"/>
          <w:szCs w:val="24"/>
        </w:rPr>
      </w:pPr>
    </w:p>
    <w:p w14:paraId="30CECF9E" w14:textId="77777777" w:rsidR="007C03C3" w:rsidRDefault="00FC7559">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14:paraId="30CECF9F"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14:paraId="30CECFA0"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award an Exempt Call-off Contract for Deliverables in accordance with the procedure in this Schedule as modified by this Paragraph 8 and in accordance with</w:t>
      </w:r>
      <w:r>
        <w:rPr>
          <w:rFonts w:ascii="Arial" w:eastAsia="Arial" w:hAnsi="Arial" w:cs="Arial"/>
          <w:color w:val="000000"/>
          <w:sz w:val="24"/>
          <w:szCs w:val="24"/>
        </w:rPr>
        <w:t xml:space="preserve"> any legal requirements applicable to that potential Exempt Buyer.</w:t>
      </w:r>
    </w:p>
    <w:p w14:paraId="30CECFA1"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potential Exempt Buyer may award an Exempt Call-off Contract under this Framework Contract without holding a further competition in accordance with Paragraph 2 above as modified by Paragr</w:t>
      </w:r>
      <w:r>
        <w:rPr>
          <w:rFonts w:ascii="Arial" w:eastAsia="Arial" w:hAnsi="Arial" w:cs="Arial"/>
          <w:color w:val="000000"/>
          <w:sz w:val="24"/>
          <w:szCs w:val="24"/>
        </w:rPr>
        <w:t>aph 8.4 below or through a Further Competition Procedure in accordance with Paragraph 3 as modified by Paragraph 8.5 below.</w:t>
      </w:r>
    </w:p>
    <w:p w14:paraId="30CECFA2"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14:paraId="30CECFA3"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w:t>
      </w:r>
      <w:r>
        <w:rPr>
          <w:rFonts w:ascii="Arial" w:eastAsia="Arial" w:hAnsi="Arial" w:cs="Arial"/>
          <w:color w:val="000000"/>
          <w:sz w:val="24"/>
          <w:szCs w:val="24"/>
        </w:rPr>
        <w:t>e met by the Supplier’s catalogues and description of the Deliverables as set out in Framework Schedule 1 (Specification) and Framework Schedule 2 (Framework Tender); and</w:t>
      </w:r>
    </w:p>
    <w:p w14:paraId="30CECFA4" w14:textId="77777777" w:rsidR="007C03C3" w:rsidRDefault="00FC7559">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14:paraId="30CECFA5" w14:textId="77777777" w:rsidR="007C03C3" w:rsidRDefault="00FC7559">
      <w:pPr>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r>
        <w:rPr>
          <w:rFonts w:ascii="Arial" w:eastAsia="Arial" w:hAnsi="Arial" w:cs="Arial"/>
          <w:color w:val="000000"/>
          <w:sz w:val="24"/>
          <w:szCs w:val="24"/>
        </w:rPr>
        <w:t xml:space="preserve">then the Exempt </w:t>
      </w:r>
      <w:r>
        <w:rPr>
          <w:rFonts w:ascii="Arial" w:eastAsia="Arial" w:hAnsi="Arial" w:cs="Arial"/>
          <w:color w:val="000000"/>
          <w:sz w:val="24"/>
          <w:szCs w:val="24"/>
        </w:rPr>
        <w:t>Buyer may award an Exempt Call-off Contract to that Supplier in accordance with Paragraph 6 above.</w:t>
      </w:r>
    </w:p>
    <w:p w14:paraId="30CECFA6"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Exempt Buyer may at its</w:t>
      </w:r>
      <w:r>
        <w:rPr>
          <w:rFonts w:ascii="Arial" w:eastAsia="Arial" w:hAnsi="Arial" w:cs="Arial"/>
          <w:color w:val="000000"/>
          <w:sz w:val="24"/>
          <w:szCs w:val="24"/>
        </w:rPr>
        <w:t xml:space="preserve"> discretion use the procedure set out in Paragraph 3 above as modified by this Paragraph 8.5. In that case, references to “the Regulations” in Paragraph 3 above shall be read as references to “any legal requirements applicable to that potential Exempt Buye</w:t>
      </w:r>
      <w:r>
        <w:rPr>
          <w:rFonts w:ascii="Arial" w:eastAsia="Arial" w:hAnsi="Arial" w:cs="Arial"/>
          <w:color w:val="000000"/>
          <w:sz w:val="24"/>
          <w:szCs w:val="24"/>
        </w:rPr>
        <w:t>r”, and the Exempt Buyer shall be permitted to modify the Further Competition Procedure in accordance with any legal requirements applicable to the Exempt Buyer.</w:t>
      </w:r>
    </w:p>
    <w:p w14:paraId="30CECFA7" w14:textId="77777777" w:rsidR="007C03C3" w:rsidRDefault="00FC7559">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0" w:name="_heading=h.3rdcrjn" w:colFirst="0" w:colLast="0"/>
      <w:bookmarkEnd w:id="10"/>
      <w:r>
        <w:rPr>
          <w:rFonts w:ascii="Arial" w:eastAsia="Arial" w:hAnsi="Arial" w:cs="Arial"/>
          <w:color w:val="000000"/>
          <w:sz w:val="24"/>
          <w:szCs w:val="24"/>
        </w:rPr>
        <w:t>Paragraphs 8.1 to 8.5 above are without prejudice to an Exempt Buyer’s ability to make such fu</w:t>
      </w:r>
      <w:r>
        <w:rPr>
          <w:rFonts w:ascii="Arial" w:eastAsia="Arial" w:hAnsi="Arial" w:cs="Arial"/>
          <w:color w:val="000000"/>
          <w:sz w:val="24"/>
          <w:szCs w:val="24"/>
        </w:rPr>
        <w:t>rther modifications to the Call-Off Procedure as it considers necessary and in accordance with any legal requirements applicable to that potential Exempt Buyer.</w:t>
      </w:r>
    </w:p>
    <w:p w14:paraId="30CECFA8" w14:textId="77777777" w:rsidR="007C03C3" w:rsidRDefault="00FC7559">
      <w:pPr>
        <w:rPr>
          <w:rFonts w:ascii="Arial" w:eastAsia="Arial" w:hAnsi="Arial" w:cs="Arial"/>
          <w:sz w:val="24"/>
          <w:szCs w:val="24"/>
        </w:rPr>
      </w:pPr>
      <w:r>
        <w:br w:type="page"/>
      </w:r>
    </w:p>
    <w:p w14:paraId="30CECFA9" w14:textId="77777777" w:rsidR="007C03C3" w:rsidRDefault="007C03C3">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14:paraId="30CECFAA" w14:textId="77777777" w:rsidR="007C03C3" w:rsidRDefault="00FC7559">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14:paraId="30CECFAB" w14:textId="77777777" w:rsidR="007C03C3" w:rsidRDefault="00FC7559">
      <w:pPr>
        <w:widowControl/>
        <w:numPr>
          <w:ilvl w:val="0"/>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14:paraId="30CECFAC" w14:textId="77777777" w:rsidR="007C03C3" w:rsidRDefault="00FC7559">
      <w:pPr>
        <w:widowControl/>
        <w:numPr>
          <w:ilvl w:val="0"/>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Call-Off Contract may be awarded on the basis </w:t>
      </w:r>
      <w:r>
        <w:rPr>
          <w:rFonts w:ascii="Arial" w:eastAsia="Arial" w:hAnsi="Arial" w:cs="Arial"/>
          <w:sz w:val="24"/>
          <w:szCs w:val="24"/>
        </w:rPr>
        <w:t>of the most</w:t>
      </w:r>
      <w:r>
        <w:rPr>
          <w:rFonts w:ascii="Arial" w:eastAsia="Arial" w:hAnsi="Arial" w:cs="Arial"/>
          <w:color w:val="000000"/>
          <w:sz w:val="24"/>
          <w:szCs w:val="24"/>
        </w:rPr>
        <w:t xml:space="preserve"> economically advantageous tender ("MEAT").</w:t>
      </w:r>
    </w:p>
    <w:p w14:paraId="30CECFAD" w14:textId="77777777" w:rsidR="007C03C3" w:rsidRDefault="00FC7559">
      <w:pPr>
        <w:rPr>
          <w:rFonts w:ascii="Arial" w:eastAsia="Arial" w:hAnsi="Arial" w:cs="Arial"/>
          <w:b/>
          <w:smallCaps/>
          <w:sz w:val="24"/>
          <w:szCs w:val="24"/>
        </w:rPr>
      </w:pPr>
      <w:r>
        <w:br w:type="page"/>
      </w:r>
    </w:p>
    <w:p w14:paraId="30CECFAE" w14:textId="77777777" w:rsidR="007C03C3" w:rsidRDefault="00FC7559">
      <w:pPr>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w:t>
      </w:r>
      <w:r>
        <w:rPr>
          <w:rFonts w:ascii="Arial Bold" w:eastAsia="Arial Bold" w:hAnsi="Arial Bold" w:cs="Arial Bold"/>
          <w:b/>
          <w:color w:val="000000"/>
          <w:sz w:val="36"/>
          <w:szCs w:val="36"/>
        </w:rPr>
        <w:t>: Direct award criteria</w:t>
      </w:r>
    </w:p>
    <w:p w14:paraId="30CECFAF"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p>
    <w:tbl>
      <w:tblPr>
        <w:tblStyle w:val="a3"/>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7C03C3" w14:paraId="30CECFB3" w14:textId="77777777">
        <w:tc>
          <w:tcPr>
            <w:tcW w:w="3544" w:type="dxa"/>
            <w:shd w:val="clear" w:color="auto" w:fill="E7E6E6"/>
          </w:tcPr>
          <w:p w14:paraId="30CECFB0" w14:textId="77777777" w:rsidR="007C03C3" w:rsidRDefault="00FC7559">
            <w:pPr>
              <w:keepNext/>
              <w:widowControl/>
              <w:pBdr>
                <w:top w:val="nil"/>
                <w:left w:val="nil"/>
                <w:bottom w:val="nil"/>
                <w:right w:val="nil"/>
                <w:between w:val="nil"/>
              </w:pBdr>
              <w:spacing w:before="120" w:after="120"/>
              <w:ind w:left="142"/>
              <w:jc w:val="both"/>
              <w:rPr>
                <w:rFonts w:ascii="Arial" w:eastAsia="Arial" w:hAnsi="Arial" w:cs="Arial"/>
                <w:b/>
                <w:color w:val="000000"/>
                <w:sz w:val="24"/>
                <w:szCs w:val="24"/>
              </w:rPr>
            </w:pPr>
            <w:r>
              <w:rPr>
                <w:rFonts w:ascii="Arial" w:eastAsia="Arial" w:hAnsi="Arial" w:cs="Arial"/>
                <w:b/>
                <w:color w:val="000000"/>
                <w:sz w:val="24"/>
                <w:szCs w:val="24"/>
              </w:rPr>
              <w:t>Criteria – Ranked in order of importance</w:t>
            </w:r>
          </w:p>
        </w:tc>
        <w:tc>
          <w:tcPr>
            <w:tcW w:w="5670" w:type="dxa"/>
            <w:shd w:val="clear" w:color="auto" w:fill="E7E6E6"/>
          </w:tcPr>
          <w:p w14:paraId="30CECFB1" w14:textId="77777777" w:rsidR="007C03C3" w:rsidRDefault="00FC7559">
            <w:pPr>
              <w:widowControl/>
              <w:spacing w:before="120" w:after="200" w:line="276" w:lineRule="auto"/>
              <w:rPr>
                <w:rFonts w:ascii="Arial" w:eastAsia="Arial" w:hAnsi="Arial" w:cs="Arial"/>
                <w:b/>
                <w:sz w:val="24"/>
                <w:szCs w:val="24"/>
              </w:rPr>
            </w:pPr>
            <w:r>
              <w:rPr>
                <w:rFonts w:ascii="Arial" w:eastAsia="Arial" w:hAnsi="Arial" w:cs="Arial"/>
                <w:b/>
                <w:sz w:val="24"/>
                <w:szCs w:val="24"/>
              </w:rPr>
              <w:t xml:space="preserve">Relative weighting percentage </w:t>
            </w:r>
          </w:p>
          <w:p w14:paraId="30CECFB2" w14:textId="77777777" w:rsidR="007C03C3" w:rsidRDefault="00FC7559">
            <w:pPr>
              <w:widowControl/>
              <w:spacing w:after="200" w:line="276" w:lineRule="auto"/>
              <w:rPr>
                <w:rFonts w:ascii="Arial" w:eastAsia="Arial" w:hAnsi="Arial" w:cs="Arial"/>
                <w:b/>
                <w:sz w:val="24"/>
                <w:szCs w:val="24"/>
              </w:rPr>
            </w:pPr>
            <w:r>
              <w:rPr>
                <w:rFonts w:ascii="Arial" w:eastAsia="Arial" w:hAnsi="Arial" w:cs="Arial"/>
                <w:sz w:val="24"/>
                <w:szCs w:val="24"/>
              </w:rPr>
              <w:t>[</w:t>
            </w:r>
            <w:r>
              <w:rPr>
                <w:rFonts w:ascii="Arial" w:eastAsia="Arial" w:hAnsi="Arial" w:cs="Arial"/>
                <w:b/>
                <w:sz w:val="24"/>
                <w:szCs w:val="24"/>
                <w:highlight w:val="yellow"/>
              </w:rPr>
              <w:t>Guidance:</w:t>
            </w:r>
            <w:r>
              <w:rPr>
                <w:rFonts w:ascii="Arial" w:eastAsia="Arial" w:hAnsi="Arial" w:cs="Arial"/>
                <w:sz w:val="24"/>
                <w:szCs w:val="24"/>
              </w:rPr>
              <w:t xml:space="preserve"> where weighting is not possible for objective reasons, list the criteria in decreasing order of importance, amend the column heading to read 'Rank order of importance where 1 = most important, 2 = second most important etc.'. The figure 1 must be in the t</w:t>
            </w:r>
            <w:r>
              <w:rPr>
                <w:rFonts w:ascii="Arial" w:eastAsia="Arial" w:hAnsi="Arial" w:cs="Arial"/>
                <w:sz w:val="24"/>
                <w:szCs w:val="24"/>
              </w:rPr>
              <w:t>op row, running down to the least important in the bottom row.]</w:t>
            </w:r>
          </w:p>
        </w:tc>
      </w:tr>
      <w:tr w:rsidR="007C03C3" w14:paraId="30CECFB6" w14:textId="77777777">
        <w:tc>
          <w:tcPr>
            <w:tcW w:w="3544" w:type="dxa"/>
          </w:tcPr>
          <w:p w14:paraId="30CECFB4"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Price (life cycle costs, cost effectiveness &amp; price; price and running costs)</w:t>
            </w:r>
          </w:p>
        </w:tc>
        <w:tc>
          <w:tcPr>
            <w:tcW w:w="5670" w:type="dxa"/>
          </w:tcPr>
          <w:p w14:paraId="30CECFB5"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1</w:t>
            </w:r>
          </w:p>
        </w:tc>
      </w:tr>
      <w:tr w:rsidR="007C03C3" w14:paraId="30CECFB9" w14:textId="77777777">
        <w:tc>
          <w:tcPr>
            <w:tcW w:w="3544" w:type="dxa"/>
          </w:tcPr>
          <w:p w14:paraId="30CECFB7"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Technical merit; coverage, network capacity and performance as specified in relevant service levels</w:t>
            </w:r>
          </w:p>
        </w:tc>
        <w:tc>
          <w:tcPr>
            <w:tcW w:w="5670" w:type="dxa"/>
          </w:tcPr>
          <w:p w14:paraId="30CECFB8"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2</w:t>
            </w:r>
          </w:p>
        </w:tc>
      </w:tr>
      <w:tr w:rsidR="007C03C3" w14:paraId="30CECFBC" w14:textId="77777777">
        <w:tc>
          <w:tcPr>
            <w:tcW w:w="3544" w:type="dxa"/>
          </w:tcPr>
          <w:p w14:paraId="30CECFBA"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Help desk, account management function and assurance of supply of a range of devices and good value accessories</w:t>
            </w:r>
          </w:p>
        </w:tc>
        <w:tc>
          <w:tcPr>
            <w:tcW w:w="5670" w:type="dxa"/>
          </w:tcPr>
          <w:p w14:paraId="30CECFBB"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3</w:t>
            </w:r>
          </w:p>
        </w:tc>
      </w:tr>
      <w:tr w:rsidR="007C03C3" w14:paraId="30CECFBF" w14:textId="77777777">
        <w:tc>
          <w:tcPr>
            <w:tcW w:w="3544" w:type="dxa"/>
          </w:tcPr>
          <w:p w14:paraId="30CECFBD"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Environmental characteristics</w:t>
            </w:r>
          </w:p>
        </w:tc>
        <w:tc>
          <w:tcPr>
            <w:tcW w:w="5670" w:type="dxa"/>
          </w:tcPr>
          <w:p w14:paraId="30CECFBE"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4</w:t>
            </w:r>
          </w:p>
        </w:tc>
      </w:tr>
      <w:tr w:rsidR="007C03C3" w14:paraId="30CECFC2" w14:textId="77777777">
        <w:tc>
          <w:tcPr>
            <w:tcW w:w="3544" w:type="dxa"/>
          </w:tcPr>
          <w:p w14:paraId="30CECFC0"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Quality (including delivery time, sales service, good value, accessories, service fitness for purpose)</w:t>
            </w:r>
          </w:p>
        </w:tc>
        <w:tc>
          <w:tcPr>
            <w:tcW w:w="5670" w:type="dxa"/>
          </w:tcPr>
          <w:p w14:paraId="30CECFC1" w14:textId="77777777" w:rsidR="007C03C3" w:rsidRDefault="00FC7559">
            <w:pPr>
              <w:keepNext/>
              <w:widowControl/>
              <w:pBdr>
                <w:top w:val="nil"/>
                <w:left w:val="nil"/>
                <w:bottom w:val="nil"/>
                <w:right w:val="nil"/>
                <w:between w:val="nil"/>
              </w:pBdr>
              <w:spacing w:before="240" w:after="120"/>
              <w:ind w:left="142"/>
              <w:jc w:val="both"/>
              <w:rPr>
                <w:rFonts w:ascii="Arial" w:eastAsia="Arial" w:hAnsi="Arial" w:cs="Arial"/>
                <w:color w:val="FF0000"/>
                <w:sz w:val="24"/>
                <w:szCs w:val="24"/>
              </w:rPr>
            </w:pPr>
            <w:r>
              <w:rPr>
                <w:rFonts w:ascii="Arial" w:eastAsia="Arial" w:hAnsi="Arial" w:cs="Arial"/>
                <w:color w:val="FF0000"/>
                <w:sz w:val="24"/>
                <w:szCs w:val="24"/>
              </w:rPr>
              <w:t>5</w:t>
            </w:r>
          </w:p>
        </w:tc>
      </w:tr>
    </w:tbl>
    <w:p w14:paraId="30CECFC3" w14:textId="77777777" w:rsidR="007C03C3" w:rsidRDefault="007C03C3">
      <w:pPr>
        <w:widowControl/>
        <w:pBdr>
          <w:top w:val="nil"/>
          <w:left w:val="nil"/>
          <w:bottom w:val="nil"/>
          <w:right w:val="nil"/>
          <w:between w:val="nil"/>
        </w:pBdr>
        <w:ind w:left="1080"/>
        <w:jc w:val="both"/>
        <w:rPr>
          <w:rFonts w:ascii="Arial" w:eastAsia="Arial" w:hAnsi="Arial" w:cs="Arial"/>
          <w:color w:val="FFFFFF"/>
          <w:sz w:val="24"/>
          <w:szCs w:val="24"/>
        </w:rPr>
      </w:pPr>
    </w:p>
    <w:p w14:paraId="30CECFC4" w14:textId="77777777" w:rsidR="007C03C3" w:rsidRDefault="00FC7559">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14:paraId="30CECFC5"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03C3" w14:paraId="30CECFC9" w14:textId="77777777">
        <w:tc>
          <w:tcPr>
            <w:tcW w:w="4508" w:type="dxa"/>
            <w:shd w:val="clear" w:color="auto" w:fill="E7E6E6"/>
          </w:tcPr>
          <w:p w14:paraId="30CECFC6" w14:textId="77777777" w:rsidR="007C03C3" w:rsidRDefault="00FC7559">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b/>
                <w:color w:val="000000"/>
                <w:sz w:val="24"/>
                <w:szCs w:val="24"/>
              </w:rPr>
              <w:t>Criteria – Ranked in order of importance</w:t>
            </w:r>
          </w:p>
        </w:tc>
        <w:tc>
          <w:tcPr>
            <w:tcW w:w="4508" w:type="dxa"/>
            <w:shd w:val="clear" w:color="auto" w:fill="E7E6E6"/>
          </w:tcPr>
          <w:p w14:paraId="30CECFC7" w14:textId="77777777" w:rsidR="007C03C3" w:rsidRDefault="00FC7559">
            <w:pPr>
              <w:widowControl/>
              <w:spacing w:before="120" w:after="200" w:line="276" w:lineRule="auto"/>
              <w:rPr>
                <w:rFonts w:ascii="Arial" w:eastAsia="Arial" w:hAnsi="Arial" w:cs="Arial"/>
                <w:b/>
                <w:sz w:val="24"/>
                <w:szCs w:val="24"/>
              </w:rPr>
            </w:pPr>
            <w:r>
              <w:rPr>
                <w:rFonts w:ascii="Arial" w:eastAsia="Arial" w:hAnsi="Arial" w:cs="Arial"/>
                <w:b/>
                <w:sz w:val="24"/>
                <w:szCs w:val="24"/>
              </w:rPr>
              <w:t xml:space="preserve">Relative weighting percentage </w:t>
            </w:r>
          </w:p>
          <w:p w14:paraId="30CECFC8"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Guidance:</w:t>
            </w:r>
            <w:r>
              <w:rPr>
                <w:rFonts w:ascii="Arial" w:eastAsia="Arial" w:hAnsi="Arial" w:cs="Arial"/>
                <w:color w:val="000000"/>
                <w:sz w:val="24"/>
                <w:szCs w:val="24"/>
              </w:rPr>
              <w:t xml:space="preserve"> where weighting is not possible for objective reasons, list the criteria in decreasing order of importance, amend the column heading to read 'Rank order of importance where 1 = most important, 2 = second most important etc.'. The figure 1 must be</w:t>
            </w:r>
            <w:r>
              <w:rPr>
                <w:rFonts w:ascii="Arial" w:eastAsia="Arial" w:hAnsi="Arial" w:cs="Arial"/>
                <w:color w:val="000000"/>
                <w:sz w:val="24"/>
                <w:szCs w:val="24"/>
              </w:rPr>
              <w:t xml:space="preserve"> in the top row, running down to the least important in the bottom row.]</w:t>
            </w:r>
          </w:p>
        </w:tc>
      </w:tr>
      <w:tr w:rsidR="007C03C3" w14:paraId="30CECFD2" w14:textId="77777777">
        <w:tc>
          <w:tcPr>
            <w:tcW w:w="4508" w:type="dxa"/>
          </w:tcPr>
          <w:p w14:paraId="30CECFCA" w14:textId="77777777" w:rsidR="007C03C3" w:rsidRDefault="00FC7559">
            <w:pPr>
              <w:keepNext/>
              <w:widowControl/>
              <w:pBdr>
                <w:top w:val="nil"/>
                <w:left w:val="nil"/>
                <w:bottom w:val="nil"/>
                <w:right w:val="nil"/>
                <w:between w:val="nil"/>
              </w:pBdr>
              <w:spacing w:before="12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[Quality]</w:t>
            </w:r>
          </w:p>
          <w:p w14:paraId="30CECFCB" w14:textId="77777777" w:rsidR="007C03C3" w:rsidRDefault="00FC7559">
            <w:pPr>
              <w:keepNext/>
              <w:widowControl/>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[Which consists of the following criteria:</w:t>
            </w:r>
          </w:p>
          <w:p w14:paraId="30CECFCC" w14:textId="77777777" w:rsidR="007C03C3" w:rsidRDefault="00FC7559">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[Added Value / Innovation]</w:t>
            </w:r>
          </w:p>
          <w:p w14:paraId="30CECFCD" w14:textId="77777777" w:rsidR="007C03C3" w:rsidRDefault="00FC7559">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[Social Value]</w:t>
            </w:r>
          </w:p>
          <w:p w14:paraId="30CECFCE" w14:textId="77777777" w:rsidR="007C03C3" w:rsidRDefault="00FC7559">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[Approach </w:t>
            </w:r>
            <w:proofErr w:type="gramStart"/>
            <w:r>
              <w:rPr>
                <w:rFonts w:ascii="Arial" w:eastAsia="Arial" w:hAnsi="Arial" w:cs="Arial"/>
                <w:color w:val="000000"/>
                <w:sz w:val="24"/>
                <w:szCs w:val="24"/>
                <w:highlight w:val="yellow"/>
              </w:rPr>
              <w:t>To</w:t>
            </w:r>
            <w:proofErr w:type="gramEnd"/>
            <w:r>
              <w:rPr>
                <w:rFonts w:ascii="Arial" w:eastAsia="Arial" w:hAnsi="Arial" w:cs="Arial"/>
                <w:color w:val="000000"/>
                <w:sz w:val="24"/>
                <w:szCs w:val="24"/>
                <w:highlight w:val="yellow"/>
              </w:rPr>
              <w:t xml:space="preserve"> Delivery Of The Services]</w:t>
            </w:r>
          </w:p>
          <w:p w14:paraId="30CECFCF" w14:textId="77777777" w:rsidR="007C03C3" w:rsidRDefault="00FC7559">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[Implementation]</w:t>
            </w:r>
          </w:p>
          <w:p w14:paraId="30CECFD0"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xml:space="preserve">[Use </w:t>
            </w:r>
            <w:proofErr w:type="gramStart"/>
            <w:r>
              <w:rPr>
                <w:rFonts w:ascii="Arial" w:eastAsia="Arial" w:hAnsi="Arial" w:cs="Arial"/>
                <w:color w:val="000000"/>
                <w:sz w:val="24"/>
                <w:szCs w:val="24"/>
                <w:highlight w:val="yellow"/>
              </w:rPr>
              <w:t>Of</w:t>
            </w:r>
            <w:proofErr w:type="gramEnd"/>
            <w:r>
              <w:rPr>
                <w:rFonts w:ascii="Arial" w:eastAsia="Arial" w:hAnsi="Arial" w:cs="Arial"/>
                <w:color w:val="000000"/>
                <w:sz w:val="24"/>
                <w:szCs w:val="24"/>
                <w:highlight w:val="yellow"/>
              </w:rPr>
              <w:t xml:space="preserve"> Supply Chain / Partners]</w:t>
            </w:r>
          </w:p>
        </w:tc>
        <w:tc>
          <w:tcPr>
            <w:tcW w:w="4508" w:type="dxa"/>
          </w:tcPr>
          <w:p w14:paraId="30CECFD1" w14:textId="77777777" w:rsidR="007C03C3" w:rsidRDefault="00FC7559">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D5" w14:textId="77777777">
        <w:tc>
          <w:tcPr>
            <w:tcW w:w="4508" w:type="dxa"/>
          </w:tcPr>
          <w:p w14:paraId="30CECFD3"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[Cost effectiveness]</w:t>
            </w:r>
          </w:p>
        </w:tc>
        <w:tc>
          <w:tcPr>
            <w:tcW w:w="4508" w:type="dxa"/>
          </w:tcPr>
          <w:p w14:paraId="30CECFD4"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D8" w14:textId="77777777">
        <w:tc>
          <w:tcPr>
            <w:tcW w:w="4508" w:type="dxa"/>
          </w:tcPr>
          <w:p w14:paraId="30CECFD6"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[Technical merit]</w:t>
            </w:r>
          </w:p>
        </w:tc>
        <w:tc>
          <w:tcPr>
            <w:tcW w:w="4508" w:type="dxa"/>
          </w:tcPr>
          <w:p w14:paraId="30CECFD7"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DB" w14:textId="77777777">
        <w:tc>
          <w:tcPr>
            <w:tcW w:w="4508" w:type="dxa"/>
          </w:tcPr>
          <w:p w14:paraId="30CECFD9"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[Technical assistance]</w:t>
            </w:r>
          </w:p>
        </w:tc>
        <w:tc>
          <w:tcPr>
            <w:tcW w:w="4508" w:type="dxa"/>
          </w:tcPr>
          <w:p w14:paraId="30CECFDA"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DE" w14:textId="77777777">
        <w:tc>
          <w:tcPr>
            <w:tcW w:w="4508" w:type="dxa"/>
          </w:tcPr>
          <w:p w14:paraId="30CECFDC"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[After sales service]</w:t>
            </w:r>
          </w:p>
        </w:tc>
        <w:tc>
          <w:tcPr>
            <w:tcW w:w="4508" w:type="dxa"/>
          </w:tcPr>
          <w:p w14:paraId="30CECFDD"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E1" w14:textId="77777777">
        <w:tc>
          <w:tcPr>
            <w:tcW w:w="4508" w:type="dxa"/>
          </w:tcPr>
          <w:p w14:paraId="30CECFDF"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[Price]</w:t>
            </w:r>
          </w:p>
        </w:tc>
        <w:tc>
          <w:tcPr>
            <w:tcW w:w="4508" w:type="dxa"/>
          </w:tcPr>
          <w:p w14:paraId="30CECFE0"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E4" w14:textId="77777777">
        <w:tc>
          <w:tcPr>
            <w:tcW w:w="4508" w:type="dxa"/>
          </w:tcPr>
          <w:p w14:paraId="30CECFE2"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[Aesthetic and functional characteristics]</w:t>
            </w:r>
          </w:p>
        </w:tc>
        <w:tc>
          <w:tcPr>
            <w:tcW w:w="4508" w:type="dxa"/>
          </w:tcPr>
          <w:p w14:paraId="30CECFE3"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C03C3" w14:paraId="30CECFE7" w14:textId="77777777">
        <w:tc>
          <w:tcPr>
            <w:tcW w:w="4508" w:type="dxa"/>
          </w:tcPr>
          <w:p w14:paraId="30CECFE5"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[Running costs]</w:t>
            </w:r>
          </w:p>
        </w:tc>
        <w:tc>
          <w:tcPr>
            <w:tcW w:w="4508" w:type="dxa"/>
          </w:tcPr>
          <w:p w14:paraId="30CECFE6"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r w:rsidR="007C03C3" w14:paraId="30CECFEA" w14:textId="77777777">
        <w:tc>
          <w:tcPr>
            <w:tcW w:w="4508" w:type="dxa"/>
          </w:tcPr>
          <w:p w14:paraId="30CECFE8"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[Environmental characteristics]</w:t>
            </w:r>
          </w:p>
        </w:tc>
        <w:tc>
          <w:tcPr>
            <w:tcW w:w="4508" w:type="dxa"/>
          </w:tcPr>
          <w:p w14:paraId="30CECFE9"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r w:rsidR="007C03C3" w14:paraId="30CECFED" w14:textId="77777777">
        <w:tc>
          <w:tcPr>
            <w:tcW w:w="4508" w:type="dxa"/>
          </w:tcPr>
          <w:p w14:paraId="30CECFEB"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sz w:val="24"/>
                <w:szCs w:val="24"/>
                <w:highlight w:val="yellow"/>
              </w:rPr>
              <w:t>Delivery</w:t>
            </w:r>
            <w:r>
              <w:rPr>
                <w:rFonts w:ascii="Arial" w:eastAsia="Arial" w:hAnsi="Arial" w:cs="Arial"/>
                <w:color w:val="000000"/>
                <w:sz w:val="24"/>
                <w:szCs w:val="24"/>
                <w:highlight w:val="yellow"/>
              </w:rPr>
              <w:t xml:space="preserve"> date and delivery period]</w:t>
            </w:r>
          </w:p>
        </w:tc>
        <w:tc>
          <w:tcPr>
            <w:tcW w:w="4508" w:type="dxa"/>
          </w:tcPr>
          <w:p w14:paraId="30CECFEC"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r w:rsidR="007C03C3" w14:paraId="30CECFF0" w14:textId="77777777">
        <w:tc>
          <w:tcPr>
            <w:tcW w:w="4508" w:type="dxa"/>
          </w:tcPr>
          <w:p w14:paraId="30CECFEE"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[Period of completion]</w:t>
            </w:r>
          </w:p>
        </w:tc>
        <w:tc>
          <w:tcPr>
            <w:tcW w:w="4508" w:type="dxa"/>
          </w:tcPr>
          <w:p w14:paraId="30CECFEF" w14:textId="77777777" w:rsidR="007C03C3" w:rsidRDefault="00FC7559">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bl>
    <w:p w14:paraId="30CECFF1" w14:textId="77777777" w:rsidR="007C03C3" w:rsidRDefault="007C03C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14:paraId="30CECFF2" w14:textId="77777777" w:rsidR="007C03C3" w:rsidRDefault="007C03C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sectPr w:rsidR="007C03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p>
    <w:p w14:paraId="30CECFF3" w14:textId="77777777" w:rsidR="007C03C3" w:rsidRDefault="007C03C3">
      <w:pPr>
        <w:widowControl/>
        <w:pBdr>
          <w:top w:val="nil"/>
          <w:left w:val="nil"/>
          <w:bottom w:val="nil"/>
          <w:right w:val="nil"/>
          <w:between w:val="nil"/>
        </w:pBdr>
        <w:jc w:val="both"/>
        <w:rPr>
          <w:rFonts w:ascii="Arial" w:eastAsia="Arial" w:hAnsi="Arial" w:cs="Arial"/>
          <w:color w:val="FFFFFF"/>
          <w:sz w:val="24"/>
          <w:szCs w:val="24"/>
        </w:rPr>
      </w:pPr>
    </w:p>
    <w:sectPr w:rsidR="007C03C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D006" w14:textId="77777777" w:rsidR="00000000" w:rsidRDefault="00FC7559">
      <w:r>
        <w:separator/>
      </w:r>
    </w:p>
  </w:endnote>
  <w:endnote w:type="continuationSeparator" w:id="0">
    <w:p w14:paraId="30CED008" w14:textId="77777777" w:rsidR="00000000" w:rsidRDefault="00FC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CFF7" w14:textId="77777777" w:rsidR="007C03C3" w:rsidRDefault="007C03C3">
    <w:pPr>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CFF8" w14:textId="348EFDA6" w:rsidR="007C03C3" w:rsidRDefault="00FC7559">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sidRPr="00FC7559">
      <w:rPr>
        <w:rFonts w:ascii="Arial" w:eastAsia="Arial" w:hAnsi="Arial" w:cs="Arial"/>
        <w:sz w:val="20"/>
        <w:szCs w:val="20"/>
      </w:rPr>
      <w:t>6186 - Fuel Cards VI</w:t>
    </w:r>
    <w:r>
      <w:rPr>
        <w:rFonts w:ascii="Arial" w:eastAsia="Arial" w:hAnsi="Arial" w:cs="Arial"/>
        <w:sz w:val="20"/>
        <w:szCs w:val="20"/>
      </w:rPr>
      <w:tab/>
      <w:t xml:space="preserve">                                           </w:t>
    </w:r>
  </w:p>
  <w:p w14:paraId="30CECFF9" w14:textId="3CDB9701" w:rsidR="007C03C3" w:rsidRDefault="00FC7559">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0CECFFA" w14:textId="77777777" w:rsidR="007C03C3" w:rsidRDefault="00FC7559">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CFFE" w14:textId="77777777" w:rsidR="007C03C3" w:rsidRDefault="007C03C3">
    <w:pPr>
      <w:widowControl/>
      <w:pBdr>
        <w:top w:val="nil"/>
        <w:left w:val="nil"/>
        <w:bottom w:val="nil"/>
        <w:right w:val="nil"/>
        <w:between w:val="nil"/>
      </w:pBdr>
      <w:tabs>
        <w:tab w:val="center" w:pos="4513"/>
        <w:tab w:val="right" w:pos="9026"/>
      </w:tabs>
      <w:jc w:val="both"/>
      <w:rPr>
        <w:color w:val="000000"/>
      </w:rPr>
    </w:pPr>
  </w:p>
  <w:p w14:paraId="30CECFFF" w14:textId="77777777" w:rsidR="007C03C3" w:rsidRDefault="00FC7559">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14:paraId="30CED000" w14:textId="77777777" w:rsidR="007C03C3" w:rsidRDefault="00FC7559">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30CED001" w14:textId="77777777" w:rsidR="007C03C3" w:rsidRDefault="00FC7559">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D002" w14:textId="77777777" w:rsidR="00000000" w:rsidRDefault="00FC7559">
      <w:r>
        <w:separator/>
      </w:r>
    </w:p>
  </w:footnote>
  <w:footnote w:type="continuationSeparator" w:id="0">
    <w:p w14:paraId="30CED004" w14:textId="77777777" w:rsidR="00000000" w:rsidRDefault="00FC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CFF4" w14:textId="77777777" w:rsidR="007C03C3" w:rsidRDefault="007C03C3">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CFF5" w14:textId="77777777" w:rsidR="007C03C3" w:rsidRDefault="00FC7559">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14:paraId="30CECFF6" w14:textId="77777777" w:rsidR="007C03C3" w:rsidRDefault="00FC7559">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CFFB" w14:textId="77777777" w:rsidR="007C03C3" w:rsidRDefault="00FC7559">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14:paraId="30CECFFC" w14:textId="77777777" w:rsidR="007C03C3" w:rsidRDefault="00FC7559">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14:paraId="30CECFFD" w14:textId="77777777" w:rsidR="007C03C3" w:rsidRDefault="007C03C3">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4EA"/>
    <w:multiLevelType w:val="multilevel"/>
    <w:tmpl w:val="690C4E56"/>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 w15:restartNumberingAfterBreak="0">
    <w:nsid w:val="0D581A6F"/>
    <w:multiLevelType w:val="multilevel"/>
    <w:tmpl w:val="B05EA6EE"/>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35D0807"/>
    <w:multiLevelType w:val="multilevel"/>
    <w:tmpl w:val="6590BC80"/>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6D76C94"/>
    <w:multiLevelType w:val="multilevel"/>
    <w:tmpl w:val="4FEC7FD0"/>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024584"/>
    <w:multiLevelType w:val="multilevel"/>
    <w:tmpl w:val="2CC268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C3"/>
    <w:rsid w:val="007C03C3"/>
    <w:rsid w:val="00FC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CF5E"/>
  <w15:docId w15:val="{3BD13625-F309-47F8-8444-0FF31383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5"/>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5"/>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5"/>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U6Nuh//UYoiE5GuJQEhpXGk9xQ==">AMUW2mWk/jFg944e/4DOkSbOUnpaQHPMMCUj2c7QS+pDRS1CZmFWEuErBmT5bKJtHp2N6/hAECfySsfcJaoKQZrGdA3K6MXajGy1ZePFAlrKZbabnbtFB3zHyy2K9itxkANuPSCJOClOttZf4OlD5WWol8r+wNhHLQJbvJ7pAb+oSGZasp30atc6mjm/BkUMVIhU8Cj8rZ4lwPb+Sxjpqb1Oqq96ZfOghfugGYyiMFS8Js4xy8fDouyUeMywXrTadEa6cXQcRhel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Mark Cunliffe</cp:lastModifiedBy>
  <cp:revision>2</cp:revision>
  <dcterms:created xsi:type="dcterms:W3CDTF">2021-05-26T08:26:00Z</dcterms:created>
  <dcterms:modified xsi:type="dcterms:W3CDTF">2021-11-05T14:22:00Z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