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7415" w14:textId="77777777" w:rsidR="00DB71B5" w:rsidRDefault="00010F1A">
      <w:pPr>
        <w:spacing w:before="120" w:after="120" w:line="240" w:lineRule="auto"/>
        <w:rPr>
          <w:b/>
          <w:sz w:val="36"/>
          <w:szCs w:val="36"/>
        </w:rPr>
      </w:pPr>
      <w:r>
        <w:rPr>
          <w:b/>
          <w:sz w:val="36"/>
          <w:szCs w:val="36"/>
        </w:rPr>
        <w:t xml:space="preserve">Framework Schedule 9 (Cyber Essentials Scheme) </w:t>
      </w:r>
    </w:p>
    <w:p w14:paraId="5948EE58" w14:textId="77777777" w:rsidR="00DB71B5" w:rsidRDefault="00DB71B5">
      <w:pPr>
        <w:keepNext/>
        <w:tabs>
          <w:tab w:val="left" w:pos="142"/>
        </w:tabs>
        <w:spacing w:before="120" w:after="120" w:line="240" w:lineRule="auto"/>
        <w:rPr>
          <w:b/>
          <w:sz w:val="26"/>
          <w:szCs w:val="26"/>
          <w:highlight w:val="yellow"/>
        </w:rPr>
      </w:pPr>
      <w:bookmarkStart w:id="0" w:name="_heading=h.3znysh7" w:colFirst="0" w:colLast="0"/>
      <w:bookmarkEnd w:id="0"/>
    </w:p>
    <w:p w14:paraId="5DEC7FF5" w14:textId="77777777" w:rsidR="00DB71B5" w:rsidRDefault="00010F1A">
      <w:pPr>
        <w:numPr>
          <w:ilvl w:val="0"/>
          <w:numId w:val="1"/>
        </w:numPr>
        <w:pBdr>
          <w:top w:val="nil"/>
          <w:left w:val="nil"/>
          <w:bottom w:val="nil"/>
          <w:right w:val="nil"/>
          <w:between w:val="nil"/>
        </w:pBdr>
        <w:tabs>
          <w:tab w:val="left" w:pos="142"/>
        </w:tabs>
        <w:spacing w:before="120" w:after="120" w:line="240" w:lineRule="auto"/>
        <w:ind w:left="426" w:hanging="426"/>
        <w:rPr>
          <w:b/>
        </w:rPr>
      </w:pPr>
      <w:r>
        <w:rPr>
          <w:b/>
        </w:rPr>
        <w:t>Definitions</w:t>
      </w:r>
    </w:p>
    <w:p w14:paraId="54F5B99D" w14:textId="77777777" w:rsidR="00DB71B5" w:rsidRDefault="00010F1A">
      <w:pPr>
        <w:keepNext/>
        <w:numPr>
          <w:ilvl w:val="1"/>
          <w:numId w:val="1"/>
        </w:numPr>
        <w:pBdr>
          <w:top w:val="nil"/>
          <w:left w:val="nil"/>
          <w:bottom w:val="nil"/>
          <w:right w:val="nil"/>
          <w:between w:val="nil"/>
        </w:pBdr>
        <w:spacing w:before="120" w:after="120" w:line="240" w:lineRule="auto"/>
        <w:ind w:left="1134" w:hanging="774"/>
      </w:pPr>
      <w:r>
        <w:t xml:space="preserve">In this Schedule, the following words shall have the following meanings and they shall supplement Joint Schedule 1 </w:t>
      </w:r>
      <w:r>
        <w:rPr>
          <w:i/>
        </w:rPr>
        <w:t>(Definitions)</w:t>
      </w:r>
      <w:r>
        <w:t>:</w:t>
      </w:r>
    </w:p>
    <w:tbl>
      <w:tblPr>
        <w:tblStyle w:val="a0"/>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DB71B5" w14:paraId="4C769E95" w14:textId="77777777">
        <w:tc>
          <w:tcPr>
            <w:tcW w:w="3150" w:type="dxa"/>
          </w:tcPr>
          <w:p w14:paraId="71DE8D2E" w14:textId="77777777" w:rsidR="00DB71B5" w:rsidRDefault="00010F1A">
            <w:pPr>
              <w:pBdr>
                <w:top w:val="nil"/>
                <w:left w:val="nil"/>
                <w:bottom w:val="nil"/>
                <w:right w:val="nil"/>
                <w:between w:val="nil"/>
              </w:pBdr>
              <w:tabs>
                <w:tab w:val="left" w:pos="-576"/>
              </w:tabs>
              <w:spacing w:before="120" w:after="120"/>
              <w:rPr>
                <w:b/>
              </w:rPr>
            </w:pPr>
            <w:r>
              <w:rPr>
                <w:b/>
              </w:rPr>
              <w:t>"Cyber Essentials Scheme"</w:t>
            </w:r>
          </w:p>
        </w:tc>
        <w:tc>
          <w:tcPr>
            <w:tcW w:w="5084" w:type="dxa"/>
          </w:tcPr>
          <w:p w14:paraId="01DB130E" w14:textId="77777777" w:rsidR="00DB71B5" w:rsidRDefault="00010F1A">
            <w:pPr>
              <w:pBdr>
                <w:top w:val="nil"/>
                <w:left w:val="nil"/>
                <w:bottom w:val="nil"/>
                <w:right w:val="nil"/>
                <w:between w:val="nil"/>
              </w:pBdr>
              <w:tabs>
                <w:tab w:val="left" w:pos="-576"/>
              </w:tabs>
              <w:spacing w:before="120" w:after="120"/>
              <w:rPr>
                <w:b/>
              </w:rPr>
            </w:pP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8">
              <w:r>
                <w:rPr>
                  <w:color w:val="0000FF"/>
                  <w:u w:val="single"/>
                </w:rPr>
                <w:t>https://www.gov.uk/government/publications/cyber-essentials-scheme-overview</w:t>
              </w:r>
            </w:hyperlink>
            <w:r>
              <w:rPr>
                <w:color w:val="0000FF"/>
                <w:u w:val="single"/>
              </w:rPr>
              <w:t>;</w:t>
            </w:r>
          </w:p>
        </w:tc>
      </w:tr>
      <w:tr w:rsidR="00DB71B5" w14:paraId="3871FCF0" w14:textId="77777777">
        <w:tc>
          <w:tcPr>
            <w:tcW w:w="3150" w:type="dxa"/>
          </w:tcPr>
          <w:p w14:paraId="7DAE9132" w14:textId="77777777" w:rsidR="00DB71B5" w:rsidRDefault="00010F1A">
            <w:pPr>
              <w:pBdr>
                <w:top w:val="nil"/>
                <w:left w:val="nil"/>
                <w:bottom w:val="nil"/>
                <w:right w:val="nil"/>
                <w:between w:val="nil"/>
              </w:pBdr>
              <w:tabs>
                <w:tab w:val="left" w:pos="-576"/>
              </w:tabs>
              <w:spacing w:before="120" w:after="120"/>
              <w:rPr>
                <w:b/>
              </w:rPr>
            </w:pPr>
            <w:r>
              <w:rPr>
                <w:b/>
              </w:rPr>
              <w:t>"Cyber Essentials Basic Certificate"</w:t>
            </w:r>
          </w:p>
        </w:tc>
        <w:tc>
          <w:tcPr>
            <w:tcW w:w="5084" w:type="dxa"/>
          </w:tcPr>
          <w:p w14:paraId="2D051E8E" w14:textId="77777777" w:rsidR="00DB71B5" w:rsidRDefault="00010F1A">
            <w:pPr>
              <w:pBdr>
                <w:top w:val="nil"/>
                <w:left w:val="nil"/>
                <w:bottom w:val="nil"/>
                <w:right w:val="nil"/>
                <w:between w:val="nil"/>
              </w:pBdr>
              <w:tabs>
                <w:tab w:val="left" w:pos="-576"/>
              </w:tabs>
              <w:spacing w:before="120" w:after="120"/>
              <w:rPr>
                <w:b/>
              </w:rPr>
            </w:pPr>
            <w:r>
              <w:t>the certificate awarded on the basis  of self-assessment, verified by an independent certification body, under the Cyber Essentials Scheme and is the basic level of assurance;</w:t>
            </w:r>
          </w:p>
        </w:tc>
      </w:tr>
      <w:tr w:rsidR="00DB71B5" w14:paraId="734FAC57" w14:textId="77777777">
        <w:tc>
          <w:tcPr>
            <w:tcW w:w="3150" w:type="dxa"/>
          </w:tcPr>
          <w:p w14:paraId="08014461" w14:textId="77777777" w:rsidR="00DB71B5" w:rsidRDefault="00010F1A">
            <w:pPr>
              <w:pBdr>
                <w:top w:val="nil"/>
                <w:left w:val="nil"/>
                <w:bottom w:val="nil"/>
                <w:right w:val="nil"/>
                <w:between w:val="nil"/>
              </w:pBdr>
              <w:tabs>
                <w:tab w:val="left" w:pos="-576"/>
              </w:tabs>
              <w:spacing w:before="120" w:after="120"/>
              <w:rPr>
                <w:b/>
              </w:rPr>
            </w:pPr>
            <w:r>
              <w:rPr>
                <w:b/>
              </w:rPr>
              <w:t>"Cyber Essentials Certificate"</w:t>
            </w:r>
          </w:p>
        </w:tc>
        <w:tc>
          <w:tcPr>
            <w:tcW w:w="5084" w:type="dxa"/>
          </w:tcPr>
          <w:p w14:paraId="33A8F1C4" w14:textId="77777777" w:rsidR="00DB71B5" w:rsidRDefault="00010F1A">
            <w:pPr>
              <w:pBdr>
                <w:top w:val="nil"/>
                <w:left w:val="nil"/>
                <w:bottom w:val="nil"/>
                <w:right w:val="nil"/>
                <w:between w:val="nil"/>
              </w:pBdr>
              <w:tabs>
                <w:tab w:val="left" w:pos="-576"/>
              </w:tabs>
              <w:spacing w:before="120" w:after="120"/>
            </w:pPr>
            <w:r>
              <w:t>a Cyber Essentials Basic Certificate or the Cyber Essentials Plus Certificate or a written statement that equivalent controls are in place through other means, verified by a technically competent and independent third party which must be an Information Assurance for Small and Medium Enterprises (IASME) registered certification body to be provided by the Supplier as set out in the Framework Award Form;</w:t>
            </w:r>
          </w:p>
        </w:tc>
      </w:tr>
      <w:tr w:rsidR="00DB71B5" w14:paraId="3D491C23" w14:textId="77777777">
        <w:tc>
          <w:tcPr>
            <w:tcW w:w="3150" w:type="dxa"/>
          </w:tcPr>
          <w:p w14:paraId="52937207" w14:textId="77777777" w:rsidR="00DB71B5" w:rsidRDefault="00010F1A">
            <w:pPr>
              <w:pBdr>
                <w:top w:val="nil"/>
                <w:left w:val="nil"/>
                <w:bottom w:val="nil"/>
                <w:right w:val="nil"/>
                <w:between w:val="nil"/>
              </w:pBdr>
              <w:tabs>
                <w:tab w:val="left" w:pos="-576"/>
              </w:tabs>
              <w:spacing w:before="120" w:after="120"/>
              <w:rPr>
                <w:b/>
              </w:rPr>
            </w:pPr>
            <w:r>
              <w:rPr>
                <w:b/>
              </w:rPr>
              <w:t>"Cyber Essential Scheme Data"</w:t>
            </w:r>
          </w:p>
        </w:tc>
        <w:tc>
          <w:tcPr>
            <w:tcW w:w="5084" w:type="dxa"/>
          </w:tcPr>
          <w:p w14:paraId="7D8A4A16" w14:textId="77777777" w:rsidR="00DB71B5" w:rsidRDefault="00010F1A">
            <w:pPr>
              <w:pBdr>
                <w:top w:val="nil"/>
                <w:left w:val="nil"/>
                <w:bottom w:val="nil"/>
                <w:right w:val="nil"/>
                <w:between w:val="nil"/>
              </w:pBdr>
              <w:tabs>
                <w:tab w:val="left" w:pos="-576"/>
              </w:tabs>
              <w:spacing w:before="120" w:after="120"/>
              <w:rPr>
                <w:b/>
              </w:rPr>
            </w:pPr>
            <w:r>
              <w:t>sensitive and personal information and other relevant information as referred to in the Cyber Essentials Scheme; and</w:t>
            </w:r>
          </w:p>
        </w:tc>
      </w:tr>
      <w:tr w:rsidR="00DB71B5" w14:paraId="619D857D" w14:textId="77777777">
        <w:tc>
          <w:tcPr>
            <w:tcW w:w="3150" w:type="dxa"/>
          </w:tcPr>
          <w:p w14:paraId="38C94527" w14:textId="77777777" w:rsidR="00DB71B5" w:rsidRDefault="00010F1A">
            <w:pPr>
              <w:pBdr>
                <w:top w:val="nil"/>
                <w:left w:val="nil"/>
                <w:bottom w:val="nil"/>
                <w:right w:val="nil"/>
                <w:between w:val="nil"/>
              </w:pBdr>
              <w:tabs>
                <w:tab w:val="left" w:pos="-576"/>
              </w:tabs>
              <w:spacing w:before="120" w:after="120"/>
              <w:rPr>
                <w:b/>
              </w:rPr>
            </w:pPr>
            <w:r>
              <w:rPr>
                <w:b/>
              </w:rPr>
              <w:t>"Cyber Essentials Plus Certificate"</w:t>
            </w:r>
          </w:p>
        </w:tc>
        <w:tc>
          <w:tcPr>
            <w:tcW w:w="5084" w:type="dxa"/>
          </w:tcPr>
          <w:p w14:paraId="1C6ECC3A" w14:textId="77777777" w:rsidR="00DB71B5" w:rsidRDefault="00010F1A">
            <w:pPr>
              <w:pBdr>
                <w:top w:val="nil"/>
                <w:left w:val="nil"/>
                <w:bottom w:val="nil"/>
                <w:right w:val="nil"/>
                <w:between w:val="nil"/>
              </w:pBdr>
              <w:tabs>
                <w:tab w:val="left" w:pos="-576"/>
              </w:tabs>
              <w:spacing w:before="120" w:after="120"/>
              <w:rPr>
                <w:b/>
              </w:rPr>
            </w:pPr>
            <w:r>
              <w:t>the certification awarded on the basis of external testing by an independent certification body of the Supplier’s cyber security approach under the Cyber Essentials Scheme and is a more advanced level of assurance.</w:t>
            </w:r>
          </w:p>
        </w:tc>
      </w:tr>
    </w:tbl>
    <w:p w14:paraId="731703FE" w14:textId="77777777" w:rsidR="00DB71B5" w:rsidRDefault="00010F1A">
      <w:pPr>
        <w:keepNext/>
        <w:numPr>
          <w:ilvl w:val="0"/>
          <w:numId w:val="1"/>
        </w:numPr>
        <w:pBdr>
          <w:top w:val="nil"/>
          <w:left w:val="nil"/>
          <w:bottom w:val="nil"/>
          <w:right w:val="nil"/>
          <w:between w:val="nil"/>
        </w:pBdr>
        <w:tabs>
          <w:tab w:val="left" w:pos="142"/>
        </w:tabs>
        <w:spacing w:before="120" w:after="120" w:line="240" w:lineRule="auto"/>
        <w:ind w:left="426" w:hanging="426"/>
        <w:rPr>
          <w:b/>
        </w:rPr>
      </w:pPr>
      <w:r>
        <w:rPr>
          <w:b/>
        </w:rPr>
        <w:t>What Certification do you need</w:t>
      </w:r>
    </w:p>
    <w:p w14:paraId="55012394" w14:textId="6E2DBAA9" w:rsidR="00DB71B5" w:rsidRDefault="00010F1A">
      <w:pPr>
        <w:pBdr>
          <w:top w:val="nil"/>
          <w:left w:val="nil"/>
          <w:bottom w:val="nil"/>
          <w:right w:val="nil"/>
          <w:between w:val="nil"/>
        </w:pBdr>
        <w:tabs>
          <w:tab w:val="left" w:pos="1134"/>
        </w:tabs>
        <w:spacing w:before="120" w:after="120" w:line="240" w:lineRule="auto"/>
        <w:ind w:left="1134" w:hanging="708"/>
      </w:pPr>
      <w:bookmarkStart w:id="1" w:name="_heading=h.gjdgxs" w:colFirst="0" w:colLast="0"/>
      <w:bookmarkEnd w:id="1"/>
      <w:r>
        <w:t xml:space="preserve">2.1 </w:t>
      </w:r>
      <w:r>
        <w:tab/>
        <w:t xml:space="preserve">Where the Framework Award Form requires that the Supplier provide a Cyber Essentials Certificate prior to the Framework Award date, the </w:t>
      </w:r>
      <w:r>
        <w:lastRenderedPageBreak/>
        <w:t>Supplier shall provide a valid Cyber Essentials Certificate to CCS. Where the Supplier fails to comply with this Paragraph it shall be prohibited from commencing the provision of Deliverables under any Contract until such time as the Supplier has evidenced to CCS its compliance with this Paragraph 2.1.</w:t>
      </w:r>
    </w:p>
    <w:p w14:paraId="27BECBCB" w14:textId="77777777" w:rsidR="00DB71B5" w:rsidRDefault="00010F1A">
      <w:pPr>
        <w:pBdr>
          <w:top w:val="nil"/>
          <w:left w:val="nil"/>
          <w:bottom w:val="nil"/>
          <w:right w:val="nil"/>
          <w:between w:val="nil"/>
        </w:pBdr>
        <w:spacing w:before="120" w:after="120" w:line="240" w:lineRule="auto"/>
        <w:ind w:left="1134" w:hanging="708"/>
        <w:rPr>
          <w:b/>
          <w:highlight w:val="yellow"/>
        </w:rPr>
      </w:pPr>
      <w:bookmarkStart w:id="2" w:name="_heading=h.30j0zll" w:colFirst="0" w:colLast="0"/>
      <w:bookmarkEnd w:id="2"/>
      <w:r>
        <w:t xml:space="preserve">2.2 </w:t>
      </w:r>
      <w:r>
        <w:tab/>
        <w:t>Where the Supplier continues to Process Cyber Essentials Scheme Data during the Contract Period of any Call-Off Contract the Supplier shall deliver to CCS evidence of renewal of the Cyber Essentials Certificate on each anniversary of the first applicable certificate obtained by the Supplier under Paragraph 2.1.</w:t>
      </w:r>
    </w:p>
    <w:p w14:paraId="5D9CFB38" w14:textId="77777777" w:rsidR="00DB71B5" w:rsidRDefault="00010F1A">
      <w:pPr>
        <w:pBdr>
          <w:top w:val="nil"/>
          <w:left w:val="nil"/>
          <w:bottom w:val="nil"/>
          <w:right w:val="nil"/>
          <w:between w:val="nil"/>
        </w:pBdr>
        <w:spacing w:before="120" w:after="120" w:line="240" w:lineRule="auto"/>
        <w:ind w:left="1134" w:hanging="708"/>
      </w:pPr>
      <w:bookmarkStart w:id="3" w:name="_heading=h.1fob9te" w:colFirst="0" w:colLast="0"/>
      <w:bookmarkEnd w:id="3"/>
      <w:r>
        <w:t xml:space="preserve">2.3 </w:t>
      </w:r>
      <w:r>
        <w:tab/>
        <w:t>Where the Supplier is due to Process Cyber Essentials Scheme Data after the Start Date of the first Call-Off Contract but before the end of the Framework Contract Period or Contact Period of the last Call-Off Contract, the Supplier shall deliver to CCS evidence of:</w:t>
      </w:r>
    </w:p>
    <w:p w14:paraId="6A5E7054" w14:textId="77777777" w:rsidR="00DB71B5" w:rsidRDefault="00010F1A">
      <w:pPr>
        <w:pBdr>
          <w:top w:val="nil"/>
          <w:left w:val="nil"/>
          <w:bottom w:val="nil"/>
          <w:right w:val="nil"/>
          <w:between w:val="nil"/>
        </w:pBdr>
        <w:spacing w:before="120" w:after="120" w:line="240" w:lineRule="auto"/>
        <w:ind w:left="1985" w:hanging="851"/>
      </w:pPr>
      <w:r>
        <w:t xml:space="preserve">2.3.1 </w:t>
      </w:r>
      <w:r>
        <w:tab/>
        <w:t>a valid and current Cyber Essentials Certificate before the Supplier Processes any such Cyber Essentials Scheme Data; and</w:t>
      </w:r>
    </w:p>
    <w:p w14:paraId="44083050" w14:textId="77777777" w:rsidR="00DB71B5" w:rsidRDefault="00010F1A">
      <w:pPr>
        <w:pBdr>
          <w:top w:val="nil"/>
          <w:left w:val="nil"/>
          <w:bottom w:val="nil"/>
          <w:right w:val="nil"/>
          <w:between w:val="nil"/>
        </w:pBdr>
        <w:spacing w:before="120" w:after="120" w:line="240" w:lineRule="auto"/>
        <w:ind w:left="1985" w:hanging="851"/>
      </w:pPr>
      <w:r>
        <w:t xml:space="preserve">2.3.2 </w:t>
      </w:r>
      <w:r>
        <w:tab/>
        <w:t>renewal of the valid Cyber Essentials Certificate on each  anniversary of the first Cyber Essentials Scheme certificate obtained by the Supplier under Paragraph 2.1.</w:t>
      </w:r>
    </w:p>
    <w:p w14:paraId="09325930" w14:textId="2F68A87B" w:rsidR="00DB71B5" w:rsidRDefault="00010F1A">
      <w:pPr>
        <w:pBdr>
          <w:top w:val="nil"/>
          <w:left w:val="nil"/>
          <w:bottom w:val="nil"/>
          <w:right w:val="nil"/>
          <w:between w:val="nil"/>
        </w:pBdr>
        <w:spacing w:before="120" w:after="120" w:line="240" w:lineRule="auto"/>
        <w:ind w:left="1134" w:hanging="702"/>
      </w:pPr>
      <w:r>
        <w:t xml:space="preserve">2.4 </w:t>
      </w:r>
      <w:r>
        <w:tab/>
        <w:t xml:space="preserve">In the event that the Supplier fails to comply with Paragraphs 2.2 or 2.3 (as applicable), CCS reserves the right to terminate the Contract for Material Default and the consequences of termination in Clause 13.4.1 </w:t>
      </w:r>
      <w:r w:rsidR="005051F6">
        <w:t xml:space="preserve">of the General Terms </w:t>
      </w:r>
      <w:r>
        <w:t>shall apply.</w:t>
      </w:r>
    </w:p>
    <w:p w14:paraId="6B943E08" w14:textId="77777777" w:rsidR="00DB71B5" w:rsidRDefault="00010F1A">
      <w:pPr>
        <w:pBdr>
          <w:top w:val="nil"/>
          <w:left w:val="nil"/>
          <w:bottom w:val="nil"/>
          <w:right w:val="nil"/>
          <w:between w:val="nil"/>
        </w:pBdr>
        <w:spacing w:before="120" w:after="120" w:line="240" w:lineRule="auto"/>
        <w:ind w:left="1134" w:hanging="702"/>
      </w:pPr>
      <w:bookmarkStart w:id="4" w:name="_heading=h.2et92p0" w:colFirst="0" w:colLast="0"/>
      <w:bookmarkEnd w:id="4"/>
      <w:r>
        <w:t xml:space="preserve">2.5 </w:t>
      </w:r>
      <w:r>
        <w:tab/>
        <w:t xml:space="preserve">The Supplier shall ensure that all Sub-Contracts with Subcontractors who </w:t>
      </w:r>
      <w:bookmarkStart w:id="5" w:name="bookmark=id.3znysh7" w:colFirst="0" w:colLast="0"/>
      <w:bookmarkEnd w:id="5"/>
      <w:r>
        <w:t>Process Cyber Essentials Scheme Data require the Subcontractor to provide a valid Cyber Essentials Certificate, at the equivalent level to that held by the Supplier. The Supplier cannot require the Subcontractor to commence the provision of Deliverables under the Sub-Contract until the Subcontractor has evidenced to the Supplier that is holds a valid Cyber Essentials Certificate.</w:t>
      </w:r>
    </w:p>
    <w:p w14:paraId="311CB091" w14:textId="77777777" w:rsidR="00DB71B5" w:rsidRDefault="00010F1A">
      <w:pPr>
        <w:pBdr>
          <w:top w:val="nil"/>
          <w:left w:val="nil"/>
          <w:bottom w:val="nil"/>
          <w:right w:val="nil"/>
          <w:between w:val="nil"/>
        </w:pBdr>
        <w:spacing w:before="120" w:after="120" w:line="240" w:lineRule="auto"/>
        <w:ind w:left="1134" w:hanging="702"/>
        <w:sectPr w:rsidR="00DB71B5">
          <w:headerReference w:type="even" r:id="rId9"/>
          <w:headerReference w:type="default" r:id="rId10"/>
          <w:footerReference w:type="even" r:id="rId11"/>
          <w:footerReference w:type="default" r:id="rId12"/>
          <w:headerReference w:type="first" r:id="rId13"/>
          <w:footerReference w:type="first" r:id="rId14"/>
          <w:pgSz w:w="11906" w:h="16838"/>
          <w:pgMar w:top="1440" w:right="1399" w:bottom="1440" w:left="1440" w:header="709" w:footer="709" w:gutter="0"/>
          <w:pgNumType w:start="1"/>
          <w:cols w:space="720"/>
        </w:sectPr>
      </w:pPr>
      <w:r>
        <w:t xml:space="preserve">2.6 </w:t>
      </w:r>
      <w:r>
        <w:tab/>
        <w:t>This Schedule shall survive termination or expiry of the Contract and each and any Call-Off Contract.</w:t>
      </w:r>
    </w:p>
    <w:p w14:paraId="34AE87AA" w14:textId="77777777" w:rsidR="00DB71B5" w:rsidRDefault="00DB71B5">
      <w:pPr>
        <w:spacing w:before="120" w:after="120" w:line="240" w:lineRule="auto"/>
      </w:pPr>
    </w:p>
    <w:sectPr w:rsidR="00DB71B5">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BF9F" w14:textId="77777777" w:rsidR="00010F1A" w:rsidRDefault="00010F1A">
      <w:pPr>
        <w:spacing w:after="0" w:line="240" w:lineRule="auto"/>
      </w:pPr>
      <w:r>
        <w:separator/>
      </w:r>
    </w:p>
  </w:endnote>
  <w:endnote w:type="continuationSeparator" w:id="0">
    <w:p w14:paraId="5CBD2EF3" w14:textId="77777777" w:rsidR="00010F1A" w:rsidRDefault="0001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3D8C" w14:textId="77777777" w:rsidR="00747188" w:rsidRDefault="00747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080C" w14:textId="77777777" w:rsidR="00DB71B5" w:rsidRDefault="00DB71B5">
    <w:pPr>
      <w:tabs>
        <w:tab w:val="center" w:pos="4513"/>
        <w:tab w:val="right" w:pos="9026"/>
      </w:tabs>
      <w:spacing w:after="0"/>
      <w:rPr>
        <w:sz w:val="20"/>
        <w:szCs w:val="20"/>
      </w:rPr>
    </w:pPr>
  </w:p>
  <w:p w14:paraId="6CD98AD3" w14:textId="3F3B3095" w:rsidR="00DB71B5" w:rsidRDefault="00010F1A">
    <w:pPr>
      <w:tabs>
        <w:tab w:val="center" w:pos="4513"/>
        <w:tab w:val="right" w:pos="9026"/>
      </w:tabs>
      <w:spacing w:after="0"/>
      <w:rPr>
        <w:sz w:val="20"/>
        <w:szCs w:val="20"/>
      </w:rPr>
    </w:pPr>
    <w:r>
      <w:rPr>
        <w:sz w:val="20"/>
        <w:szCs w:val="20"/>
      </w:rPr>
      <w:t>Framework Ref: RM</w:t>
    </w:r>
    <w:r w:rsidR="00747188">
      <w:rPr>
        <w:sz w:val="20"/>
        <w:szCs w:val="20"/>
      </w:rPr>
      <w:t>6343</w:t>
    </w:r>
    <w:r>
      <w:rPr>
        <w:sz w:val="20"/>
        <w:szCs w:val="20"/>
      </w:rPr>
      <w:tab/>
      <w:t xml:space="preserve">                                           </w:t>
    </w:r>
  </w:p>
  <w:p w14:paraId="70AFB204" w14:textId="77777777" w:rsidR="00DB71B5" w:rsidRDefault="00010F1A">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p w14:paraId="1F4D3CEA" w14:textId="77777777" w:rsidR="00DB71B5" w:rsidRDefault="00010F1A">
    <w:pPr>
      <w:tabs>
        <w:tab w:val="center" w:pos="4513"/>
        <w:tab w:val="right" w:pos="9026"/>
      </w:tabs>
      <w:spacing w:after="0" w:line="240" w:lineRule="auto"/>
      <w:rPr>
        <w:color w:val="BFBFBF"/>
        <w:sz w:val="20"/>
        <w:szCs w:val="20"/>
      </w:rPr>
    </w:pPr>
    <w:r>
      <w:rPr>
        <w:sz w:val="20"/>
        <w:szCs w:val="20"/>
      </w:rPr>
      <w:t>Model Version: v1.0 PA</w:t>
    </w:r>
    <w:r>
      <w:rPr>
        <w:sz w:val="20"/>
        <w:szCs w:val="20"/>
      </w:rPr>
      <w:tab/>
    </w:r>
    <w:r>
      <w:rPr>
        <w:color w:val="BFBF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2932" w14:textId="77777777" w:rsidR="00DB71B5" w:rsidRDefault="00010F1A">
    <w:pPr>
      <w:tabs>
        <w:tab w:val="center" w:pos="4513"/>
        <w:tab w:val="right" w:pos="9026"/>
      </w:tabs>
      <w:spacing w:after="0"/>
      <w:rPr>
        <w:color w:val="BFBFBF"/>
        <w:sz w:val="20"/>
        <w:szCs w:val="20"/>
      </w:rPr>
    </w:pPr>
    <w:r>
      <w:rPr>
        <w:color w:val="BFBFBF"/>
        <w:sz w:val="20"/>
        <w:szCs w:val="20"/>
      </w:rPr>
      <w:t>Framework Ref: RM</w:t>
    </w:r>
    <w:r>
      <w:rPr>
        <w:color w:val="BFBFBF"/>
        <w:sz w:val="20"/>
        <w:szCs w:val="20"/>
      </w:rPr>
      <w:tab/>
      <w:t xml:space="preserve">                                           </w:t>
    </w:r>
  </w:p>
  <w:p w14:paraId="790042B2" w14:textId="77777777" w:rsidR="00DB71B5" w:rsidRDefault="00010F1A">
    <w:pPr>
      <w:pBdr>
        <w:top w:val="nil"/>
        <w:left w:val="nil"/>
        <w:bottom w:val="nil"/>
        <w:right w:val="nil"/>
        <w:between w:val="nil"/>
      </w:pBdr>
      <w:tabs>
        <w:tab w:val="center" w:pos="4513"/>
        <w:tab w:val="right" w:pos="9026"/>
      </w:tabs>
      <w:spacing w:after="0" w:line="240" w:lineRule="auto"/>
      <w:rPr>
        <w:color w:val="BFBFBF"/>
        <w:sz w:val="20"/>
        <w:szCs w:val="20"/>
      </w:rPr>
    </w:pPr>
    <w:r>
      <w:rPr>
        <w:color w:val="BFBFBF"/>
        <w:sz w:val="20"/>
        <w:szCs w:val="20"/>
      </w:rPr>
      <w:t>Project Version: v1.0</w:t>
    </w:r>
    <w:r>
      <w:rPr>
        <w:color w:val="BFBFBF"/>
        <w:sz w:val="20"/>
        <w:szCs w:val="20"/>
      </w:rPr>
      <w:tab/>
    </w:r>
    <w:r>
      <w:rPr>
        <w:color w:val="BFBFBF"/>
        <w:sz w:val="20"/>
        <w:szCs w:val="20"/>
      </w:rPr>
      <w:tab/>
      <w:t xml:space="preserve"> </w:t>
    </w:r>
    <w:r>
      <w:rPr>
        <w:color w:val="BFBFBF"/>
        <w:sz w:val="20"/>
        <w:szCs w:val="20"/>
      </w:rPr>
      <w:fldChar w:fldCharType="begin"/>
    </w:r>
    <w:r>
      <w:rPr>
        <w:color w:val="BFBFBF"/>
        <w:sz w:val="20"/>
        <w:szCs w:val="20"/>
      </w:rPr>
      <w:instrText>PAGE</w:instrText>
    </w:r>
    <w:r w:rsidR="00747188">
      <w:rPr>
        <w:color w:val="BFBFBF"/>
        <w:sz w:val="20"/>
        <w:szCs w:val="20"/>
      </w:rPr>
      <w:fldChar w:fldCharType="separate"/>
    </w:r>
    <w:r>
      <w:rPr>
        <w:color w:val="BFBFBF"/>
        <w:sz w:val="20"/>
        <w:szCs w:val="20"/>
      </w:rPr>
      <w:fldChar w:fldCharType="end"/>
    </w:r>
  </w:p>
  <w:p w14:paraId="1A0B9736" w14:textId="77777777" w:rsidR="00DB71B5" w:rsidRDefault="00010F1A">
    <w:pPr>
      <w:pBdr>
        <w:top w:val="nil"/>
        <w:left w:val="nil"/>
        <w:bottom w:val="nil"/>
        <w:right w:val="nil"/>
        <w:between w:val="nil"/>
      </w:pBdr>
      <w:tabs>
        <w:tab w:val="center" w:pos="4513"/>
        <w:tab w:val="right" w:pos="9026"/>
      </w:tabs>
      <w:spacing w:after="0" w:line="240" w:lineRule="auto"/>
      <w:rPr>
        <w:color w:val="BFBFBF"/>
      </w:rPr>
    </w:pPr>
    <w:r>
      <w:rPr>
        <w:color w:val="BFBFBF"/>
        <w:sz w:val="20"/>
        <w:szCs w:val="20"/>
      </w:rPr>
      <w:t>Model Version: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6BED" w14:textId="77777777" w:rsidR="00010F1A" w:rsidRDefault="00010F1A">
      <w:pPr>
        <w:spacing w:after="0" w:line="240" w:lineRule="auto"/>
      </w:pPr>
      <w:r>
        <w:separator/>
      </w:r>
    </w:p>
  </w:footnote>
  <w:footnote w:type="continuationSeparator" w:id="0">
    <w:p w14:paraId="2302EFF7" w14:textId="77777777" w:rsidR="00010F1A" w:rsidRDefault="0001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6112" w14:textId="77777777" w:rsidR="00747188" w:rsidRDefault="00747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8B3D" w14:textId="77777777" w:rsidR="00DB71B5" w:rsidRDefault="00010F1A">
    <w:pPr>
      <w:pBdr>
        <w:top w:val="nil"/>
        <w:left w:val="nil"/>
        <w:bottom w:val="nil"/>
        <w:right w:val="nil"/>
        <w:between w:val="nil"/>
      </w:pBdr>
      <w:tabs>
        <w:tab w:val="center" w:pos="4513"/>
        <w:tab w:val="right" w:pos="9026"/>
      </w:tabs>
      <w:spacing w:after="0" w:line="240" w:lineRule="auto"/>
      <w:rPr>
        <w:sz w:val="22"/>
        <w:szCs w:val="22"/>
      </w:rPr>
    </w:pPr>
    <w:r>
      <w:rPr>
        <w:b/>
        <w:sz w:val="22"/>
        <w:szCs w:val="22"/>
      </w:rPr>
      <w:t>Framework Schedule 9 (Cyber Essential Scheme)</w:t>
    </w:r>
  </w:p>
  <w:p w14:paraId="20635DC2" w14:textId="77777777" w:rsidR="00DB71B5" w:rsidRDefault="00010F1A">
    <w:pPr>
      <w:pBdr>
        <w:top w:val="nil"/>
        <w:left w:val="nil"/>
        <w:bottom w:val="nil"/>
        <w:right w:val="nil"/>
        <w:between w:val="nil"/>
      </w:pBdr>
      <w:tabs>
        <w:tab w:val="center" w:pos="4513"/>
        <w:tab w:val="right" w:pos="9026"/>
      </w:tabs>
      <w:spacing w:after="0" w:line="240" w:lineRule="auto"/>
      <w:rPr>
        <w:sz w:val="22"/>
        <w:szCs w:val="22"/>
      </w:rPr>
    </w:pPr>
    <w:r>
      <w:rPr>
        <w:sz w:val="22"/>
        <w:szCs w:val="22"/>
      </w:rPr>
      <w:t>Crown Copyright 2025</w:t>
    </w:r>
  </w:p>
  <w:p w14:paraId="1F10909A" w14:textId="77777777" w:rsidR="00DB71B5" w:rsidRDefault="00DB71B5">
    <w:pPr>
      <w:pBdr>
        <w:top w:val="nil"/>
        <w:left w:val="nil"/>
        <w:bottom w:val="nil"/>
        <w:right w:val="nil"/>
        <w:between w:val="nil"/>
      </w:pBdr>
      <w:tabs>
        <w:tab w:val="center" w:pos="4513"/>
        <w:tab w:val="right" w:pos="9026"/>
      </w:tabs>
      <w:spacing w:after="0" w:line="240"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597D" w14:textId="77777777" w:rsidR="00DB71B5" w:rsidRDefault="00010F1A">
    <w:pPr>
      <w:pBdr>
        <w:top w:val="nil"/>
        <w:left w:val="nil"/>
        <w:bottom w:val="nil"/>
        <w:right w:val="nil"/>
        <w:between w:val="nil"/>
      </w:pBdr>
      <w:tabs>
        <w:tab w:val="center" w:pos="4513"/>
        <w:tab w:val="right" w:pos="9026"/>
      </w:tabs>
      <w:spacing w:after="0" w:line="240" w:lineRule="auto"/>
      <w:rPr>
        <w:color w:val="BFBFBF"/>
        <w:sz w:val="20"/>
        <w:szCs w:val="20"/>
      </w:rPr>
    </w:pPr>
    <w:r>
      <w:rPr>
        <w:b/>
        <w:color w:val="BFBFBF"/>
        <w:sz w:val="20"/>
        <w:szCs w:val="20"/>
      </w:rPr>
      <w:t>Framework Schedule 9 (Cyber Essential Scheme)</w:t>
    </w:r>
  </w:p>
  <w:p w14:paraId="38750586" w14:textId="77777777" w:rsidR="00DB71B5" w:rsidRDefault="00010F1A">
    <w:pPr>
      <w:pBdr>
        <w:top w:val="nil"/>
        <w:left w:val="nil"/>
        <w:bottom w:val="nil"/>
        <w:right w:val="nil"/>
        <w:between w:val="nil"/>
      </w:pBdr>
      <w:tabs>
        <w:tab w:val="center" w:pos="4513"/>
        <w:tab w:val="right" w:pos="9026"/>
      </w:tabs>
      <w:spacing w:after="0" w:line="240" w:lineRule="auto"/>
      <w:rPr>
        <w:color w:val="BFBFBF"/>
        <w:sz w:val="20"/>
        <w:szCs w:val="20"/>
      </w:rPr>
    </w:pPr>
    <w:r>
      <w:rPr>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0E1E"/>
    <w:multiLevelType w:val="multilevel"/>
    <w:tmpl w:val="A8C889A4"/>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D47FB1"/>
    <w:multiLevelType w:val="multilevel"/>
    <w:tmpl w:val="1A546742"/>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55947960">
    <w:abstractNumId w:val="1"/>
  </w:num>
  <w:num w:numId="2" w16cid:durableId="172008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B5"/>
    <w:rsid w:val="00010F1A"/>
    <w:rsid w:val="0016293B"/>
    <w:rsid w:val="00325FEB"/>
    <w:rsid w:val="005051F6"/>
    <w:rsid w:val="00747188"/>
    <w:rsid w:val="00DB71B5"/>
    <w:rsid w:val="00E5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A83A"/>
  <w15:docId w15:val="{1B337587-D01E-4343-A674-011908A6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eastAsia="Times New Roman"/>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51440"/>
    <w:rPr>
      <w:color w:val="605E5C"/>
      <w:shd w:val="clear" w:color="auto" w:fill="E1DFDD"/>
    </w:rPr>
  </w:style>
  <w:style w:type="paragraph" w:styleId="Revision">
    <w:name w:val="Revision"/>
    <w:hidden/>
    <w:uiPriority w:val="99"/>
    <w:semiHidden/>
    <w:rsid w:val="00D24D4F"/>
    <w:pPr>
      <w:spacing w:after="0" w:line="240" w:lineRule="auto"/>
    </w:pPr>
    <w:rPr>
      <w:rFonts w:cs="Times New Roman"/>
    </w:rPr>
  </w:style>
  <w:style w:type="paragraph" w:styleId="ListParagraph">
    <w:name w:val="List Paragraph"/>
    <w:basedOn w:val="Normal"/>
    <w:uiPriority w:val="34"/>
    <w:qFormat/>
    <w:rsid w:val="00DD23DD"/>
    <w:pPr>
      <w:suppressAutoHyphens/>
      <w:autoSpaceDN w:val="0"/>
      <w:ind w:left="720"/>
      <w:textAlignment w:val="baseline"/>
    </w:p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yber-essentials-scheme-overvie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GzyPPF4x5Zxo9fWWJqRcfDjKuw==">CgMxLjAyCWguM3pueXNoNzIIaC5namRneHMyCWguMzBqMHpsbDIJaC4xZm9iOXRlMgppZC4zem55c2g3MgloLjJldDkycDA4AHIhMU1vUVpWRUZwS1ZjRDRFMWY4cjliQ0todV9xeHFtQlRo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Pauline Hanratty</cp:lastModifiedBy>
  <cp:revision>4</cp:revision>
  <dcterms:created xsi:type="dcterms:W3CDTF">2025-03-19T23:22:00Z</dcterms:created>
  <dcterms:modified xsi:type="dcterms:W3CDTF">2025-03-20T19:49:00Z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