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leader="none" w:pos="4513"/>
          <w:tab w:val="right" w:leader="none" w:pos="9026"/>
        </w:tabs>
        <w:spacing w:after="120" w:before="120" w:lineRule="auto"/>
        <w:rPr>
          <w:b w:val="1"/>
          <w:bCs w:val="1"/>
          <w:sz w:val="36"/>
          <w:szCs w:val="36"/>
        </w:rPr>
      </w:pPr>
      <w:r w:rsidDel="00000000" w:rsidR="00000000" w:rsidRPr="00000000">
        <w:rPr>
          <w:b w:val="1"/>
          <w:bCs w:val="1"/>
          <w:sz w:val="36"/>
          <w:szCs w:val="36"/>
          <w:rtl w:val="0"/>
        </w:rPr>
        <w:t xml:space="preserve">Joint Schedule 3 (Insurance Requirements)</w:t>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spacing w:after="120" w:before="120" w:lineRule="auto"/>
        <w:jc w:val="left"/>
        <w:rPr>
          <w:b w:val="1"/>
          <w:bCs w:val="1"/>
          <w:smallCaps w:val="1"/>
        </w:rPr>
      </w:pPr>
      <w:bookmarkStart w:colFirst="0" w:colLast="0" w:name="_heading=h.aiiz1abz2v6g" w:id="0"/>
      <w:bookmarkEnd w:id="0"/>
      <w:r w:rsidDel="00000000" w:rsidR="00000000" w:rsidRPr="00000000">
        <w:rPr>
          <w:rtl w:val="0"/>
        </w:rPr>
      </w:r>
    </w:p>
    <w:p w:rsidR="00000000" w:rsidDel="00000000" w:rsidP="00000000" w:rsidRDefault="00000000" w:rsidRPr="00000000" w14:paraId="00000003">
      <w:pPr>
        <w:keepNext w:val="1"/>
        <w:numPr>
          <w:ilvl w:val="0"/>
          <w:numId w:val="2"/>
        </w:numPr>
        <w:pBdr>
          <w:top w:space="0" w:sz="0" w:val="nil"/>
          <w:left w:space="0" w:sz="0" w:val="nil"/>
          <w:bottom w:space="0" w:sz="0" w:val="nil"/>
          <w:right w:space="0" w:sz="0" w:val="nil"/>
          <w:between w:space="0" w:sz="0" w:val="nil"/>
        </w:pBdr>
        <w:spacing w:after="120" w:before="120" w:lineRule="auto"/>
        <w:ind w:left="426" w:hanging="426"/>
        <w:jc w:val="left"/>
        <w:rPr>
          <w:b w:val="1"/>
          <w:bCs w:val="1"/>
          <w:smallCaps w:val="1"/>
        </w:rPr>
      </w:pPr>
      <w:r w:rsidDel="00000000" w:rsidR="00000000" w:rsidRPr="00000000">
        <w:rPr>
          <w:b w:val="1"/>
          <w:bCs w:val="1"/>
          <w:rtl w:val="0"/>
        </w:rPr>
        <w:t xml:space="preserve">The insurance you need to have</w:t>
      </w:r>
      <w:r w:rsidDel="00000000" w:rsidR="00000000" w:rsidRPr="00000000">
        <w:rPr>
          <w:rtl w:val="0"/>
        </w:rPr>
      </w:r>
    </w:p>
    <w:p w:rsidR="00000000" w:rsidDel="00000000" w:rsidP="00000000" w:rsidRDefault="00000000" w:rsidRPr="00000000" w14:paraId="00000004">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shall take out and maintain or procure the taking out and maintenance of the insurances as set out in the Annex to this Schedule, any additional insurances required under a Call-Off Contract (specified in the applicable Order Form) ("</w:t>
      </w:r>
      <w:r w:rsidDel="00000000" w:rsidR="00000000" w:rsidRPr="00000000">
        <w:rPr>
          <w:b w:val="1"/>
          <w:bCs w:val="1"/>
          <w:rtl w:val="0"/>
        </w:rPr>
        <w:t xml:space="preserve">Additional Insurances</w:t>
      </w:r>
      <w:r w:rsidDel="00000000" w:rsidR="00000000" w:rsidRPr="00000000">
        <w:rPr>
          <w:rtl w:val="0"/>
        </w:rPr>
        <w:t xml:space="preserve">")  and any other insurances as may be required by applicable Law (together the “</w:t>
      </w:r>
      <w:r w:rsidDel="00000000" w:rsidR="00000000" w:rsidRPr="00000000">
        <w:rPr>
          <w:b w:val="1"/>
          <w:bCs w:val="1"/>
          <w:rtl w:val="0"/>
        </w:rPr>
        <w:t xml:space="preserve">Insurances</w:t>
      </w:r>
      <w:r w:rsidDel="00000000" w:rsidR="00000000" w:rsidRPr="00000000">
        <w:rPr>
          <w:rtl w:val="0"/>
        </w:rPr>
        <w:t xml:space="preserve">”). The Supplier shall ensure that each of the Insurances is effective no later than:</w:t>
      </w:r>
    </w:p>
    <w:p w:rsidR="00000000" w:rsidDel="00000000" w:rsidP="00000000" w:rsidRDefault="00000000" w:rsidRPr="00000000" w14:paraId="00000005">
      <w:pPr>
        <w:keepNext w:val="1"/>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the Effective Date in respect of those Insurances set out in the Annex to this Schedule and those required by applicable Law; and</w:t>
      </w:r>
    </w:p>
    <w:p w:rsidR="00000000" w:rsidDel="00000000" w:rsidP="00000000" w:rsidRDefault="00000000" w:rsidRPr="00000000" w14:paraId="00000006">
      <w:pPr>
        <w:keepNext w:val="1"/>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the Call-Off Contract Effective Date in respect of the Additional Insurances.</w:t>
      </w:r>
    </w:p>
    <w:p w:rsidR="00000000" w:rsidDel="00000000" w:rsidP="00000000" w:rsidRDefault="00000000" w:rsidRPr="00000000" w14:paraId="00000007">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Insurances shall be: </w:t>
      </w:r>
    </w:p>
    <w:p w:rsidR="00000000" w:rsidDel="00000000" w:rsidP="00000000" w:rsidRDefault="00000000" w:rsidRPr="00000000" w14:paraId="00000008">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maintained in accordance with Good Industry Practice; </w:t>
      </w:r>
    </w:p>
    <w:p w:rsidR="00000000" w:rsidDel="00000000" w:rsidP="00000000" w:rsidRDefault="00000000" w:rsidRPr="00000000" w14:paraId="00000009">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(so far as is reasonably practicable) on terms no less favourable than those generally available to a prudent contractor in respect of risks insured in the international insurance market from time to time;</w:t>
      </w:r>
    </w:p>
    <w:p w:rsidR="00000000" w:rsidDel="00000000" w:rsidP="00000000" w:rsidRDefault="00000000" w:rsidRPr="00000000" w14:paraId="0000000A">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taken out and maintained with insurers of good financial standing and good repute in the international insurance market; and</w:t>
      </w:r>
    </w:p>
    <w:p w:rsidR="00000000" w:rsidDel="00000000" w:rsidP="00000000" w:rsidRDefault="00000000" w:rsidRPr="00000000" w14:paraId="0000000B">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maintained until the End Date except in relation to Professional Indemnity where required under the Annex to this Schedule which shall be maintained for at least six (6) years after the End Date.</w:t>
      </w:r>
    </w:p>
    <w:p w:rsidR="00000000" w:rsidDel="00000000" w:rsidP="00000000" w:rsidRDefault="00000000" w:rsidRPr="00000000" w14:paraId="0000000C">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shall ensure that the public liability policy contains an indemnity to principals clause under which the Relevant Authority shall be indemnified in respect of claims made against the Relevant Authority in respect of death or bodily injury or third party property damage arising out of or in connection with the Deliverables and for which the Supplier is legally liable.</w:t>
      </w:r>
    </w:p>
    <w:p w:rsidR="00000000" w:rsidDel="00000000" w:rsidP="00000000" w:rsidRDefault="00000000" w:rsidRPr="00000000" w14:paraId="0000000D">
      <w:pPr>
        <w:keepNext w:val="1"/>
        <w:numPr>
          <w:ilvl w:val="0"/>
          <w:numId w:val="2"/>
        </w:numPr>
        <w:pBdr>
          <w:top w:space="0" w:sz="0" w:val="nil"/>
          <w:left w:space="0" w:sz="0" w:val="nil"/>
          <w:bottom w:space="0" w:sz="0" w:val="nil"/>
          <w:right w:space="0" w:sz="0" w:val="nil"/>
          <w:between w:space="0" w:sz="0" w:val="nil"/>
        </w:pBdr>
        <w:spacing w:after="120" w:before="120" w:lineRule="auto"/>
        <w:ind w:left="426" w:hanging="426"/>
        <w:jc w:val="left"/>
        <w:rPr>
          <w:b w:val="1"/>
          <w:bCs w:val="1"/>
        </w:rPr>
      </w:pPr>
      <w:r w:rsidDel="00000000" w:rsidR="00000000" w:rsidRPr="00000000">
        <w:rPr>
          <w:b w:val="1"/>
          <w:bCs w:val="1"/>
          <w:rtl w:val="0"/>
        </w:rPr>
        <w:t xml:space="preserve">How to manage the insurance</w:t>
      </w:r>
    </w:p>
    <w:p w:rsidR="00000000" w:rsidDel="00000000" w:rsidP="00000000" w:rsidRDefault="00000000" w:rsidRPr="00000000" w14:paraId="0000000E">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Without limiting the other provisions of the Contract, the Supplier shall:</w:t>
      </w:r>
    </w:p>
    <w:p w:rsidR="00000000" w:rsidDel="00000000" w:rsidP="00000000" w:rsidRDefault="00000000" w:rsidRPr="00000000" w14:paraId="0000000F">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take or procure the taking of all reasonable risk management and risk control measures in relation to Deliverables as it would be reasonable to expect of a prudent contractor acting in accordance with Good Industry Practice, including the investigation and reports of relevant claims to insurers;</w:t>
      </w:r>
    </w:p>
    <w:p w:rsidR="00000000" w:rsidDel="00000000" w:rsidP="00000000" w:rsidRDefault="00000000" w:rsidRPr="00000000" w14:paraId="00000010">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promptly notify the insurers in writing of any relevant material fact under any Insurances of which the Supplier is or becomes aware; and</w:t>
      </w:r>
    </w:p>
    <w:p w:rsidR="00000000" w:rsidDel="00000000" w:rsidP="00000000" w:rsidRDefault="00000000" w:rsidRPr="00000000" w14:paraId="00000011">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hold all policies in respect of the Insurances and cause any insurance broker effecting the Insurances to hold any insurance slips and other evidence of placing cover representing any of the Insurances to which it is a party.</w:t>
      </w:r>
    </w:p>
    <w:p w:rsidR="00000000" w:rsidDel="00000000" w:rsidP="00000000" w:rsidRDefault="00000000" w:rsidRPr="00000000" w14:paraId="00000012">
      <w:pPr>
        <w:keepNext w:val="1"/>
        <w:numPr>
          <w:ilvl w:val="0"/>
          <w:numId w:val="2"/>
        </w:numPr>
        <w:pBdr>
          <w:top w:space="0" w:sz="0" w:val="nil"/>
          <w:left w:space="0" w:sz="0" w:val="nil"/>
          <w:bottom w:space="0" w:sz="0" w:val="nil"/>
          <w:right w:space="0" w:sz="0" w:val="nil"/>
          <w:between w:space="0" w:sz="0" w:val="nil"/>
        </w:pBdr>
        <w:spacing w:after="120" w:before="120" w:lineRule="auto"/>
        <w:ind w:left="426" w:hanging="426"/>
        <w:jc w:val="left"/>
        <w:rPr>
          <w:b w:val="1"/>
          <w:bCs w:val="1"/>
        </w:rPr>
      </w:pPr>
      <w:r w:rsidDel="00000000" w:rsidR="00000000" w:rsidRPr="00000000">
        <w:rPr>
          <w:b w:val="1"/>
          <w:bCs w:val="1"/>
          <w:rtl w:val="0"/>
        </w:rPr>
        <w:t xml:space="preserve">What happens if you aren’t insured</w:t>
      </w:r>
    </w:p>
    <w:p w:rsidR="00000000" w:rsidDel="00000000" w:rsidP="00000000" w:rsidRDefault="00000000" w:rsidRPr="00000000" w14:paraId="00000013">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gjdgxs" w:id="1"/>
      <w:bookmarkEnd w:id="1"/>
      <w:r w:rsidDel="00000000" w:rsidR="00000000" w:rsidRPr="00000000">
        <w:rPr>
          <w:rtl w:val="0"/>
        </w:rPr>
        <w:t xml:space="preserve">The Supplier shall not take any action or fail to take any action or (insofar as is reasonably within its power) permit anything to occur in relation to it which would entitle any insurer to refuse to pay any claim under any of the Insurances.</w:t>
      </w:r>
    </w:p>
    <w:p w:rsidR="00000000" w:rsidDel="00000000" w:rsidP="00000000" w:rsidRDefault="00000000" w:rsidRPr="00000000" w14:paraId="00000014">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Where the Supplier has failed to purchase or maintain any of the Insurances in full force and effect, the Relevant Authority may elect (but shall not be obliged) following written notice to the Supplier to purchase the relevant Insurances and recover the reasonable premium and other reasonable costs incurred in connection therewith as a debt due from the Supplier.</w:t>
      </w:r>
    </w:p>
    <w:p w:rsidR="00000000" w:rsidDel="00000000" w:rsidP="00000000" w:rsidRDefault="00000000" w:rsidRPr="00000000" w14:paraId="00000015">
      <w:pPr>
        <w:keepNext w:val="1"/>
        <w:numPr>
          <w:ilvl w:val="0"/>
          <w:numId w:val="2"/>
        </w:numPr>
        <w:pBdr>
          <w:top w:space="0" w:sz="0" w:val="nil"/>
          <w:left w:space="0" w:sz="0" w:val="nil"/>
          <w:bottom w:space="0" w:sz="0" w:val="nil"/>
          <w:right w:space="0" w:sz="0" w:val="nil"/>
          <w:between w:space="0" w:sz="0" w:val="nil"/>
        </w:pBdr>
        <w:spacing w:after="120" w:before="120" w:lineRule="auto"/>
        <w:ind w:left="426" w:hanging="426"/>
        <w:jc w:val="left"/>
        <w:rPr>
          <w:b w:val="1"/>
          <w:bCs w:val="1"/>
        </w:rPr>
      </w:pPr>
      <w:r w:rsidDel="00000000" w:rsidR="00000000" w:rsidRPr="00000000">
        <w:rPr>
          <w:b w:val="1"/>
          <w:bCs w:val="1"/>
          <w:rtl w:val="0"/>
        </w:rPr>
        <w:t xml:space="preserve">Evidence of insurance you must provide</w:t>
      </w:r>
    </w:p>
    <w:p w:rsidR="00000000" w:rsidDel="00000000" w:rsidP="00000000" w:rsidRDefault="00000000" w:rsidRPr="00000000" w14:paraId="00000016">
      <w:pPr>
        <w:keepNext w:val="1"/>
        <w:pBdr>
          <w:top w:space="0" w:sz="0" w:val="nil"/>
          <w:left w:space="0" w:sz="0" w:val="nil"/>
          <w:bottom w:space="0" w:sz="0" w:val="nil"/>
          <w:right w:space="0" w:sz="0" w:val="nil"/>
          <w:between w:space="0" w:sz="0" w:val="nil"/>
        </w:pBdr>
        <w:tabs>
          <w:tab w:val="left" w:leader="none" w:pos="1134"/>
        </w:tabs>
        <w:spacing w:after="120" w:before="120" w:lineRule="auto"/>
        <w:ind w:left="426" w:firstLine="0"/>
        <w:jc w:val="left"/>
        <w:rPr>
          <w:smallCaps w:val="1"/>
        </w:rPr>
      </w:pPr>
      <w:r w:rsidDel="00000000" w:rsidR="00000000" w:rsidRPr="00000000">
        <w:rPr>
          <w:rtl w:val="0"/>
        </w:rPr>
        <w:t xml:space="preserve">The Supplier shall upon the Effective Date and within 15 Working Days after the renewal of each of the Insurances, provide evidence, in a form satisfactory to the Relevant Authority, that the Insurances are in force and effect and meet in full the requirements of this Schedule.</w:t>
      </w:r>
      <w:r w:rsidDel="00000000" w:rsidR="00000000" w:rsidRPr="00000000">
        <w:rPr>
          <w:rtl w:val="0"/>
        </w:rPr>
      </w:r>
    </w:p>
    <w:p w:rsidR="00000000" w:rsidDel="00000000" w:rsidP="00000000" w:rsidRDefault="00000000" w:rsidRPr="00000000" w14:paraId="00000017">
      <w:pPr>
        <w:keepNext w:val="1"/>
        <w:numPr>
          <w:ilvl w:val="0"/>
          <w:numId w:val="2"/>
        </w:numPr>
        <w:pBdr>
          <w:top w:space="0" w:sz="0" w:val="nil"/>
          <w:left w:space="0" w:sz="0" w:val="nil"/>
          <w:bottom w:space="0" w:sz="0" w:val="nil"/>
          <w:right w:space="0" w:sz="0" w:val="nil"/>
          <w:between w:space="0" w:sz="0" w:val="nil"/>
        </w:pBdr>
        <w:spacing w:after="120" w:before="120" w:lineRule="auto"/>
        <w:ind w:left="426" w:hanging="426"/>
        <w:jc w:val="left"/>
        <w:rPr>
          <w:b w:val="1"/>
          <w:bCs w:val="1"/>
        </w:rPr>
      </w:pPr>
      <w:bookmarkStart w:colFirst="0" w:colLast="0" w:name="_heading=h.3znysh7" w:id="2"/>
      <w:bookmarkEnd w:id="2"/>
      <w:r w:rsidDel="00000000" w:rsidR="00000000" w:rsidRPr="00000000">
        <w:rPr>
          <w:b w:val="1"/>
          <w:bCs w:val="1"/>
          <w:rtl w:val="0"/>
        </w:rPr>
        <w:t xml:space="preserve">Making sure you are insured to the required amount</w:t>
      </w:r>
    </w:p>
    <w:p w:rsidR="00000000" w:rsidDel="00000000" w:rsidP="00000000" w:rsidRDefault="00000000" w:rsidRPr="00000000" w14:paraId="00000018">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30j0zll" w:id="3"/>
      <w:bookmarkEnd w:id="3"/>
      <w:r w:rsidDel="00000000" w:rsidR="00000000" w:rsidRPr="00000000">
        <w:rPr>
          <w:rtl w:val="0"/>
        </w:rPr>
        <w:t xml:space="preserve">The Supplier shall ensure that any Insurances which are stated to have a minimum limit "in the aggregate" are maintained for the minimum limit of indemnity for the periods specified in this Schedule.</w:t>
      </w:r>
    </w:p>
    <w:p w:rsidR="00000000" w:rsidDel="00000000" w:rsidP="00000000" w:rsidRDefault="00000000" w:rsidRPr="00000000" w14:paraId="00000019">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Where the Supplier intends to claim under any of the Insurances for any matters that are not related to the Deliverables and/or the Contract, the Supplier shall, where such claim is likely to result in the level of cover available under any of the Insurances being reduced below the minimum limit of indemnity specified in this Schedule, promptly notify the Relevant Authority and provide details of its proposed solution for maintaining the minimum limit of indemnity specified in this Schedule.</w:t>
      </w:r>
    </w:p>
    <w:p w:rsidR="00000000" w:rsidDel="00000000" w:rsidP="00000000" w:rsidRDefault="00000000" w:rsidRPr="00000000" w14:paraId="0000001A">
      <w:pPr>
        <w:keepNext w:val="1"/>
        <w:numPr>
          <w:ilvl w:val="0"/>
          <w:numId w:val="2"/>
        </w:numPr>
        <w:pBdr>
          <w:top w:space="0" w:sz="0" w:val="nil"/>
          <w:left w:space="0" w:sz="0" w:val="nil"/>
          <w:bottom w:space="0" w:sz="0" w:val="nil"/>
          <w:right w:space="0" w:sz="0" w:val="nil"/>
          <w:between w:space="0" w:sz="0" w:val="nil"/>
        </w:pBdr>
        <w:spacing w:after="120" w:before="120" w:lineRule="auto"/>
        <w:ind w:left="426" w:hanging="426"/>
        <w:jc w:val="left"/>
        <w:rPr>
          <w:b w:val="1"/>
          <w:bCs w:val="1"/>
        </w:rPr>
      </w:pPr>
      <w:r w:rsidDel="00000000" w:rsidR="00000000" w:rsidRPr="00000000">
        <w:rPr>
          <w:b w:val="1"/>
          <w:bCs w:val="1"/>
          <w:rtl w:val="0"/>
        </w:rPr>
        <w:t xml:space="preserve">Cancelled Insurance</w:t>
      </w:r>
    </w:p>
    <w:p w:rsidR="00000000" w:rsidDel="00000000" w:rsidP="00000000" w:rsidRDefault="00000000" w:rsidRPr="00000000" w14:paraId="0000001B">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smallCaps w:val="1"/>
        </w:rPr>
      </w:pPr>
      <w:r w:rsidDel="00000000" w:rsidR="00000000" w:rsidRPr="00000000">
        <w:rPr>
          <w:rtl w:val="0"/>
        </w:rPr>
        <w:t xml:space="preserve">The Supplier shall notify the Relevant Authority in writing at least five (5) Working Days prior to the cancellation, suspension, termination or non-renewal of any of the Insurances.</w:t>
      </w:r>
      <w:r w:rsidDel="00000000" w:rsidR="00000000" w:rsidRPr="00000000">
        <w:rPr>
          <w:rtl w:val="0"/>
        </w:rPr>
      </w:r>
    </w:p>
    <w:p w:rsidR="00000000" w:rsidDel="00000000" w:rsidP="00000000" w:rsidRDefault="00000000" w:rsidRPr="00000000" w14:paraId="0000001C">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smallCaps w:val="1"/>
        </w:rPr>
      </w:pPr>
      <w:r w:rsidDel="00000000" w:rsidR="00000000" w:rsidRPr="00000000">
        <w:rPr>
          <w:rtl w:val="0"/>
        </w:rPr>
        <w:t xml:space="preserve">The Supplier shall ensure that nothing is done which would entitle the relevant insurer to cancel, rescind or suspend any insurance or cover, or to treat any insurance, cover or claim as voided in whole or part. The Supplier shall use all reasonable endeavours to notify the Relevant Authority (subject to third party confidentiality obligations) as soon as practicable when it becomes aware of any relevant fact, circumstance or matter which has caused, or is reasonably likely to provide grounds to, the relevant insurer to give notice to cancel, rescind, suspend or void any insurance, or any cover or claim under any insurance in whole or in part.</w:t>
      </w:r>
      <w:r w:rsidDel="00000000" w:rsidR="00000000" w:rsidRPr="00000000">
        <w:rPr>
          <w:rtl w:val="0"/>
        </w:rPr>
      </w:r>
    </w:p>
    <w:p w:rsidR="00000000" w:rsidDel="00000000" w:rsidP="00000000" w:rsidRDefault="00000000" w:rsidRPr="00000000" w14:paraId="0000001D">
      <w:pPr>
        <w:numPr>
          <w:ilvl w:val="0"/>
          <w:numId w:val="2"/>
        </w:numPr>
        <w:pBdr>
          <w:top w:space="0" w:sz="0" w:val="nil"/>
          <w:left w:space="0" w:sz="0" w:val="nil"/>
          <w:bottom w:space="0" w:sz="0" w:val="nil"/>
          <w:right w:space="0" w:sz="0" w:val="nil"/>
          <w:between w:space="0" w:sz="0" w:val="nil"/>
        </w:pBdr>
        <w:spacing w:after="120" w:before="120" w:lineRule="auto"/>
        <w:ind w:left="426" w:hanging="426"/>
        <w:jc w:val="left"/>
        <w:rPr>
          <w:b w:val="1"/>
          <w:bCs w:val="1"/>
        </w:rPr>
      </w:pPr>
      <w:r w:rsidDel="00000000" w:rsidR="00000000" w:rsidRPr="00000000">
        <w:rPr>
          <w:b w:val="1"/>
          <w:bCs w:val="1"/>
          <w:rtl w:val="0"/>
        </w:rPr>
        <w:t xml:space="preserve">Insurance claims</w:t>
      </w:r>
    </w:p>
    <w:p w:rsidR="00000000" w:rsidDel="00000000" w:rsidP="00000000" w:rsidRDefault="00000000" w:rsidRPr="00000000" w14:paraId="0000001E">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shall promptly notify to insurers any matter arising from, or in relation to, the Deliverables, or each Contract for which it may be entitled to claim under any of the Insurances. In the event that the Relevant Authority receives a claim relating to or arising out of a Contract or the Deliverables, the Supplier shall co-operate with the Relevant Authority and assist it in dealing with such claims including without limitation providing information and documentation in a timely manner.</w:t>
      </w:r>
    </w:p>
    <w:p w:rsidR="00000000" w:rsidDel="00000000" w:rsidP="00000000" w:rsidRDefault="00000000" w:rsidRPr="00000000" w14:paraId="0000001F">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Except where the Relevant Authority is the claimant party, the Supplier shall give the Relevant Authority notice within twenty (20) Working Days after any insurance claim in excess of 10% of the sum required to be insured pursuant to Paragraph 5.1 relating to or arising out of the provision of the Deliverables or the Contract on any of the Insurances or which, but for the application of the applicable policy excess, would be made on any of the Insurances and (if required by the Relevant Authority) full details of the incident giving rise to the claim.</w:t>
      </w:r>
    </w:p>
    <w:p w:rsidR="00000000" w:rsidDel="00000000" w:rsidP="00000000" w:rsidRDefault="00000000" w:rsidRPr="00000000" w14:paraId="00000020">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Where any Insurance requires payment of a premium, the Supplier shall be liable for and shall promptly pay such premium.</w:t>
      </w:r>
    </w:p>
    <w:p w:rsidR="00000000" w:rsidDel="00000000" w:rsidP="00000000" w:rsidRDefault="00000000" w:rsidRPr="00000000" w14:paraId="00000021">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Where any Insurance is subject to an excess or deductible below which the indemnity from insurers is excluded, the Supplier shall be liable for such excess or deductible. The Supplier shall not be entitled to recover from the Relevant Authority any sum paid by way of excess or deductible under the Insurances whether under the terms of the Contract or otherwise.</w:t>
      </w:r>
      <w:r w:rsidDel="00000000" w:rsidR="00000000" w:rsidRPr="00000000">
        <w:br w:type="page"/>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1134"/>
        </w:tabs>
        <w:spacing w:after="120" w:before="120" w:lineRule="auto"/>
        <w:ind w:left="648" w:hanging="576"/>
        <w:jc w:val="center"/>
        <w:rPr>
          <w:b w:val="1"/>
          <w:bCs w:val="1"/>
        </w:rPr>
      </w:pPr>
      <w:r w:rsidDel="00000000" w:rsidR="00000000" w:rsidRPr="00000000">
        <w:rPr>
          <w:b w:val="1"/>
          <w:bCs w:val="1"/>
          <w:rtl w:val="0"/>
        </w:rPr>
        <w:t xml:space="preserve">ANNEX: REQUIRED INSURANCES</w: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tabs>
          <w:tab w:val="left" w:leader="none" w:pos="709"/>
        </w:tabs>
        <w:spacing w:after="120" w:before="120" w:lineRule="auto"/>
        <w:ind w:left="709" w:hanging="709"/>
        <w:jc w:val="left"/>
        <w:rPr>
          <w:b w:val="1"/>
          <w:bCs w:val="1"/>
        </w:rPr>
      </w:pPr>
      <w:r w:rsidDel="00000000" w:rsidR="00000000" w:rsidRPr="00000000">
        <w:rPr>
          <w:rtl w:val="0"/>
        </w:rPr>
        <w:t xml:space="preserve">The Supplier shall hold the following standard insurance cover from the Effective Date in accordance with this Schedule:</w:t>
      </w:r>
      <w:r w:rsidDel="00000000" w:rsidR="00000000" w:rsidRPr="00000000">
        <w:rPr>
          <w:rtl w:val="0"/>
        </w:rPr>
      </w:r>
    </w:p>
    <w:p w:rsidR="00000000" w:rsidDel="00000000" w:rsidP="00000000" w:rsidRDefault="00000000" w:rsidRPr="00000000" w14:paraId="00000024">
      <w:pPr>
        <w:numPr>
          <w:ilvl w:val="1"/>
          <w:numId w:val="1"/>
        </w:numPr>
        <w:pBdr>
          <w:top w:space="0" w:sz="0" w:val="nil"/>
          <w:left w:space="0" w:sz="0" w:val="nil"/>
          <w:bottom w:space="0" w:sz="0" w:val="nil"/>
          <w:right w:space="0" w:sz="0" w:val="nil"/>
          <w:between w:space="0" w:sz="0" w:val="nil"/>
        </w:pBdr>
        <w:tabs>
          <w:tab w:val="left" w:leader="none" w:pos="1418"/>
        </w:tabs>
        <w:spacing w:after="120" w:before="120" w:lineRule="auto"/>
        <w:ind w:left="1418" w:hanging="709"/>
        <w:jc w:val="left"/>
        <w:rPr/>
      </w:pPr>
      <w:r w:rsidDel="00000000" w:rsidR="00000000" w:rsidRPr="00000000">
        <w:rPr>
          <w:rtl w:val="0"/>
        </w:rPr>
        <w:t xml:space="preserve">professional indemnity insurance with cover (for a single event or a series of related events and in the aggregate) of not less than for each lot:</w:t>
      </w:r>
    </w:p>
    <w:p w:rsidR="00000000" w:rsidDel="00000000" w:rsidP="00000000" w:rsidRDefault="00000000" w:rsidRPr="00000000" w14:paraId="00000025">
      <w:pPr>
        <w:numPr>
          <w:ilvl w:val="3"/>
          <w:numId w:val="1"/>
        </w:numPr>
        <w:pBdr>
          <w:top w:space="0" w:sz="0" w:val="nil"/>
          <w:left w:space="0" w:sz="0" w:val="nil"/>
          <w:bottom w:space="0" w:sz="0" w:val="nil"/>
          <w:right w:space="0" w:sz="0" w:val="nil"/>
          <w:between w:space="0" w:sz="0" w:val="nil"/>
        </w:pBdr>
        <w:tabs>
          <w:tab w:val="left" w:leader="none" w:pos="1418"/>
        </w:tabs>
        <w:spacing w:after="120" w:before="120" w:lineRule="auto"/>
        <w:ind w:left="2409.4488188976375" w:hanging="720"/>
        <w:jc w:val="left"/>
        <w:rPr/>
      </w:pPr>
      <w:r w:rsidDel="00000000" w:rsidR="00000000" w:rsidRPr="00000000">
        <w:rPr>
          <w:rtl w:val="0"/>
        </w:rPr>
        <w:t xml:space="preserve">Lot 1a: five million pounds (£5,000,000);</w:t>
      </w:r>
    </w:p>
    <w:p w:rsidR="00000000" w:rsidDel="00000000" w:rsidP="00000000" w:rsidRDefault="00000000" w:rsidRPr="00000000" w14:paraId="00000026">
      <w:pPr>
        <w:numPr>
          <w:ilvl w:val="3"/>
          <w:numId w:val="1"/>
        </w:numPr>
        <w:tabs>
          <w:tab w:val="left" w:leader="none" w:pos="1418"/>
        </w:tabs>
        <w:spacing w:after="120" w:before="120" w:lineRule="auto"/>
        <w:ind w:left="2409.4488188976375" w:hanging="720"/>
        <w:jc w:val="left"/>
      </w:pPr>
      <w:r w:rsidDel="00000000" w:rsidR="00000000" w:rsidRPr="00000000">
        <w:rPr>
          <w:rtl w:val="0"/>
        </w:rPr>
        <w:t xml:space="preserve">Lot 1b: five million pounds (£5,000,000);</w:t>
      </w:r>
    </w:p>
    <w:p w:rsidR="00000000" w:rsidDel="00000000" w:rsidP="00000000" w:rsidRDefault="00000000" w:rsidRPr="00000000" w14:paraId="00000027">
      <w:pPr>
        <w:numPr>
          <w:ilvl w:val="3"/>
          <w:numId w:val="1"/>
        </w:numPr>
        <w:tabs>
          <w:tab w:val="left" w:leader="none" w:pos="1418"/>
        </w:tabs>
        <w:spacing w:after="120" w:before="120" w:lineRule="auto"/>
        <w:ind w:left="2409.4488188976375" w:hanging="720"/>
        <w:jc w:val="left"/>
      </w:pPr>
      <w:r w:rsidDel="00000000" w:rsidR="00000000" w:rsidRPr="00000000">
        <w:rPr>
          <w:rtl w:val="0"/>
        </w:rPr>
        <w:t xml:space="preserve">Lot 1c: five million pounds (£5,000,000);</w:t>
      </w:r>
    </w:p>
    <w:p w:rsidR="00000000" w:rsidDel="00000000" w:rsidP="00000000" w:rsidRDefault="00000000" w:rsidRPr="00000000" w14:paraId="00000028">
      <w:pPr>
        <w:numPr>
          <w:ilvl w:val="3"/>
          <w:numId w:val="1"/>
        </w:numPr>
        <w:pBdr>
          <w:top w:space="0" w:sz="0" w:val="nil"/>
          <w:left w:space="0" w:sz="0" w:val="nil"/>
          <w:bottom w:space="0" w:sz="0" w:val="nil"/>
          <w:right w:space="0" w:sz="0" w:val="nil"/>
          <w:between w:space="0" w:sz="0" w:val="nil"/>
        </w:pBdr>
        <w:tabs>
          <w:tab w:val="left" w:leader="none" w:pos="1418"/>
        </w:tabs>
        <w:spacing w:after="120" w:before="120" w:lineRule="auto"/>
        <w:ind w:left="2409.4488188976375" w:hanging="720"/>
        <w:jc w:val="left"/>
        <w:rPr/>
      </w:pPr>
      <w:r w:rsidDel="00000000" w:rsidR="00000000" w:rsidRPr="00000000">
        <w:rPr>
          <w:rtl w:val="0"/>
        </w:rPr>
        <w:t xml:space="preserve">Lot 2: three million pounds (£3,000,000);</w:t>
      </w:r>
    </w:p>
    <w:p w:rsidR="00000000" w:rsidDel="00000000" w:rsidP="00000000" w:rsidRDefault="00000000" w:rsidRPr="00000000" w14:paraId="00000029">
      <w:pPr>
        <w:numPr>
          <w:ilvl w:val="3"/>
          <w:numId w:val="1"/>
        </w:numPr>
        <w:pBdr>
          <w:top w:space="0" w:sz="0" w:val="nil"/>
          <w:left w:space="0" w:sz="0" w:val="nil"/>
          <w:bottom w:space="0" w:sz="0" w:val="nil"/>
          <w:right w:space="0" w:sz="0" w:val="nil"/>
          <w:between w:space="0" w:sz="0" w:val="nil"/>
        </w:pBdr>
        <w:tabs>
          <w:tab w:val="left" w:leader="none" w:pos="1418"/>
        </w:tabs>
        <w:spacing w:after="120" w:before="120" w:lineRule="auto"/>
        <w:ind w:left="2409.4488188976375" w:hanging="720"/>
        <w:jc w:val="left"/>
        <w:rPr/>
      </w:pPr>
      <w:r w:rsidDel="00000000" w:rsidR="00000000" w:rsidRPr="00000000">
        <w:rPr>
          <w:rtl w:val="0"/>
        </w:rPr>
        <w:t xml:space="preserve">Lot 3: five million pounds (£5,000,000);</w:t>
      </w:r>
    </w:p>
    <w:p w:rsidR="00000000" w:rsidDel="00000000" w:rsidP="00000000" w:rsidRDefault="00000000" w:rsidRPr="00000000" w14:paraId="0000002A">
      <w:pPr>
        <w:numPr>
          <w:ilvl w:val="3"/>
          <w:numId w:val="1"/>
        </w:numPr>
        <w:pBdr>
          <w:top w:space="0" w:sz="0" w:val="nil"/>
          <w:left w:space="0" w:sz="0" w:val="nil"/>
          <w:bottom w:space="0" w:sz="0" w:val="nil"/>
          <w:right w:space="0" w:sz="0" w:val="nil"/>
          <w:between w:space="0" w:sz="0" w:val="nil"/>
        </w:pBdr>
        <w:tabs>
          <w:tab w:val="left" w:leader="none" w:pos="1418"/>
        </w:tabs>
        <w:spacing w:after="120" w:before="120" w:lineRule="auto"/>
        <w:ind w:left="2409.4488188976375" w:hanging="720"/>
        <w:jc w:val="left"/>
        <w:rPr/>
      </w:pPr>
      <w:r w:rsidDel="00000000" w:rsidR="00000000" w:rsidRPr="00000000">
        <w:rPr>
          <w:rtl w:val="0"/>
        </w:rPr>
        <w:t xml:space="preserve">Lot 4: five million pounds (£5,000,000);</w:t>
      </w:r>
    </w:p>
    <w:p w:rsidR="00000000" w:rsidDel="00000000" w:rsidP="00000000" w:rsidRDefault="00000000" w:rsidRPr="00000000" w14:paraId="0000002B">
      <w:pPr>
        <w:numPr>
          <w:ilvl w:val="3"/>
          <w:numId w:val="1"/>
        </w:numPr>
        <w:pBdr>
          <w:top w:space="0" w:sz="0" w:val="nil"/>
          <w:left w:space="0" w:sz="0" w:val="nil"/>
          <w:bottom w:space="0" w:sz="0" w:val="nil"/>
          <w:right w:space="0" w:sz="0" w:val="nil"/>
          <w:between w:space="0" w:sz="0" w:val="nil"/>
        </w:pBdr>
        <w:tabs>
          <w:tab w:val="left" w:leader="none" w:pos="1418"/>
        </w:tabs>
        <w:spacing w:after="120" w:before="120" w:lineRule="auto"/>
        <w:ind w:left="2409.4488188976375" w:hanging="720"/>
        <w:jc w:val="left"/>
        <w:rPr/>
      </w:pPr>
      <w:r w:rsidDel="00000000" w:rsidR="00000000" w:rsidRPr="00000000">
        <w:rPr>
          <w:rtl w:val="0"/>
        </w:rPr>
        <w:t xml:space="preserve">Lot 5: five million pounds (£5,000,000);</w:t>
      </w:r>
    </w:p>
    <w:p w:rsidR="00000000" w:rsidDel="00000000" w:rsidP="00000000" w:rsidRDefault="00000000" w:rsidRPr="00000000" w14:paraId="0000002C">
      <w:pPr>
        <w:numPr>
          <w:ilvl w:val="3"/>
          <w:numId w:val="1"/>
        </w:numPr>
        <w:pBdr>
          <w:top w:space="0" w:sz="0" w:val="nil"/>
          <w:left w:space="0" w:sz="0" w:val="nil"/>
          <w:bottom w:space="0" w:sz="0" w:val="nil"/>
          <w:right w:space="0" w:sz="0" w:val="nil"/>
          <w:between w:space="0" w:sz="0" w:val="nil"/>
        </w:pBdr>
        <w:tabs>
          <w:tab w:val="left" w:leader="none" w:pos="1418"/>
        </w:tabs>
        <w:spacing w:after="120" w:before="120" w:lineRule="auto"/>
        <w:ind w:left="2409.4488188976375" w:hanging="720"/>
        <w:jc w:val="left"/>
        <w:rPr/>
      </w:pPr>
      <w:r w:rsidDel="00000000" w:rsidR="00000000" w:rsidRPr="00000000">
        <w:rPr>
          <w:rtl w:val="0"/>
        </w:rPr>
        <w:t xml:space="preserve">Lot 6: three million pounds (£3,000,000);</w:t>
      </w:r>
    </w:p>
    <w:p w:rsidR="00000000" w:rsidDel="00000000" w:rsidP="00000000" w:rsidRDefault="00000000" w:rsidRPr="00000000" w14:paraId="0000002D">
      <w:pPr>
        <w:numPr>
          <w:ilvl w:val="1"/>
          <w:numId w:val="1"/>
        </w:numPr>
        <w:pBdr>
          <w:top w:space="0" w:sz="0" w:val="nil"/>
          <w:left w:space="0" w:sz="0" w:val="nil"/>
          <w:bottom w:space="0" w:sz="0" w:val="nil"/>
          <w:right w:space="0" w:sz="0" w:val="nil"/>
          <w:between w:space="0" w:sz="0" w:val="nil"/>
        </w:pBdr>
        <w:tabs>
          <w:tab w:val="left" w:leader="none" w:pos="1418"/>
        </w:tabs>
        <w:spacing w:after="120" w:before="120" w:lineRule="auto"/>
        <w:ind w:left="1418" w:hanging="709"/>
        <w:jc w:val="left"/>
        <w:rPr/>
      </w:pPr>
      <w:r w:rsidDel="00000000" w:rsidR="00000000" w:rsidRPr="00000000">
        <w:rPr>
          <w:rtl w:val="0"/>
        </w:rPr>
        <w:t xml:space="preserve">public liability insurance with cover (for a single event or a series of related events and in the aggregate) of not less than one million pounds (£1,000,000) for all lots; and</w:t>
      </w:r>
    </w:p>
    <w:p w:rsidR="00000000" w:rsidDel="00000000" w:rsidP="00000000" w:rsidRDefault="00000000" w:rsidRPr="00000000" w14:paraId="0000002E">
      <w:pPr>
        <w:numPr>
          <w:ilvl w:val="1"/>
          <w:numId w:val="1"/>
        </w:numPr>
        <w:pBdr>
          <w:top w:space="0" w:sz="0" w:val="nil"/>
          <w:left w:space="0" w:sz="0" w:val="nil"/>
          <w:bottom w:space="0" w:sz="0" w:val="nil"/>
          <w:right w:space="0" w:sz="0" w:val="nil"/>
          <w:between w:space="0" w:sz="0" w:val="nil"/>
        </w:pBdr>
        <w:tabs>
          <w:tab w:val="left" w:leader="none" w:pos="1418"/>
        </w:tabs>
        <w:spacing w:after="120" w:before="120" w:lineRule="auto"/>
        <w:ind w:left="1418" w:hanging="709"/>
        <w:jc w:val="left"/>
        <w:rPr/>
      </w:pPr>
      <w:r w:rsidDel="00000000" w:rsidR="00000000" w:rsidRPr="00000000">
        <w:rPr>
          <w:rtl w:val="0"/>
        </w:rPr>
        <w:t xml:space="preserve">employers’ liability insurance with cover (for a single event or a series of related events and in the aggregate) of not less than five million pounds (£5,000,000) for all lots. </w:t>
      </w:r>
    </w:p>
    <w:p w:rsidR="00000000" w:rsidDel="00000000" w:rsidP="00000000" w:rsidRDefault="00000000" w:rsidRPr="00000000" w14:paraId="0000002F">
      <w:pPr>
        <w:spacing w:after="120" w:before="120" w:lineRule="auto"/>
        <w:ind w:left="0" w:firstLine="0"/>
        <w:jc w:val="left"/>
        <w:rPr>
          <w:b w:val="1"/>
          <w:bCs w:val="1"/>
          <w:i w:val="1"/>
          <w:iCs w:val="1"/>
        </w:rPr>
      </w:pPr>
      <w:r w:rsidDel="00000000" w:rsidR="00000000" w:rsidRPr="00000000">
        <w:rPr>
          <w:rtl w:val="0"/>
        </w:rPr>
      </w:r>
    </w:p>
    <w:p w:rsidR="00000000" w:rsidDel="00000000" w:rsidP="00000000" w:rsidRDefault="00000000" w:rsidRPr="00000000" w14:paraId="00000030">
      <w:pPr>
        <w:spacing w:after="120" w:before="120" w:lineRule="auto"/>
        <w:ind w:left="720" w:firstLine="0"/>
        <w:jc w:val="left"/>
        <w:rPr/>
      </w:pPr>
      <w:r w:rsidDel="00000000" w:rsidR="00000000" w:rsidRPr="00000000">
        <w:rPr>
          <w:rtl w:val="0"/>
        </w:rPr>
      </w:r>
    </w:p>
    <w:p w:rsidR="00000000" w:rsidDel="00000000" w:rsidP="00000000" w:rsidRDefault="00000000" w:rsidRPr="00000000" w14:paraId="00000031">
      <w:pPr>
        <w:spacing w:after="120" w:before="120" w:lineRule="auto"/>
        <w:jc w:val="left"/>
        <w:rPr/>
      </w:pPr>
      <w:r w:rsidDel="00000000" w:rsidR="00000000" w:rsidRPr="00000000">
        <w:rPr>
          <w:rtl w:val="0"/>
        </w:rPr>
      </w:r>
    </w:p>
    <w:p w:rsidR="00000000" w:rsidDel="00000000" w:rsidP="00000000" w:rsidRDefault="00000000" w:rsidRPr="00000000" w14:paraId="00000032">
      <w:pPr>
        <w:spacing w:after="120" w:before="120" w:lineRule="auto"/>
        <w:jc w:val="left"/>
        <w:rPr/>
      </w:pPr>
      <w:r w:rsidDel="00000000" w:rsidR="00000000" w:rsidRPr="00000000">
        <w:rPr>
          <w:rtl w:val="0"/>
        </w:rPr>
      </w:r>
    </w:p>
    <w:bookmarkStart w:colFirst="0" w:colLast="0" w:name="bookmark=id.3znysh7" w:id="4"/>
    <w:bookmarkEnd w:id="4"/>
    <w:p w:rsidR="00000000" w:rsidDel="00000000" w:rsidP="00000000" w:rsidRDefault="00000000" w:rsidRPr="00000000" w14:paraId="00000033">
      <w:pPr>
        <w:spacing w:after="120" w:before="120" w:lineRule="auto"/>
        <w:rPr/>
      </w:pPr>
      <w:bookmarkStart w:colFirst="0" w:colLast="0" w:name="_heading=h.1fob9te" w:id="5"/>
      <w:bookmarkEnd w:id="5"/>
      <w:r w:rsidDel="00000000" w:rsidR="00000000" w:rsidRPr="00000000">
        <w:rPr>
          <w:rtl w:val="0"/>
        </w:rPr>
      </w:r>
    </w:p>
    <w:p w:rsidR="00000000" w:rsidDel="00000000" w:rsidP="00000000" w:rsidRDefault="00000000" w:rsidRPr="00000000" w14:paraId="00000034">
      <w:pPr>
        <w:spacing w:after="120" w:before="120" w:lineRule="auto"/>
        <w:rPr/>
      </w:pPr>
      <w:r w:rsidDel="00000000" w:rsidR="00000000" w:rsidRPr="00000000">
        <w:rPr>
          <w:rtl w:val="0"/>
        </w:rPr>
      </w:r>
    </w:p>
    <w:p w:rsidR="00000000" w:rsidDel="00000000" w:rsidP="00000000" w:rsidRDefault="00000000" w:rsidRPr="00000000" w14:paraId="00000035">
      <w:pPr>
        <w:spacing w:after="120" w:before="120" w:lineRule="auto"/>
        <w:rPr/>
      </w:pPr>
      <w:r w:rsidDel="00000000" w:rsidR="00000000" w:rsidRPr="00000000">
        <w:rPr>
          <w:rtl w:val="0"/>
        </w:rPr>
      </w:r>
    </w:p>
    <w:sectPr>
      <w:headerReference r:id="rId7" w:type="default"/>
      <w:footerReference r:id="rId8"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003A">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Project Version: v1.0</w:t>
      <w:tab/>
      <w:tab/>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Model Version: v1.</w:t>
    </w:r>
    <w:r w:rsidDel="00000000" w:rsidR="00000000" w:rsidRPr="00000000">
      <w:rPr>
        <w:sz w:val="20"/>
        <w:szCs w:val="20"/>
        <w:rtl w:val="0"/>
      </w:rPr>
      <w:t xml:space="preserve">1</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Joint Schedule 3 (Insurance Requirements)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Crown Copyright 2025</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4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1391" w:hanging="360"/>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602" w:hanging="720"/>
      </w:pPr>
      <w:rPr>
        <w:rFonts w:ascii="Calibri" w:cs="Calibri" w:eastAsia="Calibri" w:hAnsi="Calibri"/>
        <w:b w:val="0"/>
        <w:bCs w:val="0"/>
        <w:i w:val="0"/>
        <w:iCs w:val="0"/>
        <w:smallCaps w:val="0"/>
        <w:strike w:val="0"/>
        <w:color w:val="000000"/>
        <w:sz w:val="22"/>
        <w:szCs w:val="22"/>
        <w:u w:val="none"/>
        <w:vertAlign w:val="baseline"/>
      </w:rPr>
    </w:lvl>
    <w:lvl w:ilvl="3">
      <w:start w:val="1"/>
      <w:numFmt w:val="lowerLetter"/>
      <w:lvlText w:val="(%4)"/>
      <w:lvlJc w:val="left"/>
      <w:pPr>
        <w:ind w:left="2409.4488188976375"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1620" w:hanging="1080"/>
      </w:pPr>
      <w:rPr>
        <w:b w:val="0"/>
        <w:bCs w:val="0"/>
        <w:i w:val="0"/>
        <w:iCs w:val="0"/>
        <w:smallCaps w:val="0"/>
        <w:strike w:val="0"/>
        <w:color w:val="000000"/>
        <w:u w:val="none"/>
        <w:vertAlign w:val="baseline"/>
      </w:rPr>
    </w:lvl>
    <w:lvl w:ilvl="5">
      <w:start w:val="1"/>
      <w:numFmt w:val="upperLetter"/>
      <w:lvlText w:val="(%6)"/>
      <w:lvlJc w:val="left"/>
      <w:pPr>
        <w:ind w:left="1620" w:hanging="1080"/>
      </w:pPr>
      <w:rPr>
        <w:b w:val="0"/>
        <w:bCs w:val="0"/>
        <w:i w:val="0"/>
        <w:iCs w:val="0"/>
        <w:smallCaps w:val="0"/>
        <w:strike w:val="0"/>
        <w:color w:val="000000"/>
        <w:u w:val="none"/>
        <w:vertAlign w:val="baseline"/>
      </w:rPr>
    </w:lvl>
    <w:lvl w:ilvl="6">
      <w:start w:val="1"/>
      <w:numFmt w:val="decimal"/>
      <w:lvlText w:val="%1.%2.%3.%4.%5.%6.%7"/>
      <w:lvlJc w:val="left"/>
      <w:pPr>
        <w:ind w:left="1980" w:hanging="1440"/>
      </w:pPr>
      <w:rPr/>
    </w:lvl>
    <w:lvl w:ilvl="7">
      <w:start w:val="1"/>
      <w:numFmt w:val="decimal"/>
      <w:lvlText w:val="%1.%2.%3.%4.%5.%6.%7.%8"/>
      <w:lvlJc w:val="left"/>
      <w:pPr>
        <w:ind w:left="1980" w:hanging="1440"/>
      </w:pPr>
      <w:rPr/>
    </w:lvl>
    <w:lvl w:ilvl="8">
      <w:start w:val="1"/>
      <w:numFmt w:val="decimal"/>
      <w:lvlText w:val="%1.%2.%3.%4.%5.%6.%7.%8.%9"/>
      <w:lvlJc w:val="left"/>
      <w:pPr>
        <w:ind w:left="2340" w:hanging="1800"/>
      </w:pPr>
      <w:rPr/>
    </w:lvl>
  </w:abstractNum>
  <w:abstractNum w:abstractNumId="2">
    <w:lvl w:ilvl="0">
      <w:start w:val="1"/>
      <w:numFmt w:val="decimal"/>
      <w:lvlText w:val="%1."/>
      <w:lvlJc w:val="left"/>
      <w:pPr>
        <w:ind w:left="54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1391" w:hanging="360"/>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602"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3027"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1620" w:hanging="1080"/>
      </w:pPr>
      <w:rPr>
        <w:b w:val="0"/>
        <w:bCs w:val="0"/>
        <w:i w:val="0"/>
        <w:iCs w:val="0"/>
        <w:smallCaps w:val="0"/>
        <w:strike w:val="0"/>
        <w:color w:val="000000"/>
        <w:u w:val="none"/>
        <w:vertAlign w:val="baseline"/>
      </w:rPr>
    </w:lvl>
    <w:lvl w:ilvl="5">
      <w:start w:val="1"/>
      <w:numFmt w:val="upperLetter"/>
      <w:lvlText w:val="(%6)"/>
      <w:lvlJc w:val="left"/>
      <w:pPr>
        <w:ind w:left="1620" w:hanging="1080"/>
      </w:pPr>
      <w:rPr>
        <w:b w:val="0"/>
        <w:bCs w:val="0"/>
        <w:i w:val="0"/>
        <w:iCs w:val="0"/>
        <w:smallCaps w:val="0"/>
        <w:strike w:val="0"/>
        <w:color w:val="000000"/>
        <w:u w:val="none"/>
        <w:vertAlign w:val="baseline"/>
      </w:rPr>
    </w:lvl>
    <w:lvl w:ilvl="6">
      <w:start w:val="1"/>
      <w:numFmt w:val="decimal"/>
      <w:lvlText w:val="%1.%2.%3.%4.%5.%6.%7"/>
      <w:lvlJc w:val="left"/>
      <w:pPr>
        <w:ind w:left="1980" w:hanging="1440"/>
      </w:pPr>
      <w:rPr/>
    </w:lvl>
    <w:lvl w:ilvl="7">
      <w:start w:val="1"/>
      <w:numFmt w:val="decimal"/>
      <w:lvlText w:val="%1.%2.%3.%4.%5.%6.%7.%8"/>
      <w:lvlJc w:val="left"/>
      <w:pPr>
        <w:ind w:left="1980" w:hanging="1440"/>
      </w:pPr>
      <w:rPr/>
    </w:lvl>
    <w:lvl w:ilvl="8">
      <w:start w:val="1"/>
      <w:numFmt w:val="decimal"/>
      <w:lvlText w:val="%1.%2.%3.%4.%5.%6.%7.%8.%9"/>
      <w:lvlJc w:val="left"/>
      <w:pPr>
        <w:ind w:left="2340" w:hanging="180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4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GPSL1SCHEDULEHeading" w:customStyle="1">
    <w:name w:val="GPS L1 SCHEDULE Heading"/>
    <w:basedOn w:val="GPSL1CLAUSEHEADING"/>
    <w:link w:val="GPSL1SCHEDULEHeadingChar"/>
    <w:qFormat w:val="1"/>
    <w:pPr>
      <w:tabs>
        <w:tab w:val="clear" w:pos="142"/>
      </w:tabs>
      <w:ind w:left="360"/>
      <w:outlineLvl w:val="9"/>
    </w:pPr>
  </w:style>
  <w:style w:type="character" w:styleId="Hyperlink">
    <w:name w:val="Hyperlink"/>
    <w:basedOn w:val="DefaultParagraphFont"/>
    <w:uiPriority w:val="99"/>
    <w:unhideWhenUsed w:val="1"/>
    <w:rsid w:val="007172FD"/>
    <w:rPr>
      <w:color w:val="0000ff" w:themeColor="hyperlink"/>
      <w:u w:val="single"/>
    </w:rPr>
  </w:style>
  <w:style w:type="paragraph" w:styleId="11table" w:customStyle="1">
    <w:name w:val="1.1 table"/>
    <w:basedOn w:val="Normal"/>
    <w:qFormat w:val="1"/>
    <w:pPr>
      <w:numPr>
        <w:numId w:val="3"/>
      </w:numPr>
      <w:overflowPunct w:val="1"/>
      <w:autoSpaceDE w:val="1"/>
      <w:adjustRightInd w:val="1"/>
      <w:spacing w:after="0"/>
      <w:jc w:val="left"/>
      <w:textAlignment w:val="auto"/>
    </w:pPr>
    <w:rPr>
      <w:rFonts w:cs="Times New Roman" w:eastAsia="STZhongsong"/>
      <w:b w:val="1"/>
      <w:lang w:eastAsia="zh-CN"/>
    </w:rPr>
  </w:style>
  <w:style w:type="character" w:styleId="BalloonTextChar" w:customStyle="1">
    <w:name w:val="Balloon Text Char"/>
    <w:basedOn w:val="DefaultParagraphFont"/>
    <w:link w:val="BalloonText"/>
    <w:uiPriority w:val="99"/>
    <w:semiHidden w:val="1"/>
    <w:rPr>
      <w:rFonts w:ascii="Tahoma" w:cs="Tahoma" w:eastAsia="Times New Roman" w:hAnsi="Tahoma"/>
      <w:sz w:val="16"/>
      <w:szCs w:val="16"/>
    </w:rPr>
  </w:style>
  <w:style w:type="paragraph" w:styleId="Header">
    <w:name w:val="header"/>
    <w:basedOn w:val="Normal"/>
    <w:link w:val="HeaderChar"/>
    <w:uiPriority w:val="99"/>
    <w:unhideWhenUsed w:val="1"/>
    <w:pPr>
      <w:tabs>
        <w:tab w:val="center" w:pos="4513"/>
        <w:tab w:val="right" w:pos="9026"/>
      </w:tabs>
      <w:spacing w:after="0"/>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pPr>
  </w:style>
  <w:style w:type="character" w:styleId="FooterChar" w:customStyle="1">
    <w:name w:val="Footer Char"/>
    <w:basedOn w:val="DefaultParagraphFont"/>
    <w:link w:val="Footer"/>
    <w:uiPriority w:val="99"/>
  </w:style>
  <w:style w:type="paragraph" w:styleId="AnnextoPart" w:customStyle="1">
    <w:name w:val="Annex to Part"/>
    <w:basedOn w:val="PartHeading"/>
    <w:rsid w:val="000A68B8"/>
    <w:pPr>
      <w:numPr>
        <w:ilvl w:val="1"/>
      </w:numPr>
      <w:tabs>
        <w:tab w:val="num" w:pos="720"/>
      </w:tabs>
      <w:ind w:left="720" w:hanging="720"/>
    </w:pPr>
    <w:rPr>
      <w:caps w:val="0"/>
    </w:rPr>
  </w:style>
  <w:style w:type="character" w:styleId="CommentReference">
    <w:name w:val="annotation reference"/>
    <w:basedOn w:val="DefaultParagraphFont"/>
    <w:unhideWhenUsed w:val="1"/>
    <w:rPr>
      <w:sz w:val="16"/>
      <w:szCs w:val="16"/>
    </w:rPr>
  </w:style>
  <w:style w:type="character" w:styleId="Emphasis">
    <w:name w:val="Emphasis"/>
    <w:basedOn w:val="DefaultParagraphFont"/>
    <w:rPr>
      <w:i w:val="1"/>
      <w:iCs w:val="1"/>
    </w:rPr>
  </w:style>
  <w:style w:type="paragraph" w:styleId="AppendixText6" w:customStyle="1">
    <w:name w:val="Appendix Text 6"/>
    <w:basedOn w:val="AppendixText5"/>
    <w:rsid w:val="000A68B8"/>
    <w:pPr>
      <w:numPr>
        <w:ilvl w:val="5"/>
      </w:numPr>
    </w:pPr>
  </w:style>
  <w:style w:type="character" w:styleId="GPSSchTitleandNumberChar" w:customStyle="1">
    <w:name w:val="GPS Sch Title and Number Char"/>
    <w:link w:val="GPSSchTitleandNumber"/>
    <w:locked w:val="1"/>
    <w:rPr>
      <w:rFonts w:ascii="Arial Bold" w:cs="Times New Roman" w:eastAsia="STZhongsong" w:hAnsi="Arial Bold"/>
      <w:b w:val="1"/>
      <w:caps w:val="1"/>
      <w:lang w:eastAsia="zh-CN"/>
    </w:rPr>
  </w:style>
  <w:style w:type="paragraph" w:styleId="GPSL1CLAUSEHEADING" w:customStyle="1">
    <w:name w:val="GPS L1 CLAUSE HEADING"/>
    <w:basedOn w:val="Normal"/>
    <w:next w:val="Normal"/>
    <w:qFormat w:val="1"/>
    <w:pPr>
      <w:numPr>
        <w:numId w:val="1"/>
      </w:numPr>
      <w:tabs>
        <w:tab w:val="left" w:pos="142"/>
      </w:tabs>
      <w:overflowPunct w:val="1"/>
      <w:autoSpaceDE w:val="1"/>
      <w:autoSpaceDN w:val="1"/>
      <w:spacing w:before="120"/>
      <w:textAlignment w:val="auto"/>
      <w:outlineLvl w:val="1"/>
    </w:pPr>
    <w:rPr>
      <w:rFonts w:eastAsia="STZhongsong"/>
      <w:b w:val="1"/>
      <w:caps w:val="1"/>
      <w:lang w:eastAsia="zh-CN"/>
    </w:rPr>
  </w:style>
  <w:style w:type="paragraph" w:styleId="ScheduleText4" w:customStyle="1">
    <w:name w:val="Schedule Text 4"/>
    <w:basedOn w:val="Normal"/>
    <w:next w:val="Normal"/>
    <w:rsid w:val="00FF2902"/>
    <w:pPr>
      <w:tabs>
        <w:tab w:val="left" w:pos="720"/>
        <w:tab w:val="left" w:pos="1803"/>
        <w:tab w:val="num" w:pos="2880"/>
      </w:tabs>
      <w:overflowPunct w:val="1"/>
      <w:autoSpaceDE w:val="1"/>
      <w:autoSpaceDN w:val="1"/>
      <w:adjustRightInd w:val="1"/>
      <w:spacing w:after="200" w:before="100"/>
      <w:ind w:left="2880" w:hanging="720"/>
      <w:jc w:val="left"/>
      <w:textAlignment w:val="auto"/>
    </w:pPr>
    <w:rPr>
      <w:rFonts w:cs="Times New Roman"/>
    </w:rPr>
  </w:style>
  <w:style w:type="character" w:styleId="GPSL1SCHEDULEHeadingChar" w:customStyle="1">
    <w:name w:val="GPS L1 SCHEDULE Heading Char"/>
    <w:link w:val="GPSL1SCHEDULEHeading"/>
    <w:locked w:val="1"/>
    <w:rPr>
      <w:rFonts w:ascii="Calibri" w:cs="Arial" w:eastAsia="STZhongsong" w:hAnsi="Calibri"/>
      <w:b w:val="1"/>
      <w:caps w:val="1"/>
      <w:lang w:eastAsia="zh-CN"/>
    </w:rPr>
  </w:style>
  <w:style w:type="paragraph" w:styleId="GPSL3numberedclause" w:customStyle="1">
    <w:name w:val="GPS L3 numbered clause"/>
    <w:basedOn w:val="Normal"/>
    <w:link w:val="GPSL3numberedclauseChar"/>
    <w:qFormat w:val="1"/>
    <w:pPr>
      <w:numPr>
        <w:ilvl w:val="2"/>
        <w:numId w:val="1"/>
      </w:numPr>
      <w:overflowPunct w:val="1"/>
      <w:autoSpaceDE w:val="1"/>
      <w:autoSpaceDN w:val="1"/>
      <w:spacing w:after="120" w:before="120"/>
      <w:ind w:left="1656"/>
      <w:textAlignment w:val="auto"/>
    </w:pPr>
    <w:rPr>
      <w:lang w:eastAsia="zh-CN"/>
    </w:rPr>
  </w:style>
  <w:style w:type="paragraph" w:styleId="GPSL4numberedclause" w:customStyle="1">
    <w:name w:val="GPS L4 numbered clause"/>
    <w:basedOn w:val="GPSL3numberedclause"/>
    <w:link w:val="GPSL4numberedclauseChar"/>
    <w:qFormat w:val="1"/>
    <w:pPr>
      <w:numPr>
        <w:ilvl w:val="3"/>
      </w:numPr>
      <w:tabs>
        <w:tab w:val="left" w:pos="2552"/>
      </w:tabs>
    </w:pPr>
  </w:style>
  <w:style w:type="paragraph" w:styleId="Revision">
    <w:name w:val="Revision"/>
    <w:hidden w:val="1"/>
    <w:uiPriority w:val="99"/>
    <w:semiHidden w:val="1"/>
    <w:pPr>
      <w:spacing w:after="0"/>
    </w:pPr>
    <w:rPr>
      <w:rFonts w:cs="Arial" w:eastAsia="Times New Roman"/>
    </w:rPr>
  </w:style>
  <w:style w:type="character" w:styleId="GPSL4numberedclauseChar" w:customStyle="1">
    <w:name w:val="GPS L4 numbered clause Char"/>
    <w:link w:val="GPSL4numberedclause"/>
    <w:locked w:val="1"/>
    <w:rPr>
      <w:rFonts w:ascii="Calibri" w:cs="Arial" w:eastAsia="Times New Roman" w:hAnsi="Calibri"/>
      <w:lang w:eastAsia="zh-CN"/>
    </w:rPr>
  </w:style>
  <w:style w:type="paragraph" w:styleId="GPSL5numberedclause" w:customStyle="1">
    <w:name w:val="GPS L5 numbered clause"/>
    <w:basedOn w:val="GPSL4numberedclause"/>
    <w:qFormat w:val="1"/>
    <w:pPr>
      <w:numPr>
        <w:ilvl w:val="4"/>
      </w:numPr>
      <w:tabs>
        <w:tab w:val="num" w:pos="360"/>
        <w:tab w:val="left" w:pos="3119"/>
      </w:tabs>
      <w:ind w:left="3119" w:hanging="567"/>
    </w:pPr>
  </w:style>
  <w:style w:type="paragraph" w:styleId="GPSL2NumberedBoldHeading" w:customStyle="1">
    <w:name w:val="GPS L2 Numbered Bold Heading"/>
    <w:basedOn w:val="Normal"/>
    <w:qFormat w:val="1"/>
    <w:pPr>
      <w:numPr>
        <w:ilvl w:val="1"/>
        <w:numId w:val="1"/>
      </w:numPr>
      <w:tabs>
        <w:tab w:val="left" w:pos="1134"/>
      </w:tabs>
      <w:overflowPunct w:val="1"/>
      <w:autoSpaceDE w:val="1"/>
      <w:autoSpaceDN w:val="1"/>
      <w:spacing w:after="120" w:before="120"/>
      <w:textAlignment w:val="auto"/>
    </w:pPr>
    <w:rPr>
      <w:b w:val="1"/>
      <w:lang w:eastAsia="zh-CN"/>
    </w:rPr>
  </w:style>
  <w:style w:type="paragraph" w:styleId="GPSL6numbered" w:customStyle="1">
    <w:name w:val="GPS L6 numbered"/>
    <w:basedOn w:val="GPSL5numberedclause"/>
    <w:qFormat w:val="1"/>
    <w:pPr>
      <w:numPr>
        <w:ilvl w:val="5"/>
      </w:numPr>
      <w:tabs>
        <w:tab w:val="num" w:pos="360"/>
        <w:tab w:val="left" w:pos="3686"/>
      </w:tabs>
      <w:ind w:left="3686" w:hanging="567"/>
    </w:pPr>
  </w:style>
  <w:style w:type="paragraph" w:styleId="AnnexHeading" w:customStyle="1">
    <w:name w:val="Annex Heading"/>
    <w:basedOn w:val="Normal"/>
    <w:next w:val="Normal"/>
    <w:rsid w:val="000A68B8"/>
    <w:pPr>
      <w:numPr>
        <w:numId w:val="4"/>
      </w:numPr>
      <w:overflowPunct w:val="1"/>
      <w:autoSpaceDE w:val="1"/>
      <w:autoSpaceDN w:val="1"/>
      <w:adjustRightInd w:val="1"/>
      <w:spacing w:after="300" w:before="100"/>
      <w:jc w:val="center"/>
      <w:textAlignment w:val="auto"/>
    </w:pPr>
    <w:rPr>
      <w:rFonts w:ascii="Arial Bold" w:cs="Times New Roman" w:hAnsi="Arial Bold"/>
      <w:b w:val="1"/>
      <w:caps w:val="1"/>
    </w:rPr>
  </w:style>
  <w:style w:type="character" w:styleId="GPSL3numberedclauseChar" w:customStyle="1">
    <w:name w:val="GPS L3 numbered clause Char"/>
    <w:link w:val="GPSL3numberedclause"/>
    <w:locked w:val="1"/>
    <w:rPr>
      <w:rFonts w:ascii="Calibri" w:cs="Arial" w:eastAsia="Times New Roman" w:hAnsi="Calibri"/>
      <w:lang w:eastAsia="zh-CN"/>
    </w:rPr>
  </w:style>
  <w:style w:type="character" w:styleId="UnresolvedMention" w:customStyle="1">
    <w:name w:val="Unresolved Mention"/>
    <w:basedOn w:val="DefaultParagraphFont"/>
    <w:uiPriority w:val="99"/>
    <w:semiHidden w:val="1"/>
    <w:unhideWhenUsed w:val="1"/>
    <w:rsid w:val="007172FD"/>
    <w:rPr>
      <w:color w:val="605e5c"/>
      <w:shd w:color="auto" w:fill="e1dfdd" w:val="clear"/>
    </w:rPr>
  </w:style>
  <w:style w:type="paragraph" w:styleId="GPSmacrorestart" w:customStyle="1">
    <w:name w:val="GPS macro restart"/>
    <w:basedOn w:val="Normal"/>
    <w:qFormat w:val="1"/>
    <w:pPr>
      <w:spacing w:after="0"/>
    </w:pPr>
    <w:rPr>
      <w:color w:val="ffffff"/>
      <w:sz w:val="16"/>
      <w:szCs w:val="16"/>
    </w:rPr>
  </w:style>
  <w:style w:type="paragraph" w:styleId="GPSSchTitleandNumber" w:customStyle="1">
    <w:name w:val="GPS Sch Title and Number"/>
    <w:basedOn w:val="Normal"/>
    <w:link w:val="GPSSchTitleandNumberChar"/>
    <w:qFormat w:val="1"/>
    <w:pPr>
      <w:keepNext w:val="1"/>
      <w:overflowPunct w:val="1"/>
      <w:autoSpaceDE w:val="1"/>
      <w:autoSpaceDN w:val="1"/>
      <w:ind w:firstLine="426"/>
      <w:jc w:val="center"/>
      <w:textAlignment w:val="auto"/>
      <w:outlineLvl w:val="0"/>
    </w:pPr>
    <w:rPr>
      <w:rFonts w:ascii="Arial Bold" w:cs="Times New Roman" w:eastAsia="STZhongsong" w:hAnsi="Arial Bold"/>
      <w:b w:val="1"/>
      <w:caps w:val="1"/>
      <w:lang w:eastAsia="zh-CN"/>
    </w:rPr>
  </w:style>
  <w:style w:type="paragraph" w:styleId="GPSL2Numbered" w:customStyle="1">
    <w:name w:val="GPS L2 Numbered"/>
    <w:basedOn w:val="GPSL2NumberedBoldHeading"/>
    <w:link w:val="GPSL2NumberedChar"/>
    <w:qFormat w:val="1"/>
    <w:pPr>
      <w:tabs>
        <w:tab w:val="clear" w:pos="1134"/>
      </w:tabs>
      <w:ind w:left="936" w:hanging="576"/>
    </w:pPr>
    <w:rPr>
      <w:b w:val="0"/>
    </w:rPr>
  </w:style>
  <w:style w:type="character" w:styleId="GPSL2NumberedChar" w:customStyle="1">
    <w:name w:val="GPS L2 Numbered Char"/>
    <w:link w:val="GPSL2Numbered"/>
    <w:locked w:val="1"/>
    <w:rPr>
      <w:rFonts w:ascii="Calibri" w:cs="Arial" w:eastAsia="Times New Roman" w:hAnsi="Calibri"/>
      <w:lang w:eastAsia="zh-CN"/>
    </w:rPr>
  </w:style>
  <w:style w:type="paragraph" w:styleId="BalloonText">
    <w:name w:val="Balloon Text"/>
    <w:basedOn w:val="Normal"/>
    <w:link w:val="BalloonTextChar"/>
    <w:uiPriority w:val="99"/>
    <w:semiHidden w:val="1"/>
    <w:unhideWhenUsed w:val="1"/>
    <w:pPr>
      <w:spacing w:after="0"/>
    </w:pPr>
    <w:rPr>
      <w:rFonts w:ascii="Tahoma" w:cs="Tahoma" w:hAnsi="Tahoma"/>
      <w:sz w:val="16"/>
      <w:szCs w:val="16"/>
    </w:rPr>
  </w:style>
  <w:style w:type="table" w:styleId="TableGrid">
    <w:name w:val="Table Grid"/>
    <w:basedOn w:val="TableNormal"/>
    <w:uiPriority w:val="59"/>
    <w:pPr>
      <w:spacing w:after="0"/>
    </w:pPr>
    <w:rPr>
      <w:rFonts w:cs="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ommentText">
    <w:name w:val="annotation text"/>
    <w:basedOn w:val="Normal"/>
    <w:link w:val="CommentTextChar"/>
    <w:unhideWhenUsed w:val="1"/>
    <w:rPr>
      <w:sz w:val="20"/>
      <w:szCs w:val="20"/>
    </w:rPr>
  </w:style>
  <w:style w:type="character" w:styleId="CommentTextChar" w:customStyle="1">
    <w:name w:val="Comment Text Char"/>
    <w:basedOn w:val="DefaultParagraphFont"/>
    <w:link w:val="CommentText"/>
    <w:uiPriority w:val="99"/>
    <w:semiHidden w:val="1"/>
    <w:rPr>
      <w:rFonts w:ascii="Calibri" w:cs="Arial" w:eastAsia="Times New Roman" w:hAnsi="Calibri"/>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paragraph" w:styleId="ScheduleText7" w:customStyle="1">
    <w:name w:val="Schedule Text 7"/>
    <w:basedOn w:val="ScheduleText6"/>
    <w:rsid w:val="00FF2902"/>
    <w:pPr>
      <w:numPr>
        <w:ilvl w:val="6"/>
      </w:numPr>
      <w:tabs>
        <w:tab w:val="num" w:pos="3600"/>
      </w:tabs>
      <w:ind w:left="3600" w:hanging="720"/>
    </w:pPr>
  </w:style>
  <w:style w:type="character" w:styleId="CommentSubjectChar" w:customStyle="1">
    <w:name w:val="Comment Subject Char"/>
    <w:basedOn w:val="CommentTextChar"/>
    <w:link w:val="CommentSubject"/>
    <w:uiPriority w:val="99"/>
    <w:semiHidden w:val="1"/>
    <w:rPr>
      <w:rFonts w:ascii="Calibri" w:cs="Arial" w:eastAsia="Times New Roman" w:hAnsi="Calibri"/>
      <w:b w:val="1"/>
      <w:bCs w:val="1"/>
      <w:sz w:val="20"/>
      <w:szCs w:val="20"/>
    </w:rPr>
  </w:style>
  <w:style w:type="numbering" w:styleId="LFO9" w:customStyle="1">
    <w:name w:val="LFO9"/>
    <w:basedOn w:val="NoList"/>
  </w:style>
  <w:style w:type="paragraph" w:styleId="AppendixText1" w:customStyle="1">
    <w:name w:val="Appendix Text 1"/>
    <w:basedOn w:val="Normal"/>
    <w:next w:val="Normal"/>
    <w:rsid w:val="000A68B8"/>
    <w:pPr>
      <w:numPr>
        <w:numId w:val="5"/>
      </w:numPr>
      <w:overflowPunct w:val="1"/>
      <w:autoSpaceDE w:val="1"/>
      <w:autoSpaceDN w:val="1"/>
      <w:adjustRightInd w:val="1"/>
      <w:spacing w:after="200" w:before="100"/>
      <w:jc w:val="left"/>
      <w:textAlignment w:val="auto"/>
    </w:pPr>
    <w:rPr>
      <w:rFonts w:cs="Times New Roman"/>
      <w:b w:val="1"/>
    </w:rPr>
  </w:style>
  <w:style w:type="paragraph" w:styleId="AppendixText2" w:customStyle="1">
    <w:name w:val="Appendix Text 2"/>
    <w:basedOn w:val="AppendixText1"/>
    <w:next w:val="Normal"/>
    <w:rsid w:val="000A68B8"/>
    <w:pPr>
      <w:numPr>
        <w:ilvl w:val="1"/>
      </w:numPr>
    </w:pPr>
    <w:rPr>
      <w:b w:val="0"/>
    </w:rPr>
  </w:style>
  <w:style w:type="paragraph" w:styleId="AppendixText3" w:customStyle="1">
    <w:name w:val="Appendix Text 3"/>
    <w:basedOn w:val="Normal"/>
    <w:next w:val="Normal"/>
    <w:rsid w:val="000A68B8"/>
    <w:pPr>
      <w:numPr>
        <w:ilvl w:val="2"/>
        <w:numId w:val="5"/>
      </w:numPr>
      <w:tabs>
        <w:tab w:val="left" w:pos="720"/>
        <w:tab w:val="left" w:pos="1803"/>
      </w:tabs>
      <w:overflowPunct w:val="1"/>
      <w:autoSpaceDE w:val="1"/>
      <w:autoSpaceDN w:val="1"/>
      <w:adjustRightInd w:val="1"/>
      <w:spacing w:after="200" w:before="100"/>
      <w:jc w:val="left"/>
      <w:textAlignment w:val="auto"/>
    </w:pPr>
    <w:rPr>
      <w:rFonts w:cs="Times New Roman"/>
    </w:rPr>
  </w:style>
  <w:style w:type="paragraph" w:styleId="AppendixText4" w:customStyle="1">
    <w:name w:val="Appendix Text 4"/>
    <w:basedOn w:val="Normal"/>
    <w:next w:val="Normal"/>
    <w:rsid w:val="000A68B8"/>
    <w:pPr>
      <w:numPr>
        <w:ilvl w:val="3"/>
        <w:numId w:val="5"/>
      </w:numPr>
      <w:tabs>
        <w:tab w:val="left" w:pos="720"/>
        <w:tab w:val="left" w:pos="1803"/>
      </w:tabs>
      <w:overflowPunct w:val="1"/>
      <w:autoSpaceDE w:val="1"/>
      <w:autoSpaceDN w:val="1"/>
      <w:adjustRightInd w:val="1"/>
      <w:spacing w:after="200" w:before="100"/>
      <w:jc w:val="left"/>
      <w:textAlignment w:val="auto"/>
    </w:pPr>
    <w:rPr>
      <w:rFonts w:cs="Times New Roman"/>
    </w:rPr>
  </w:style>
  <w:style w:type="paragraph" w:styleId="AppendixText5" w:customStyle="1">
    <w:name w:val="Appendix Text 5"/>
    <w:basedOn w:val="Normal"/>
    <w:next w:val="Normal"/>
    <w:rsid w:val="000A68B8"/>
    <w:pPr>
      <w:numPr>
        <w:ilvl w:val="4"/>
        <w:numId w:val="5"/>
      </w:numPr>
      <w:tabs>
        <w:tab w:val="left" w:pos="720"/>
        <w:tab w:val="left" w:pos="2523"/>
      </w:tabs>
      <w:overflowPunct w:val="1"/>
      <w:autoSpaceDE w:val="1"/>
      <w:autoSpaceDN w:val="1"/>
      <w:adjustRightInd w:val="1"/>
      <w:spacing w:after="200" w:before="100"/>
      <w:jc w:val="left"/>
      <w:textAlignment w:val="auto"/>
    </w:pPr>
    <w:rPr>
      <w:rFonts w:cs="Times New Roman"/>
    </w:rPr>
  </w:style>
  <w:style w:type="paragraph" w:styleId="PartHeading" w:customStyle="1">
    <w:name w:val="Part Heading"/>
    <w:basedOn w:val="Normal"/>
    <w:next w:val="Normal"/>
    <w:rsid w:val="000A68B8"/>
    <w:pPr>
      <w:tabs>
        <w:tab w:val="num" w:pos="720"/>
      </w:tabs>
      <w:overflowPunct w:val="1"/>
      <w:autoSpaceDE w:val="1"/>
      <w:autoSpaceDN w:val="1"/>
      <w:adjustRightInd w:val="1"/>
      <w:spacing w:after="200" w:before="100"/>
      <w:ind w:left="720" w:hanging="720"/>
      <w:jc w:val="center"/>
      <w:textAlignment w:val="auto"/>
    </w:pPr>
    <w:rPr>
      <w:rFonts w:ascii="Arial Bold" w:cs="Times New Roman" w:hAnsi="Arial Bold"/>
      <w:b w:val="1"/>
      <w:caps w:val="1"/>
    </w:rPr>
  </w:style>
  <w:style w:type="table" w:styleId="TableGrid1" w:customStyle="1">
    <w:name w:val="Table Grid1"/>
    <w:basedOn w:val="TableNormal"/>
    <w:next w:val="TableGrid"/>
    <w:uiPriority w:val="59"/>
    <w:rsid w:val="000A68B8"/>
    <w:pPr>
      <w:spacing w:after="0"/>
      <w:jc w:val="left"/>
    </w:pPr>
    <w:rPr>
      <w:rFonts w:cs="Times New Roman" w:eastAsia="Times New Roman"/>
      <w:sz w:val="20"/>
      <w:szCs w:val="20"/>
      <w:lang w:eastAsia="en-US"/>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F231BD"/>
    <w:pPr>
      <w:ind w:left="720"/>
      <w:contextualSpacing w:val="1"/>
    </w:pPr>
  </w:style>
  <w:style w:type="table" w:styleId="a" w:customStyle="1">
    <w:basedOn w:val="TableNormal"/>
    <w:pPr>
      <w:spacing w:after="0"/>
      <w:jc w:val="left"/>
    </w:pPr>
    <w:rPr>
      <w:rFonts w:cs="Arial" w:eastAsia="Arial"/>
      <w:sz w:val="20"/>
      <w:szCs w:val="20"/>
    </w:rPr>
    <w:tblPr>
      <w:tblStyleRowBandSize w:val="1"/>
      <w:tblStyleColBandSize w:val="1"/>
    </w:tblPr>
  </w:style>
  <w:style w:type="paragraph" w:styleId="ScheduleText1" w:customStyle="1">
    <w:name w:val="Schedule Text 1"/>
    <w:basedOn w:val="Normal"/>
    <w:next w:val="Normal"/>
    <w:rsid w:val="00FF2902"/>
    <w:pPr>
      <w:tabs>
        <w:tab w:val="num" w:pos="720"/>
      </w:tabs>
      <w:overflowPunct w:val="1"/>
      <w:autoSpaceDE w:val="1"/>
      <w:autoSpaceDN w:val="1"/>
      <w:adjustRightInd w:val="1"/>
      <w:spacing w:after="200" w:before="100"/>
      <w:ind w:left="720" w:hanging="720"/>
      <w:jc w:val="left"/>
      <w:textAlignment w:val="auto"/>
    </w:pPr>
    <w:rPr>
      <w:rFonts w:cs="Times New Roman"/>
      <w:b w:val="1"/>
    </w:rPr>
  </w:style>
  <w:style w:type="paragraph" w:styleId="ScheduleText2" w:customStyle="1">
    <w:name w:val="Schedule Text 2"/>
    <w:basedOn w:val="ScheduleText1"/>
    <w:next w:val="Normal"/>
    <w:rsid w:val="00FF2902"/>
    <w:pPr>
      <w:numPr>
        <w:ilvl w:val="1"/>
      </w:numPr>
      <w:tabs>
        <w:tab w:val="num" w:pos="720"/>
      </w:tabs>
      <w:ind w:left="720" w:hanging="720"/>
    </w:pPr>
    <w:rPr>
      <w:b w:val="0"/>
    </w:rPr>
  </w:style>
  <w:style w:type="paragraph" w:styleId="ScheduleText3" w:customStyle="1">
    <w:name w:val="Schedule Text 3"/>
    <w:basedOn w:val="Normal"/>
    <w:next w:val="Normal"/>
    <w:rsid w:val="00FF2902"/>
    <w:pPr>
      <w:tabs>
        <w:tab w:val="left" w:pos="720"/>
        <w:tab w:val="left" w:pos="1803"/>
        <w:tab w:val="num" w:pos="2160"/>
      </w:tabs>
      <w:overflowPunct w:val="1"/>
      <w:autoSpaceDE w:val="1"/>
      <w:autoSpaceDN w:val="1"/>
      <w:adjustRightInd w:val="1"/>
      <w:spacing w:after="200" w:before="100"/>
      <w:ind w:left="2160" w:hanging="720"/>
      <w:jc w:val="left"/>
      <w:textAlignment w:val="auto"/>
    </w:pPr>
    <w:rPr>
      <w:rFonts w:cs="Times New Roman"/>
    </w:rPr>
  </w:style>
  <w:style w:type="paragraph" w:styleId="ScheduleText5" w:customStyle="1">
    <w:name w:val="Schedule Text 5"/>
    <w:basedOn w:val="Normal"/>
    <w:next w:val="Normal"/>
    <w:rsid w:val="00FF2902"/>
    <w:pPr>
      <w:tabs>
        <w:tab w:val="left" w:pos="720"/>
        <w:tab w:val="left" w:pos="2523"/>
        <w:tab w:val="num" w:pos="3600"/>
      </w:tabs>
      <w:overflowPunct w:val="1"/>
      <w:autoSpaceDE w:val="1"/>
      <w:autoSpaceDN w:val="1"/>
      <w:adjustRightInd w:val="1"/>
      <w:spacing w:after="200" w:before="100"/>
      <w:ind w:left="3600" w:hanging="720"/>
      <w:jc w:val="left"/>
      <w:textAlignment w:val="auto"/>
    </w:pPr>
    <w:rPr>
      <w:rFonts w:cs="Times New Roman"/>
    </w:rPr>
  </w:style>
  <w:style w:type="paragraph" w:styleId="ScheduleText6" w:customStyle="1">
    <w:name w:val="Schedule Text 6"/>
    <w:basedOn w:val="ScheduleText5"/>
    <w:rsid w:val="00FF2902"/>
    <w:pPr>
      <w:numPr>
        <w:ilvl w:val="5"/>
      </w:numPr>
      <w:tabs>
        <w:tab w:val="num" w:pos="3600"/>
      </w:tabs>
      <w:ind w:left="3600" w:hanging="720"/>
    </w:p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HgaS2lzv12nrmueAlSvsPL9bQQ==">CgMxLjAyDmguYWlpejFhYnoydjZnMghoLmdqZGd4czIJaC4zem55c2g3MgloLjMwajB6bGwyCmlkLjN6bnlzaDcyCWguMWZvYjl0ZTgAciExVXBhMlBHTXFYV0lQbG4wVFdkX3VDWXFUczV3akpnTm0=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2023-07-27T02:29:00Z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90712183-1</vt:lpwstr>
  </property>
</Properties>
</file>