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24 (Corporate Resolution Planning)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sz w:val="24"/>
                <w:szCs w:val="24"/>
                <w:rtl w:val="0"/>
              </w:rPr>
              <w:t xml:space="preserve">figures for accounting periods of other than 12 months should be scaled pro rata to produce a proforma figure for a 12 month period; and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b w:val="1"/>
                <w:sz w:val="24"/>
                <w:szCs w:val="24"/>
              </w:rPr>
            </w:pPr>
            <w:bookmarkStart w:colFirst="0" w:colLast="0" w:name="_heading=h.ihv636" w:id="1"/>
            <w:bookmarkEnd w:id="1"/>
            <w:r w:rsidDel="00000000" w:rsidR="00000000" w:rsidRPr="00000000">
              <w:rPr>
                <w:b w:val="1"/>
                <w:sz w:val="24"/>
                <w:szCs w:val="24"/>
                <w:rtl w:val="0"/>
              </w:rPr>
              <w:t xml:space="preserve">"Cabinet Office Markets and Suppliers Team"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w:t>
            </w:r>
            <w:r w:rsidDel="00000000" w:rsidR="00000000" w:rsidRPr="00000000">
              <w:rPr>
                <w:sz w:val="24"/>
                <w:szCs w:val="24"/>
                <w:rtl w:val="0"/>
              </w:rPr>
              <w:t xml:space="preserve">Controls</w:t>
            </w:r>
            <w:r w:rsidDel="00000000" w:rsidR="00000000" w:rsidRPr="00000000">
              <w:rPr>
                <w:rFonts w:ascii="Arial" w:cs="Arial" w:eastAsia="Arial" w:hAnsi="Arial"/>
                <w:sz w:val="24"/>
                <w:szCs w:val="24"/>
                <w:rtl w:val="0"/>
              </w:rPr>
              <w:t xml:space="preserve">” and “</w:t>
            </w:r>
            <w:r w:rsidDel="00000000" w:rsidR="00000000" w:rsidRPr="00000000">
              <w:rPr>
                <w:sz w:val="24"/>
                <w:szCs w:val="24"/>
                <w:rtl w:val="0"/>
              </w:rPr>
              <w:t xml:space="preserve">Controlled</w:t>
            </w:r>
            <w:r w:rsidDel="00000000" w:rsidR="00000000" w:rsidRPr="00000000">
              <w:rPr>
                <w:rFonts w:ascii="Arial" w:cs="Arial" w:eastAsia="Arial" w:hAnsi="Arial"/>
                <w:sz w:val="24"/>
                <w:szCs w:val="24"/>
                <w:rtl w:val="0"/>
              </w:rPr>
              <w:t xml:space="preserve">” shall be interpreted accordingly;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"Corporate Change Event Grace Period"</w:t>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a grace period agreed to by the </w:t>
            </w:r>
            <w:r w:rsidDel="00000000" w:rsidR="00000000" w:rsidRPr="00000000">
              <w:rPr>
                <w:rFonts w:ascii="Arial" w:cs="Arial" w:eastAsia="Arial" w:hAnsi="Arial"/>
                <w:sz w:val="24"/>
                <w:szCs w:val="24"/>
                <w:rtl w:val="0"/>
              </w:rPr>
              <w:t xml:space="preserve">Appropriate Authority</w:t>
            </w:r>
            <w:r w:rsidDel="00000000" w:rsidR="00000000" w:rsidRPr="00000000">
              <w:rPr>
                <w:sz w:val="24"/>
                <w:szCs w:val="24"/>
                <w:rtl w:val="0"/>
              </w:rPr>
              <w:t xml:space="preserve"> for providing CRP Information and/or updates to Business  Continuity Plan after a Corporate Change Event</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"Corporate Resolvability Assessment (Structural Review)"</w:t>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part of the CRP Information relating to the Supplier Group to be provided by the Supplier in accordance with Paragraph 3 and Annex 2 of this Schedule;</w:t>
            </w:r>
            <w:r w:rsidDel="00000000" w:rsidR="00000000" w:rsidRPr="00000000">
              <w:rPr>
                <w:rtl w:val="0"/>
              </w:rPr>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overall status of the Services provided under the Contract as determined by the Buyer and specified in Paragraph 2 of this Schedule;</w:t>
            </w:r>
          </w:p>
        </w:tc>
      </w:tr>
      <w:tr>
        <w:trPr>
          <w:cantSplit w:val="0"/>
          <w:trHeight w:val="2958.0078125"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w:t>
            </w:r>
            <w:r w:rsidDel="00000000" w:rsidR="00000000" w:rsidRPr="00000000">
              <w:rPr>
                <w:sz w:val="24"/>
                <w:szCs w:val="24"/>
                <w:rtl w:val="0"/>
              </w:rPr>
              <w:t xml:space="preserve">eans</w:t>
            </w:r>
            <w:r w:rsidDel="00000000" w:rsidR="00000000" w:rsidRPr="00000000">
              <w:rPr>
                <w:rFonts w:ascii="Arial" w:cs="Arial" w:eastAsia="Arial" w:hAnsi="Arial"/>
                <w:sz w:val="24"/>
                <w:szCs w:val="24"/>
                <w:rtl w:val="0"/>
              </w:rPr>
              <w:t xml:space="preserve"> the corporate resolution planning information</w:t>
            </w:r>
            <w:r w:rsidDel="00000000" w:rsidR="00000000" w:rsidRPr="00000000">
              <w:rPr>
                <w:sz w:val="24"/>
                <w:szCs w:val="24"/>
                <w:rtl w:val="0"/>
              </w:rPr>
              <w:t xml:space="preserve">, together, the: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t xml:space="preserve">(c) Financial Information and Commentary</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means a supplier where that supplier, or that supplier’s group has Annual Revenue of £50 million or more of which over 50% is generated from UK Public Sector Business;</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“Strategic Supplier”</w:t>
            </w:r>
            <w:r w:rsidDel="00000000" w:rsidR="00000000" w:rsidRPr="00000000">
              <w:rPr>
                <w:rtl w:val="0"/>
              </w:rPr>
            </w:r>
          </w:p>
        </w:tc>
        <w:tc>
          <w:tcPr/>
          <w:p w:rsidR="00000000" w:rsidDel="00000000" w:rsidP="00000000" w:rsidRDefault="00000000" w:rsidRPr="00000000" w14:paraId="00000031">
            <w:pP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means those suppliers to government listed at</w:t>
            </w:r>
            <w:r w:rsidDel="00000000" w:rsidR="00000000" w:rsidRPr="00000000">
              <w:rPr>
                <w:rtl w:val="0"/>
              </w:rPr>
            </w:r>
          </w:p>
          <w:p w:rsidR="00000000" w:rsidDel="00000000" w:rsidP="00000000" w:rsidRDefault="00000000" w:rsidRPr="00000000" w14:paraId="00000032">
            <w:pP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https://www.gov.uk/government/publications/strategic-suppliers;</w:t>
            </w:r>
            <w:r w:rsidDel="00000000" w:rsidR="00000000" w:rsidRPr="00000000">
              <w:rPr>
                <w:rtl w:val="0"/>
              </w:rPr>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Bold" w:cs="Arial Bold" w:eastAsia="Arial Bold" w:hAnsi="Arial Bold"/>
          <w:b w:val="1"/>
          <w:color w:val="000000"/>
          <w:sz w:val="24"/>
          <w:szCs w:val="24"/>
        </w:rPr>
      </w:pPr>
      <w:r w:rsidDel="00000000" w:rsidR="00000000" w:rsidRPr="00000000">
        <w:rPr>
          <w:rtl w:val="0"/>
        </w:rPr>
      </w:r>
    </w:p>
    <w:p w:rsidR="00000000" w:rsidDel="00000000" w:rsidP="00000000" w:rsidRDefault="00000000" w:rsidRPr="00000000" w14:paraId="00000038">
      <w:pPr>
        <w:ind w:firstLine="1418"/>
        <w:rPr>
          <w:rFonts w:ascii="Arial Bold" w:cs="Arial Bold" w:eastAsia="Arial Bold" w:hAnsi="Arial Bold"/>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heading=h.2xcytpi" w:id="2"/>
      <w:bookmarkEnd w:id="2"/>
      <w:r w:rsidDel="00000000" w:rsidR="00000000" w:rsidRPr="00000000">
        <w:rPr>
          <w:rtl w:val="0"/>
        </w:rPr>
      </w:r>
    </w:p>
    <w:p w:rsidR="00000000" w:rsidDel="00000000" w:rsidP="00000000" w:rsidRDefault="00000000" w:rsidRPr="00000000" w14:paraId="0000003A">
      <w:pPr>
        <w:ind w:firstLine="1418"/>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F">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7">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2">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4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4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4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7">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48">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4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4A">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4B">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4C">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rPr>
          <w:color w:val="000000"/>
          <w:sz w:val="24"/>
          <w:szCs w:val="24"/>
        </w:rPr>
      </w:pPr>
      <w:r w:rsidDel="00000000" w:rsidR="00000000" w:rsidRPr="00000000">
        <w:rPr>
          <w:rtl w:val="0"/>
        </w:rPr>
      </w:r>
    </w:p>
    <w:p w:rsidR="00000000" w:rsidDel="00000000" w:rsidP="00000000" w:rsidRDefault="00000000" w:rsidRPr="00000000" w14:paraId="0000004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50">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51">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5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54">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56">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7">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58">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5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5A">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B">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5C">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5D">
      <w:pPr>
        <w:keepNext w:val="1"/>
        <w:numPr>
          <w:ilvl w:val="3"/>
          <w:numId w:val="5"/>
        </w:numPr>
        <w:pBdr>
          <w:top w:space="0" w:sz="0" w:val="nil"/>
          <w:left w:space="0" w:sz="0" w:val="nil"/>
          <w:bottom w:space="0" w:sz="0" w:val="nil"/>
          <w:right w:space="0" w:sz="0" w:val="nil"/>
          <w:between w:space="0" w:sz="0" w:val="nil"/>
        </w:pBdr>
        <w:spacing w:after="120" w:before="120" w:lineRule="auto"/>
        <w:ind w:left="2268" w:hanging="850"/>
        <w:jc w:val="left"/>
        <w:rPr>
          <w:sz w:val="24"/>
          <w:szCs w:val="24"/>
        </w:rPr>
      </w:pPr>
      <w:r w:rsidDel="00000000" w:rsidR="00000000" w:rsidRPr="00000000">
        <w:rPr>
          <w:rtl w:val="0"/>
        </w:rPr>
        <w:t xml:space="preserve">the Supplier requests and the Appropriate Authority (acting reasonably) agrees to a </w:t>
      </w:r>
      <w:r w:rsidDel="00000000" w:rsidR="00000000" w:rsidRPr="00000000">
        <w:rPr>
          <w:highlight w:val="yellow"/>
          <w:rtl w:val="0"/>
        </w:rPr>
        <w:t xml:space="preserve">Corporate Change Event Grace Period</w:t>
      </w:r>
      <w:r w:rsidDel="00000000" w:rsidR="00000000" w:rsidRPr="00000000">
        <w:rPr>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5E">
      <w:pPr>
        <w:keepNext w:val="1"/>
        <w:numPr>
          <w:ilvl w:val="3"/>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5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60">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61">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2">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3">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4">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6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6">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6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68">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6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C">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6E">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6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ind w:left="720" w:hanging="10.999999999999943"/>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71">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7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bookmarkStart w:colFirst="0" w:colLast="0" w:name="_heading=h.23ckvvd" w:id="3"/>
      <w:bookmarkEnd w:id="3"/>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7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78">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79">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7A">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7B">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7C">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300" w:before="100" w:lineRule="auto"/>
        <w:ind w:firstLine="1418"/>
        <w:jc w:val="center"/>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81">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2">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1baon6m" w:id="4"/>
      <w:bookmarkEnd w:id="4"/>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3">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3vac5uf" w:id="5"/>
      <w:bookmarkEnd w:id="5"/>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4">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85">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ind w:firstLine="1418"/>
        <w:jc w:val="center"/>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2hioqz"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0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center"/>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ANNEX 3: Financial information AND COMMENTARY</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093">
      <w:pPr>
        <w:ind w:firstLine="1418"/>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ind w:left="0" w:firstLine="0"/>
        <w:rPr>
          <w:color w:val="000000"/>
          <w:sz w:val="24"/>
          <w:szCs w:val="24"/>
        </w:rPr>
      </w:pP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24 (Corporate Resolution Planning)</w:t>
    </w:r>
    <w:r w:rsidDel="00000000" w:rsidR="00000000" w:rsidRPr="00000000">
      <w:rPr>
        <w:rtl w:val="0"/>
      </w:rPr>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97">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98">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olution.planning@cabinetoffice.gov.uk" TargetMode="External"/><Relationship Id="rId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EbYCuz+acRC95MOgDxR3BLLvg==">CgMxLjAyCGguZ2pkZ3hzMghoLmlodjYzNjIJaC4yeGN5dHBpMgloLjIzY2t2dmQyCWguMWJhb242bTIJaC4zdmFjNXVmMgloLjMyaGlvcXo4AGpGCjVzdWdnZXN0SWRJbXBvcnRjMzk4YzMzZS01YjYzLTRiODMtOGY2Zi1lOTM1NTRmNjQ0N2JfMRINTGlhbm5lIEdhcnZleXIhMWFmZDkzNkJZTFhJTVhUNnVnZ21vT0piekVYVnZGWjUt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