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mallCaps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7540002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2750" y="9975"/>
                          <a:ext cx="6286500" cy="7540002"/>
                          <a:chOff x="2202750" y="9975"/>
                          <a:chExt cx="6286500" cy="7540050"/>
                        </a:xfrm>
                      </wpg:grpSpPr>
                      <wpg:grpSp>
                        <wpg:cNvGrpSpPr/>
                        <wpg:grpSpPr>
                          <a:xfrm>
                            <a:off x="2202750" y="9999"/>
                            <a:ext cx="6286500" cy="7540002"/>
                            <a:chOff x="2202750" y="9975"/>
                            <a:chExt cx="6286500" cy="7540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02750" y="9975"/>
                              <a:ext cx="6286500" cy="754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02750" y="9999"/>
                              <a:ext cx="6286500" cy="7540002"/>
                              <a:chOff x="2202750" y="0"/>
                              <a:chExt cx="6286525" cy="75600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02750" y="0"/>
                                <a:ext cx="6286525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02750" y="0"/>
                                <a:ext cx="6286500" cy="7560000"/>
                                <a:chOff x="2202750" y="0"/>
                                <a:chExt cx="6286500" cy="75600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202750" y="0"/>
                                  <a:ext cx="62865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02750" y="0"/>
                                  <a:ext cx="6286500" cy="7560000"/>
                                  <a:chOff x="-133357" y="-2276513"/>
                                  <a:chExt cx="6286835" cy="8320544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-133357" y="-2276513"/>
                                    <a:ext cx="6286825" cy="832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980383" y="5629376"/>
                                    <a:ext cx="3173095" cy="414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00000953674316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-133357" y="-354242"/>
                                    <a:ext cx="5485200" cy="4615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  <w:t xml:space="preserve">Framework 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  <w:t xml:space="preserve">Award Form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200" w:before="0" w:line="275.00000953674316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1f497d"/>
                                          <w:sz w:val="72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b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7540002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0" cy="75400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96524</wp:posOffset>
            </wp:positionH>
            <wp:positionV relativeFrom="paragraph">
              <wp:posOffset>1698625</wp:posOffset>
            </wp:positionV>
            <wp:extent cx="1647190" cy="1371600"/>
            <wp:effectExtent b="0" l="0" r="0" t="0"/>
            <wp:wrapNone/>
            <wp:docPr descr="Crown Commercial Service" id="12" name="image1.png"/>
            <a:graphic>
              <a:graphicData uri="http://schemas.openxmlformats.org/drawingml/2006/picture">
                <pic:pic>
                  <pic:nvPicPr>
                    <pic:cNvPr descr="Crown Commercial Service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Framework Award Form creates the Framework Contract RM1557.14L4 G Cloud 14 Lot 4. It summarises the main features of the procurement and includes CCS and the Supplier’s contact details.</w:t>
      </w:r>
    </w:p>
    <w:tbl>
      <w:tblPr>
        <w:tblStyle w:val="Table1"/>
        <w:tblW w:w="10531.0" w:type="dxa"/>
        <w:jc w:val="left"/>
        <w:tblInd w:w="-7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436"/>
        <w:gridCol w:w="2040"/>
        <w:gridCol w:w="8055"/>
        <w:tblGridChange w:id="0">
          <w:tblGrid>
            <w:gridCol w:w="436"/>
            <w:gridCol w:w="2040"/>
            <w:gridCol w:w="8055"/>
          </w:tblGrid>
        </w:tblGridChange>
      </w:tblGrid>
      <w:tr>
        <w:trPr>
          <w:cantSplit w:val="0"/>
          <w:trHeight w:val="1072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CCS 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Minister for the Cabinet Office represented by its executive agency the Crown Commercial Service (CCS).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Its offices are on: 9th Floor, The Capital, Old Hall Street, Liverpool L3 9PP.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28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296"/>
              <w:gridCol w:w="4991"/>
              <w:tblGridChange w:id="0">
                <w:tblGrid>
                  <w:gridCol w:w="2296"/>
                  <w:gridCol w:w="499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D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Name: 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spacing w:after="0" w:lineRule="auto"/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yellow"/>
                      <w:rtl w:val="0"/>
                    </w:rPr>
                    <w:t xml:space="preserve">[Insert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name (registered name if registered)]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0F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Address: 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spacing w:after="0" w:lineRule="auto"/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  <w:rtl w:val="0"/>
                    </w:rPr>
                    <w:t xml:space="preserve">[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yellow"/>
                      <w:rtl w:val="0"/>
                    </w:rPr>
                    <w:t xml:space="preserve">Insert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address registered address if registered]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1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Registration number:    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spacing w:after="0" w:lineRule="auto"/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  <w:rtl w:val="0"/>
                    </w:rPr>
                    <w:t xml:space="preserve">[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yellow"/>
                      <w:rtl w:val="0"/>
                    </w:rPr>
                    <w:t xml:space="preserve">Insert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registration number if registered]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3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SID4GOV ID:</w:t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spacing w:after="0" w:lineRule="auto"/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  <w:rtl w:val="0"/>
                    </w:rPr>
                    <w:t xml:space="preserve">[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highlight w:val="yellow"/>
                      <w:rtl w:val="0"/>
                    </w:rPr>
                    <w:t xml:space="preserve">Insert</w:t>
                  </w: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SID4GOV ID if you have on</w:t>
                  </w: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e]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15">
                  <w:pPr>
                    <w:spacing w:after="0" w:lineRule="auto"/>
                    <w:ind w:left="-75" w:firstLine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6">
                  <w:pPr>
                    <w:spacing w:after="0" w:lineRule="auto"/>
                    <w:rPr>
                      <w:rFonts w:ascii="Arial" w:cs="Arial" w:eastAsia="Arial" w:hAnsi="Arial"/>
                      <w:sz w:val="24"/>
                      <w:szCs w:val="24"/>
                      <w:highlight w:val="yello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4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FrFramework Contract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framework contract between CCS and the Supplier allows the Supplier to be considered for Call-off Contracts to supply the Deliverables. You cannot deliver in any other Lot under this contract. Any references made to other Lots in this contract do not apply.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opportunity is advertised in the Contract Notice in the Find a Tender Service reference RM1557.14L4 (FTS Contract Notice).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Deliverables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Cloud Support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spacing w:after="0" w:befor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Cloud Migration Planning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-  the provision of planning services to enable customers to move to cloud software and/or hosting services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Set Up and Migration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rtl w:val="0"/>
              </w:rPr>
              <w:t xml:space="preserve">the provision of setup and migration services which involves the process of consolidating and transferring a collection of workloads. Workloads can include emails, files, calendars, document types, related metadata, instant messages, applications, user permissions, compound structure and linked components.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Security Services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highlight w:val="white"/>
                <w:rtl w:val="0"/>
              </w:rPr>
              <w:t xml:space="preserve">Maintain the confidentiality, integrity and availability of services and information, and protect services against threats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Quality Assurance and Performance Testing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- Continuously ensure that a service does what it’s supposed to do to meet user needs efficiently and reliably.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after="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Training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- provision of training to provide organisations with the ability to optimise the use of cloud based software and services, cloud security management and other cloud and virtualisation topics.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Ongoing Support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- Support user needs by providing help before, during and after service delivery.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36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36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See Framework Schedule 1 (Specification) for further details.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Start Date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Day Month Year]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Expiry Date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Day Month Year]</w:t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Optional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Extension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83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Order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after="0" w:lineRule="auto"/>
              <w:ind w:left="720" w:right="936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Further Competition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See Framework Schedule 7 (Call-off Award Procedure)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ind w:right="936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Incorporated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Terms </w:t>
            </w:r>
          </w:p>
          <w:p w:rsidR="00000000" w:rsidDel="00000000" w:rsidP="00000000" w:rsidRDefault="00000000" w:rsidRPr="00000000" w14:paraId="00000045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(together these documents form the ‘the Framework Contract’)</w:t>
            </w:r>
          </w:p>
          <w:p w:rsidR="00000000" w:rsidDel="00000000" w:rsidP="00000000" w:rsidRDefault="00000000" w:rsidRPr="00000000" w14:paraId="00000047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following documents are incorporated into the Framework Contract. Where numbers are missing we are not using these schedules. If the documents conflict, the following order of precedence applies: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Framework Award Form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Any Framework Special Terms (see Section 10 ‘Framework Special Terms’ in this Framework Award Form)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 (Definitions) RM1557.14L4 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11 (Processing Data) RM1557.14L4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The following Schedules for RM1557.14L4 (in equal order of precedence):</w:t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2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1 (Specification) </w:t>
            </w:r>
          </w:p>
          <w:p w:rsidR="00000000" w:rsidDel="00000000" w:rsidP="00000000" w:rsidRDefault="00000000" w:rsidRPr="00000000" w14:paraId="0000005E">
            <w:pPr>
              <w:numPr>
                <w:ilvl w:val="1"/>
                <w:numId w:val="2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3 (Framework Prices)</w:t>
            </w:r>
          </w:p>
          <w:p w:rsidR="00000000" w:rsidDel="00000000" w:rsidP="00000000" w:rsidRDefault="00000000" w:rsidRPr="00000000" w14:paraId="0000005F">
            <w:pPr>
              <w:numPr>
                <w:ilvl w:val="1"/>
                <w:numId w:val="2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4 (Framework Management)</w:t>
            </w:r>
          </w:p>
          <w:p w:rsidR="00000000" w:rsidDel="00000000" w:rsidP="00000000" w:rsidRDefault="00000000" w:rsidRPr="00000000" w14:paraId="00000060">
            <w:pPr>
              <w:numPr>
                <w:ilvl w:val="1"/>
                <w:numId w:val="2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5 (Management Charges and Information)</w:t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2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6 (Order Form Template and Call-Off Schedules) including the following template Call-Off Schedules: </w:t>
            </w:r>
          </w:p>
          <w:p w:rsidR="00000000" w:rsidDel="00000000" w:rsidP="00000000" w:rsidRDefault="00000000" w:rsidRPr="00000000" w14:paraId="00000062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1 (Transparency Reports)</w:t>
            </w:r>
          </w:p>
          <w:p w:rsidR="00000000" w:rsidDel="00000000" w:rsidP="00000000" w:rsidRDefault="00000000" w:rsidRPr="00000000" w14:paraId="00000063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2 (Staff Transfer)</w:t>
            </w:r>
          </w:p>
          <w:p w:rsidR="00000000" w:rsidDel="00000000" w:rsidP="00000000" w:rsidRDefault="00000000" w:rsidRPr="00000000" w14:paraId="00000064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3 (Continuous Improvement)</w:t>
            </w:r>
          </w:p>
          <w:p w:rsidR="00000000" w:rsidDel="00000000" w:rsidP="00000000" w:rsidRDefault="00000000" w:rsidRPr="00000000" w14:paraId="00000065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4 (Call-Off Tender)</w:t>
              <w:tab/>
              <w:tab/>
            </w:r>
          </w:p>
          <w:p w:rsidR="00000000" w:rsidDel="00000000" w:rsidP="00000000" w:rsidRDefault="00000000" w:rsidRPr="00000000" w14:paraId="00000066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5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Pricing Details)</w:t>
              <w:tab/>
              <w:t xml:space="preserve">           </w:t>
            </w:r>
          </w:p>
          <w:p w:rsidR="00000000" w:rsidDel="00000000" w:rsidP="00000000" w:rsidRDefault="00000000" w:rsidRPr="00000000" w14:paraId="00000067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6 (ICT Services) </w:t>
              <w:tab/>
              <w:tab/>
            </w:r>
          </w:p>
          <w:p w:rsidR="00000000" w:rsidDel="00000000" w:rsidP="00000000" w:rsidRDefault="00000000" w:rsidRPr="00000000" w14:paraId="00000068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7 (Key Supplier Staff)</w:t>
              <w:tab/>
              <w:tab/>
            </w:r>
          </w:p>
          <w:p w:rsidR="00000000" w:rsidDel="00000000" w:rsidP="00000000" w:rsidRDefault="00000000" w:rsidRPr="00000000" w14:paraId="00000069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8 (Business Continuity and Disaster Recovery) </w:t>
            </w:r>
          </w:p>
          <w:p w:rsidR="00000000" w:rsidDel="00000000" w:rsidP="00000000" w:rsidRDefault="00000000" w:rsidRPr="00000000" w14:paraId="0000006A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9 (Security)</w:t>
              <w:tab/>
              <w:tab/>
              <w:t xml:space="preserve"> </w:t>
              <w:tab/>
              <w:t xml:space="preserve"> </w:t>
            </w:r>
          </w:p>
          <w:p w:rsidR="00000000" w:rsidDel="00000000" w:rsidP="00000000" w:rsidRDefault="00000000" w:rsidRPr="00000000" w14:paraId="0000006B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10 (Exit Management) </w:t>
              <w:tab/>
            </w:r>
          </w:p>
          <w:p w:rsidR="00000000" w:rsidDel="00000000" w:rsidP="00000000" w:rsidRDefault="00000000" w:rsidRPr="00000000" w14:paraId="0000006C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11 (Installation Works) </w:t>
              <w:tab/>
            </w:r>
          </w:p>
          <w:p w:rsidR="00000000" w:rsidDel="00000000" w:rsidP="00000000" w:rsidRDefault="00000000" w:rsidRPr="00000000" w14:paraId="0000006D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12 (Clustering) </w:t>
              <w:tab/>
              <w:tab/>
            </w:r>
          </w:p>
          <w:p w:rsidR="00000000" w:rsidDel="00000000" w:rsidP="00000000" w:rsidRDefault="00000000" w:rsidRPr="00000000" w14:paraId="0000006E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13 (Implementation Plan and Testing)</w:t>
            </w:r>
          </w:p>
          <w:p w:rsidR="00000000" w:rsidDel="00000000" w:rsidP="00000000" w:rsidRDefault="00000000" w:rsidRPr="00000000" w14:paraId="0000006F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14 (Service Levels) </w:t>
              <w:tab/>
              <w:tab/>
            </w:r>
          </w:p>
          <w:p w:rsidR="00000000" w:rsidDel="00000000" w:rsidP="00000000" w:rsidRDefault="00000000" w:rsidRPr="00000000" w14:paraId="00000070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15 (Call-Off Contract Management)</w:t>
            </w:r>
          </w:p>
          <w:p w:rsidR="00000000" w:rsidDel="00000000" w:rsidP="00000000" w:rsidRDefault="00000000" w:rsidRPr="00000000" w14:paraId="00000071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16 (Benchmarking) </w:t>
              <w:tab/>
              <w:tab/>
            </w:r>
          </w:p>
          <w:p w:rsidR="00000000" w:rsidDel="00000000" w:rsidP="00000000" w:rsidRDefault="00000000" w:rsidRPr="00000000" w14:paraId="00000072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17 (MOD Terms) </w:t>
              <w:tab/>
              <w:tab/>
              <w:t xml:space="preserve">               </w:t>
            </w:r>
          </w:p>
          <w:p w:rsidR="00000000" w:rsidDel="00000000" w:rsidP="00000000" w:rsidRDefault="00000000" w:rsidRPr="00000000" w14:paraId="00000073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18 (Background Checks) </w:t>
              <w:tab/>
            </w:r>
          </w:p>
          <w:p w:rsidR="00000000" w:rsidDel="00000000" w:rsidP="00000000" w:rsidRDefault="00000000" w:rsidRPr="00000000" w14:paraId="00000074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 19 (Scottish Law)</w:t>
              <w:tab/>
              <w:tab/>
              <w:t xml:space="preserve">      </w:t>
            </w:r>
          </w:p>
          <w:p w:rsidR="00000000" w:rsidDel="00000000" w:rsidP="00000000" w:rsidRDefault="00000000" w:rsidRPr="00000000" w14:paraId="00000075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20 (Call-Off Specification)     </w:t>
            </w:r>
          </w:p>
          <w:p w:rsidR="00000000" w:rsidDel="00000000" w:rsidP="00000000" w:rsidRDefault="00000000" w:rsidRPr="00000000" w14:paraId="00000076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21 (Northern Ireland Law)    </w:t>
            </w:r>
          </w:p>
          <w:p w:rsidR="00000000" w:rsidDel="00000000" w:rsidP="00000000" w:rsidRDefault="00000000" w:rsidRPr="00000000" w14:paraId="00000077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23 (HMRC Terms)   </w:t>
            </w:r>
          </w:p>
          <w:p w:rsidR="00000000" w:rsidDel="00000000" w:rsidP="00000000" w:rsidRDefault="00000000" w:rsidRPr="00000000" w14:paraId="00000078">
            <w:pPr>
              <w:numPr>
                <w:ilvl w:val="2"/>
                <w:numId w:val="2"/>
              </w:numPr>
              <w:spacing w:after="0" w:line="259" w:lineRule="auto"/>
              <w:ind w:left="21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Call-Off Schedule 24 - Corporate Resolution Planning           </w:t>
            </w:r>
          </w:p>
          <w:p w:rsidR="00000000" w:rsidDel="00000000" w:rsidP="00000000" w:rsidRDefault="00000000" w:rsidRPr="00000000" w14:paraId="00000079">
            <w:pPr>
              <w:spacing w:after="0" w:line="259" w:lineRule="auto"/>
              <w:ind w:left="216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7 (Call-Off Award Procedure)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8 (Self Audit Certificate)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2 (Variation Form)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3 (Insurance Requirements)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4 (Commercially Sensitive Information)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6 (Key Subcontractors)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7 (Financial Difficulties)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8 (Guarantee)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9 (Minimum Standards of Reliability)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10 (Rectification Plan)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after="0" w:lineRule="auto"/>
              <w:ind w:left="144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12 (Supply Chain Visibility)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CCS Core Terms (version 3.0.11)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Joint Schedule 5 (Corporate Social Responsibility) RM1557.14L4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spacing w:after="0" w:lineRule="auto"/>
              <w:ind w:left="45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Framework Schedule 2 (Framework Tender RM1557.14L4 as long as any part of the Framework Tender that offers a better commercial position for CCS or Buyers (as decided by CCS) take precedence over the documents above 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Special Terms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Prices 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ind w:left="36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 per the completed SFIA Rate Card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ind w:left="360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Details in Framework Schedule 3 (Framework Prices)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Insurance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Details in Annex of Joint Schedule 3 (Insurance Requirements).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9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Cyber 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Essentials Certification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Information only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Management Charge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The Supplier will pay, excluding VAT, 0.75% of all the Charges for the Deliverables invoiced to the Buyer under all Call-Off Contracts.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Framework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Manager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phone number]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Authorised Representative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phone number]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Compliance Officer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phone number]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Data Protection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Officer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phone number]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Data Protection Liability Cap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£10,000,000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Supplier 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Marketing Contact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phone number]</w:t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Key Subcontractors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120" w:before="12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Key Subcontractor 1</w:t>
            </w:r>
          </w:p>
          <w:p w:rsidR="00000000" w:rsidDel="00000000" w:rsidP="00000000" w:rsidRDefault="00000000" w:rsidRPr="00000000" w14:paraId="000000D0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 (Registered name if registered) 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name]</w:t>
            </w:r>
          </w:p>
          <w:p w:rsidR="00000000" w:rsidDel="00000000" w:rsidP="00000000" w:rsidRDefault="00000000" w:rsidRPr="00000000" w14:paraId="000000D1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Registration number (if registered) 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number]</w:t>
            </w:r>
          </w:p>
          <w:p w:rsidR="00000000" w:rsidDel="00000000" w:rsidP="00000000" w:rsidRDefault="00000000" w:rsidRPr="00000000" w14:paraId="000000D2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Role of Subcontractor 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role]</w:t>
            </w:r>
          </w:p>
          <w:p w:rsidR="00000000" w:rsidDel="00000000" w:rsidP="00000000" w:rsidRDefault="00000000" w:rsidRPr="00000000" w14:paraId="000000D3">
            <w:pPr>
              <w:spacing w:after="120" w:before="120" w:lineRule="auto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[Guidance: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copy above lines as needed]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3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CCS 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Authorised Representative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name]</w:t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job title]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email address]</w:t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yellow"/>
                <w:rtl w:val="0"/>
              </w:rPr>
              <w:t xml:space="preserve">Insert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phone number]</w:t>
            </w:r>
          </w:p>
        </w:tc>
      </w:tr>
    </w:tbl>
    <w:p w:rsidR="00000000" w:rsidDel="00000000" w:rsidP="00000000" w:rsidRDefault="00000000" w:rsidRPr="00000000" w14:paraId="000000D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7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698"/>
        <w:gridCol w:w="2966"/>
        <w:tblGridChange w:id="0">
          <w:tblGrid>
            <w:gridCol w:w="1526"/>
            <w:gridCol w:w="2980"/>
            <w:gridCol w:w="1698"/>
            <w:gridCol w:w="2966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CCS: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0j0zll" w:id="2"/>
    <w:bookmarkEnd w:id="2"/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firstLine="0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  <w:t xml:space="preserve"> </w:t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 : v2.9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RM1557.14L4  </w:t>
      <w:tab/>
      <w:t xml:space="preserve">                                           </w:t>
    </w:r>
  </w:p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v3.11</w:t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b w:val="1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a6a6a6"/>
        <w:sz w:val="20"/>
        <w:szCs w:val="20"/>
        <w:rtl w:val="0"/>
      </w:rPr>
      <w:t xml:space="preserve">Framework Award Form</w:t>
    </w:r>
  </w:p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Framework Award Form</w:t>
    </w:r>
  </w:p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Crown Copyright 2023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45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644" w:hanging="357.99999999999983"/>
      </w:pPr>
      <w:rPr>
        <w:b w:val="1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leader="none" w:pos="-5585"/>
      </w:tabs>
      <w:spacing w:after="120" w:line="240" w:lineRule="auto"/>
      <w:ind w:left="3600" w:hanging="36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tabs>
        <w:tab w:val="left" w:leader="none" w:pos="-8987"/>
        <w:tab w:val="left" w:leader="none" w:pos="-8420"/>
      </w:tabs>
      <w:spacing w:after="120" w:line="240" w:lineRule="auto"/>
      <w:ind w:left="3600" w:hanging="360"/>
      <w:jc w:val="both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tabs>
        <w:tab w:val="left" w:leader="none" w:pos="-5585"/>
      </w:tabs>
      <w:spacing w:after="120" w:line="240" w:lineRule="auto"/>
      <w:ind w:left="3600" w:hanging="360"/>
      <w:jc w:val="both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tabs>
        <w:tab w:val="left" w:leader="none" w:pos="-8987"/>
        <w:tab w:val="left" w:leader="none" w:pos="-8420"/>
      </w:tabs>
      <w:spacing w:after="120" w:line="240" w:lineRule="auto"/>
      <w:ind w:left="3600" w:hanging="360"/>
      <w:jc w:val="both"/>
    </w:pPr>
    <w:rPr>
      <w:rFonts w:ascii="Arial" w:cs="Arial" w:eastAsia="Arial" w:hAnsi="Arial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uiPriority w:val="9"/>
    <w:semiHidden w:val="1"/>
    <w:unhideWhenUsed w:val="1"/>
    <w:qFormat w:val="1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uiPriority w:val="9"/>
    <w:semiHidden w:val="1"/>
    <w:unhideWhenUsed w:val="1"/>
    <w:qFormat w:val="1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numbering" w:styleId="WWOutlineListStyle8" w:customStyle="1">
    <w:name w:val="WW_OutlineListStyle_8"/>
    <w:basedOn w:val="NoList"/>
  </w:style>
  <w:style w:type="paragraph" w:styleId="Level1Heading" w:customStyle="1">
    <w:name w:val="Level 1 Heading"/>
    <w:basedOn w:val="BodyText"/>
    <w:next w:val="Normal"/>
    <w:pPr>
      <w:keepNext w:val="1"/>
      <w:tabs>
        <w:tab w:val="left" w:pos="-1342"/>
      </w:tabs>
      <w:suppressAutoHyphens w:val="0"/>
      <w:spacing w:after="200" w:before="360" w:line="360" w:lineRule="auto"/>
      <w:outlineLvl w:val="0"/>
    </w:pPr>
    <w:rPr>
      <w:rFonts w:ascii="Arial" w:eastAsia="Times New Roman" w:hAnsi="Arial"/>
      <w:b w:val="1"/>
      <w:szCs w:val="20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-3864"/>
      </w:tabs>
      <w:suppressAutoHyphens w:val="0"/>
      <w:spacing w:after="240" w:before="240" w:line="240" w:lineRule="auto"/>
      <w:jc w:val="both"/>
      <w:outlineLvl w:val="1"/>
    </w:pPr>
    <w:rPr>
      <w:rFonts w:ascii="Arial Bold" w:cs="Arial" w:eastAsia="STZhongsong" w:hAnsi="Arial Bold"/>
      <w:b w:val="1"/>
      <w:caps w:val="1"/>
      <w:lang w:eastAsia="zh-CN"/>
    </w:rPr>
  </w:style>
  <w:style w:type="character" w:styleId="Heading5Char" w:customStyle="1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suppressAutoHyphens w:val="0"/>
      <w:spacing w:after="120" w:before="120" w:line="240" w:lineRule="auto"/>
      <w:ind w:left="1494" w:hanging="218"/>
      <w:jc w:val="both"/>
    </w:pPr>
    <w:rPr>
      <w:rFonts w:cs="Arial" w:eastAsia="Times New Roman"/>
      <w:b w:val="1"/>
      <w:lang w:eastAsia="zh-CN"/>
    </w:rPr>
  </w:style>
  <w:style w:type="paragraph" w:styleId="BodyText1" w:customStyle="1">
    <w:name w:val="Body Text 1"/>
    <w:basedOn w:val="BodyText"/>
    <w:pPr>
      <w:suppressAutoHyphens w:val="0"/>
      <w:spacing w:after="240" w:line="360" w:lineRule="auto"/>
      <w:ind w:left="851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 w:val="1"/>
      <w:iCs w:val="1"/>
    </w:rPr>
  </w:style>
  <w:style w:type="paragraph" w:styleId="11table" w:customStyle="1">
    <w:name w:val="1.1 table"/>
    <w:basedOn w:val="Normal"/>
    <w:qFormat w:val="1"/>
    <w:pPr>
      <w:numPr>
        <w:numId w:val="6"/>
      </w:numPr>
      <w:suppressAutoHyphens w:val="0"/>
      <w:spacing w:after="0" w:line="240" w:lineRule="auto"/>
    </w:pPr>
    <w:rPr>
      <w:rFonts w:eastAsia="STZhongsong"/>
      <w:b w:val="1"/>
      <w:lang w:eastAsia="zh-CN"/>
    </w:rPr>
  </w:style>
  <w:style w:type="character" w:styleId="11tableChar" w:customStyle="1">
    <w:name w:val="1.1 table Char"/>
    <w:rPr>
      <w:rFonts w:eastAsia="STZhongsong"/>
      <w:b w:val="1"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rPr>
      <w:rFonts w:ascii="Tahoma" w:cs="Tahoma" w:hAnsi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uiPriority w:val="99"/>
    <w:rPr>
      <w:sz w:val="22"/>
      <w:szCs w:val="22"/>
      <w:lang w:eastAsia="en-US"/>
    </w:rPr>
  </w:style>
  <w:style w:type="paragraph" w:styleId="MarginText" w:customStyle="1">
    <w:name w:val="Margin Text"/>
    <w:basedOn w:val="Normal"/>
    <w:pPr>
      <w:keepNext w:val="1"/>
      <w:suppressAutoHyphens w:val="0"/>
      <w:spacing w:after="120" w:before="24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styleId="MarginTextChar" w:customStyle="1">
    <w:name w:val="Margin Text Char"/>
    <w:rPr>
      <w:rFonts w:ascii="Arial" w:eastAsia="STZhongsong" w:hAnsi="Arial"/>
      <w:sz w:val="18"/>
      <w:szCs w:val="18"/>
      <w:lang w:eastAsia="zh-CN"/>
    </w:rPr>
  </w:style>
  <w:style w:type="paragraph" w:styleId="GPSL2numberedclause" w:customStyle="1">
    <w:name w:val="GPS L2 numbered clause"/>
    <w:basedOn w:val="Normal"/>
    <w:qFormat w:val="1"/>
    <w:pPr>
      <w:tabs>
        <w:tab w:val="left" w:pos="1134"/>
      </w:tabs>
      <w:suppressAutoHyphens w:val="0"/>
      <w:spacing w:after="120" w:before="120" w:line="240" w:lineRule="auto"/>
      <w:ind w:left="1134" w:hanging="567"/>
      <w:jc w:val="both"/>
    </w:pPr>
    <w:rPr>
      <w:rFonts w:cs="Arial" w:eastAsia="Times New Roman"/>
      <w:lang w:eastAsia="zh-CN"/>
    </w:rPr>
  </w:style>
  <w:style w:type="paragraph" w:styleId="GPSL3numberedclause" w:customStyle="1">
    <w:name w:val="GPS L3 numbered clause"/>
    <w:basedOn w:val="GPSL2numberedclause"/>
    <w:qFormat w:val="1"/>
    <w:pPr>
      <w:tabs>
        <w:tab w:val="clear" w:pos="1134"/>
        <w:tab w:val="left" w:pos="1985"/>
        <w:tab w:val="left" w:pos="2127"/>
      </w:tabs>
      <w:ind w:left="1985" w:hanging="851"/>
    </w:pPr>
  </w:style>
  <w:style w:type="paragraph" w:styleId="GPSL4numberedclause" w:customStyle="1">
    <w:name w:val="GPS L4 numbered clause"/>
    <w:basedOn w:val="GPSL3numberedclause"/>
    <w:qFormat w:val="1"/>
    <w:pPr>
      <w:tabs>
        <w:tab w:val="clear" w:pos="2127"/>
      </w:tabs>
      <w:ind w:left="2835" w:hanging="708"/>
    </w:pPr>
    <w:rPr>
      <w:szCs w:val="20"/>
    </w:rPr>
  </w:style>
  <w:style w:type="character" w:styleId="GPSL2numberedclauseChar1" w:customStyle="1">
    <w:name w:val="GPS L2 numbered clause Char1"/>
    <w:rPr>
      <w:rFonts w:cs="Arial" w:eastAsia="Times New Roman"/>
      <w:sz w:val="22"/>
      <w:szCs w:val="22"/>
      <w:lang w:eastAsia="zh-CN"/>
    </w:rPr>
  </w:style>
  <w:style w:type="character" w:styleId="GPSL3numberedclauseChar" w:customStyle="1">
    <w:name w:val="GPS L3 numbered clause Char"/>
    <w:rPr>
      <w:rFonts w:cs="Arial" w:eastAsia="Times New Roman"/>
      <w:sz w:val="22"/>
      <w:szCs w:val="22"/>
      <w:lang w:eastAsia="zh-CN"/>
    </w:rPr>
  </w:style>
  <w:style w:type="paragraph" w:styleId="GPSL5numberedclause" w:customStyle="1">
    <w:name w:val="GPS L5 numbered clause"/>
    <w:basedOn w:val="GPSL4numberedclause"/>
    <w:qFormat w:val="1"/>
    <w:pPr>
      <w:tabs>
        <w:tab w:val="left" w:pos="3402"/>
      </w:tabs>
      <w:ind w:left="3402" w:hanging="567"/>
    </w:pPr>
  </w:style>
  <w:style w:type="paragraph" w:styleId="GPSL6numbered" w:customStyle="1">
    <w:name w:val="GPS L6 numbered"/>
    <w:basedOn w:val="GPSL5numberedclause"/>
    <w:qFormat w:val="1"/>
    <w:pPr>
      <w:tabs>
        <w:tab w:val="clear" w:pos="1985"/>
        <w:tab w:val="clear" w:pos="3402"/>
        <w:tab w:val="num" w:pos="720"/>
        <w:tab w:val="left" w:pos="24049"/>
        <w:tab w:val="left" w:pos="25466"/>
        <w:tab w:val="left" w:pos="26317"/>
      </w:tabs>
      <w:ind w:left="720" w:hanging="720"/>
    </w:pPr>
  </w:style>
  <w:style w:type="paragraph" w:styleId="Style1" w:customStyle="1">
    <w:name w:val="Style1"/>
    <w:basedOn w:val="ListParagraph"/>
    <w:pPr>
      <w:tabs>
        <w:tab w:val="num" w:pos="720"/>
      </w:tabs>
      <w:ind w:hanging="720"/>
    </w:pPr>
    <w:rPr>
      <w:b w:val="1"/>
      <w:sz w:val="20"/>
    </w:rPr>
  </w:style>
  <w:style w:type="character" w:styleId="ListParagraphChar" w:customStyle="1">
    <w:name w:val="List Paragraph Char"/>
    <w:basedOn w:val="DefaultParagraphFont"/>
    <w:rPr>
      <w:sz w:val="22"/>
      <w:szCs w:val="22"/>
      <w:lang w:eastAsia="en-US"/>
    </w:rPr>
  </w:style>
  <w:style w:type="character" w:styleId="Style1Char" w:customStyle="1">
    <w:name w:val="Style1 Char"/>
    <w:basedOn w:val="ListParagraphChar"/>
    <w:rPr>
      <w:b w:val="1"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 w:val="1"/>
      <w:bCs w:val="1"/>
    </w:rPr>
  </w:style>
  <w:style w:type="character" w:styleId="CommentSubjectChar" w:customStyle="1">
    <w:name w:val="Comment Subject Char"/>
    <w:basedOn w:val="CommentTextChar"/>
    <w:rPr>
      <w:b w:val="1"/>
      <w:bCs w:val="1"/>
      <w:lang w:eastAsia="en-US"/>
    </w:rPr>
  </w:style>
  <w:style w:type="paragraph" w:styleId="Revision">
    <w:name w:val="Revision"/>
    <w:rPr>
      <w:lang w:eastAsia="en-US"/>
    </w:rPr>
  </w:style>
  <w:style w:type="paragraph" w:styleId="GPsDefinition" w:customStyle="1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cs="Arial" w:eastAsia="Times New Roman" w:hAnsi="Arial"/>
    </w:rPr>
  </w:style>
  <w:style w:type="paragraph" w:styleId="GPSDefinitionL2" w:customStyle="1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styleId="GPSDefinitionL2Char" w:customStyle="1">
    <w:name w:val="GPS Definition L2 Char"/>
    <w:rPr>
      <w:rFonts w:ascii="Arial" w:cs="Arial" w:eastAsia="Times New Roman" w:hAnsi="Arial"/>
      <w:sz w:val="22"/>
      <w:szCs w:val="22"/>
      <w:lang w:eastAsia="en-US"/>
    </w:rPr>
  </w:style>
  <w:style w:type="paragraph" w:styleId="GPSDefinitionL3" w:customStyle="1">
    <w:name w:val="GPS Definition L3"/>
    <w:basedOn w:val="GPSDefinitionL2"/>
  </w:style>
  <w:style w:type="paragraph" w:styleId="GPSDefinitionL4" w:customStyle="1">
    <w:name w:val="GPS Definition L4"/>
    <w:basedOn w:val="GPSDefinitionL3"/>
    <w:pPr>
      <w:tabs>
        <w:tab w:val="clear" w:pos="-576"/>
        <w:tab w:val="left" w:pos="-2316"/>
        <w:tab w:val="left" w:pos="-2100"/>
        <w:tab w:val="num" w:pos="720"/>
      </w:tabs>
      <w:ind w:left="720" w:hanging="720"/>
    </w:pPr>
  </w:style>
  <w:style w:type="character" w:styleId="GPSDefinitionL3Char" w:customStyle="1">
    <w:name w:val="GPS Definition L3 Char"/>
    <w:rPr>
      <w:rFonts w:ascii="Arial" w:cs="Arial" w:eastAsia="Times New Roman" w:hAnsi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cs="Arial" w:eastAsia="Times New Roman" w:hAnsi="Arial"/>
      <w:sz w:val="20"/>
      <w:szCs w:val="20"/>
    </w:rPr>
  </w:style>
  <w:style w:type="character" w:styleId="FootnoteTextChar" w:customStyle="1">
    <w:name w:val="Footnote Text Char"/>
    <w:basedOn w:val="DefaultParagraphFont"/>
    <w:rPr>
      <w:rFonts w:ascii="Arial" w:cs="Arial" w:eastAsia="Times New Roman" w:hAnsi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styleId="BodyTextChar" w:customStyle="1">
    <w:name w:val="Body Text Char"/>
    <w:basedOn w:val="DefaultParagraphFont"/>
    <w:rPr>
      <w:sz w:val="22"/>
      <w:szCs w:val="22"/>
      <w:lang w:eastAsia="en-US"/>
    </w:rPr>
  </w:style>
  <w:style w:type="paragraph" w:styleId="Level2Heading" w:customStyle="1">
    <w:name w:val="Level 2 Heading"/>
    <w:basedOn w:val="BodyText"/>
    <w:next w:val="BodyText2"/>
    <w:pPr>
      <w:keepNext w:val="1"/>
      <w:tabs>
        <w:tab w:val="left" w:pos="360"/>
      </w:tabs>
      <w:suppressAutoHyphens w:val="0"/>
      <w:spacing w:after="200" w:before="360" w:line="360" w:lineRule="auto"/>
      <w:outlineLvl w:val="1"/>
    </w:pPr>
    <w:rPr>
      <w:rFonts w:ascii="Arial" w:eastAsia="Times New Roman" w:hAnsi="Arial"/>
      <w:b w:val="1"/>
      <w:sz w:val="20"/>
      <w:szCs w:val="20"/>
      <w:lang w:eastAsia="en-GB"/>
    </w:rPr>
  </w:style>
  <w:style w:type="paragraph" w:styleId="Level3Number" w:customStyle="1">
    <w:name w:val="Level 3 Number"/>
    <w:basedOn w:val="BodyText"/>
    <w:pPr>
      <w:tabs>
        <w:tab w:val="left" w:pos="360"/>
      </w:tabs>
      <w:suppressAutoHyphens w:val="0"/>
      <w:spacing w:after="200" w:before="360" w:line="360" w:lineRule="auto"/>
    </w:pPr>
    <w:rPr>
      <w:rFonts w:ascii="Arial" w:eastAsia="Times New Roman" w:hAnsi="Arial"/>
      <w:sz w:val="20"/>
      <w:szCs w:val="20"/>
    </w:rPr>
  </w:style>
  <w:style w:type="paragraph" w:styleId="Level4Number" w:customStyle="1">
    <w:name w:val="Level 4 Number"/>
    <w:basedOn w:val="BodyText"/>
    <w:pPr>
      <w:tabs>
        <w:tab w:val="left" w:pos="360"/>
      </w:tabs>
      <w:suppressAutoHyphens w:val="0"/>
      <w:spacing w:after="200" w:before="360" w:line="360" w:lineRule="auto"/>
    </w:pPr>
    <w:rPr>
      <w:rFonts w:ascii="Arial" w:eastAsia="Times New Roman" w:hAnsi="Arial"/>
      <w:sz w:val="20"/>
      <w:szCs w:val="20"/>
    </w:rPr>
  </w:style>
  <w:style w:type="paragraph" w:styleId="Level5Number" w:customStyle="1">
    <w:name w:val="Level 5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styleId="Level6Number" w:customStyle="1">
    <w:name w:val="Level 6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styleId="Level7Number" w:customStyle="1">
    <w:name w:val="Level 7 Number"/>
    <w:basedOn w:val="BodyText"/>
    <w:pPr>
      <w:tabs>
        <w:tab w:val="left" w:pos="360"/>
      </w:tabs>
      <w:suppressAutoHyphens w:val="0"/>
      <w:spacing w:after="240" w:line="360" w:lineRule="auto"/>
    </w:pPr>
    <w:rPr>
      <w:rFonts w:ascii="Arial" w:eastAsia="Times New Roman" w:hAnsi="Arial"/>
      <w:sz w:val="20"/>
      <w:szCs w:val="20"/>
    </w:rPr>
  </w:style>
  <w:style w:type="paragraph" w:styleId="Level8Number" w:customStyle="1">
    <w:name w:val="Level 8 Number"/>
    <w:basedOn w:val="BodyText"/>
    <w:pPr>
      <w:tabs>
        <w:tab w:val="left" w:pos="-3895"/>
        <w:tab w:val="num" w:pos="720"/>
      </w:tabs>
      <w:suppressAutoHyphens w:val="0"/>
      <w:spacing w:after="240" w:line="360" w:lineRule="auto"/>
      <w:ind w:left="720" w:hanging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BodyText2Char" w:customStyle="1">
    <w:name w:val="Body Text 2 Char"/>
    <w:basedOn w:val="DefaultParagraphFont"/>
    <w:rPr>
      <w:sz w:val="22"/>
      <w:szCs w:val="22"/>
      <w:lang w:eastAsia="en-US"/>
    </w:rPr>
  </w:style>
  <w:style w:type="character" w:styleId="GPSL2NumberedBoldHeadingChar" w:customStyle="1">
    <w:name w:val="GPS L2 Numbered Bold Heading Char"/>
    <w:rPr>
      <w:rFonts w:cs="Arial" w:eastAsia="Times New Roman"/>
      <w:b w:val="1"/>
      <w:sz w:val="22"/>
      <w:szCs w:val="22"/>
      <w:lang w:eastAsia="zh-CN"/>
    </w:rPr>
  </w:style>
  <w:style w:type="paragraph" w:styleId="GPSL2Indent" w:customStyle="1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cs="Arial" w:eastAsia="Times New Roman"/>
      <w:szCs w:val="24"/>
    </w:rPr>
  </w:style>
  <w:style w:type="paragraph" w:styleId="GPSL2Numbered" w:customStyle="1">
    <w:name w:val="GPS L2 Numbered"/>
    <w:basedOn w:val="GPSL2NumberedBoldHeading"/>
    <w:qFormat w:val="1"/>
    <w:pPr>
      <w:tabs>
        <w:tab w:val="left" w:pos="709"/>
      </w:tabs>
      <w:ind w:hanging="360"/>
    </w:pPr>
    <w:rPr>
      <w:b w:val="0"/>
    </w:rPr>
  </w:style>
  <w:style w:type="character" w:styleId="GPSL2NumberedChar" w:customStyle="1">
    <w:name w:val="GPS L2 Numbered Char"/>
    <w:rPr>
      <w:rFonts w:cs="Arial" w:eastAsia="Times New Roman"/>
      <w:sz w:val="22"/>
      <w:szCs w:val="22"/>
      <w:lang w:eastAsia="zh-CN"/>
    </w:rPr>
  </w:style>
  <w:style w:type="character" w:styleId="GPSL2IndentChar" w:customStyle="1">
    <w:name w:val="GPS L2 Indent Char"/>
    <w:rPr>
      <w:rFonts w:cs="Arial" w:eastAsia="Times New Roman"/>
      <w:sz w:val="22"/>
      <w:szCs w:val="24"/>
      <w:lang w:eastAsia="en-US"/>
    </w:rPr>
  </w:style>
  <w:style w:type="character" w:styleId="GPSL4numberedclauseChar" w:customStyle="1">
    <w:name w:val="GPS L4 numbered clause Char"/>
    <w:rPr>
      <w:rFonts w:cs="Arial" w:eastAsia="Times New Roman"/>
      <w:sz w:val="22"/>
      <w:lang w:eastAsia="zh-CN"/>
    </w:rPr>
  </w:style>
  <w:style w:type="paragraph" w:styleId="GPSL3Indent" w:customStyle="1">
    <w:name w:val="GPS L3 Indent"/>
    <w:basedOn w:val="Normal"/>
    <w:pPr>
      <w:tabs>
        <w:tab w:val="left" w:pos="2127"/>
      </w:tabs>
      <w:suppressAutoHyphens w:val="0"/>
      <w:spacing w:after="120" w:before="120" w:line="240" w:lineRule="auto"/>
      <w:ind w:left="2127"/>
      <w:jc w:val="both"/>
    </w:pPr>
    <w:rPr>
      <w:rFonts w:ascii="Arial" w:cs="Arial" w:eastAsia="Times New Roman" w:hAnsi="Arial"/>
      <w:lang w:eastAsia="zh-CN" w:val="en-US"/>
    </w:rPr>
  </w:style>
  <w:style w:type="character" w:styleId="GPSL3IndentChar" w:customStyle="1">
    <w:name w:val="GPS L3 Indent Char"/>
    <w:rPr>
      <w:rFonts w:ascii="Arial" w:cs="Arial" w:eastAsia="Times New Roman" w:hAnsi="Arial"/>
      <w:sz w:val="22"/>
      <w:szCs w:val="22"/>
      <w:lang w:eastAsia="zh-CN" w:val="en-US"/>
    </w:rPr>
  </w:style>
  <w:style w:type="character" w:styleId="GPSL5numberedclauseChar" w:customStyle="1">
    <w:name w:val="GPS L5 numbered clause Char"/>
    <w:rPr>
      <w:rFonts w:cs="Arial" w:eastAsia="Times New Roman"/>
      <w:sz w:val="22"/>
      <w:lang w:eastAsia="zh-CN"/>
    </w:rPr>
  </w:style>
  <w:style w:type="paragraph" w:styleId="Body3" w:customStyle="1">
    <w:name w:val="Body3"/>
    <w:basedOn w:val="Normal"/>
    <w:pPr>
      <w:suppressAutoHyphens w:val="0"/>
      <w:spacing w:after="220" w:line="240" w:lineRule="auto"/>
      <w:ind w:left="1412"/>
      <w:jc w:val="both"/>
    </w:pPr>
    <w:rPr>
      <w:rFonts w:ascii="Trebuchet MS" w:eastAsia="Times New Roman" w:hAnsi="Trebuchet MS"/>
      <w:sz w:val="20"/>
      <w:szCs w:val="20"/>
    </w:rPr>
  </w:style>
  <w:style w:type="paragraph" w:styleId="GPSDefinitionTerm" w:customStyle="1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cs="Arial" w:eastAsia="Times New Roman"/>
      <w:b w:val="1"/>
    </w:rPr>
  </w:style>
  <w:style w:type="character" w:styleId="Heading7Char" w:customStyle="1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styleId="Heading8Char" w:customStyle="1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styleId="GPSL4boldheading" w:customStyle="1">
    <w:name w:val="GPS L4 bold heading"/>
    <w:basedOn w:val="GPSL3numberedclause"/>
    <w:pPr>
      <w:numPr>
        <w:numId w:val="5"/>
      </w:numPr>
    </w:pPr>
    <w:rPr>
      <w:b w:val="1"/>
    </w:rPr>
  </w:style>
  <w:style w:type="character" w:styleId="GPSL4boldheadingChar" w:customStyle="1">
    <w:name w:val="GPS L4 bold heading Char"/>
    <w:rPr>
      <w:rFonts w:cs="Arial" w:eastAsia="Times New Roman"/>
      <w:b w:val="1"/>
      <w:sz w:val="22"/>
      <w:szCs w:val="22"/>
      <w:lang w:eastAsia="zh-CN"/>
    </w:rPr>
  </w:style>
  <w:style w:type="numbering" w:styleId="WWOutlineListStyle7" w:customStyle="1">
    <w:name w:val="WW_OutlineListStyle_7"/>
    <w:basedOn w:val="NoList"/>
  </w:style>
  <w:style w:type="numbering" w:styleId="WWOutlineListStyle6" w:customStyle="1">
    <w:name w:val="WW_OutlineListStyle_6"/>
    <w:basedOn w:val="NoList"/>
  </w:style>
  <w:style w:type="numbering" w:styleId="WWOutlineListStyle5" w:customStyle="1">
    <w:name w:val="WW_OutlineListStyle_5"/>
    <w:basedOn w:val="NoList"/>
  </w:style>
  <w:style w:type="numbering" w:styleId="WWOutlineListStyle4" w:customStyle="1">
    <w:name w:val="WW_OutlineListStyle_4"/>
    <w:basedOn w:val="NoList"/>
  </w:style>
  <w:style w:type="numbering" w:styleId="WWOutlineListStyle3" w:customStyle="1">
    <w:name w:val="WW_OutlineListStyle_3"/>
    <w:basedOn w:val="NoList"/>
  </w:style>
  <w:style w:type="numbering" w:styleId="WWOutlineListStyle2" w:customStyle="1">
    <w:name w:val="WW_OutlineListStyle_2"/>
    <w:basedOn w:val="NoList"/>
  </w:style>
  <w:style w:type="numbering" w:styleId="WWOutlineListStyle1" w:customStyle="1">
    <w:name w:val="WW_OutlineListStyle_1"/>
    <w:basedOn w:val="NoList"/>
  </w:style>
  <w:style w:type="numbering" w:styleId="WWOutlineListStyle" w:customStyle="1">
    <w:name w:val="WW_OutlineListStyle"/>
    <w:basedOn w:val="NoList"/>
  </w:style>
  <w:style w:type="numbering" w:styleId="LFO7" w:customStyle="1">
    <w:name w:val="LFO7"/>
    <w:basedOn w:val="NoList"/>
  </w:style>
  <w:style w:type="numbering" w:styleId="LFO9" w:customStyle="1">
    <w:name w:val="LFO9"/>
    <w:basedOn w:val="NoList"/>
  </w:style>
  <w:style w:type="numbering" w:styleId="LFO10" w:customStyle="1">
    <w:name w:val="LFO10"/>
    <w:basedOn w:val="NoList"/>
  </w:style>
  <w:style w:type="numbering" w:styleId="LFO12" w:customStyle="1">
    <w:name w:val="LFO12"/>
    <w:basedOn w:val="NoList"/>
  </w:style>
  <w:style w:type="numbering" w:styleId="LFO13" w:customStyle="1">
    <w:name w:val="LFO13"/>
    <w:basedOn w:val="NoList"/>
  </w:style>
  <w:style w:type="table" w:styleId="LightShading-Accent5">
    <w:name w:val="Light Shading Accent 5"/>
    <w:basedOn w:val="TableNormal"/>
    <w:uiPriority w:val="60"/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TableGrid">
    <w:name w:val="Table Grid"/>
    <w:basedOn w:val="Table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stTable3-Accent51" w:customStyle="1">
    <w:name w:val="List Table 3 - Accent 51"/>
    <w:basedOn w:val="TableNormal"/>
    <w:uiPriority w:val="48"/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rPr>
        <w:b w:val="1"/>
        <w:bCs w:val="1"/>
      </w:rPr>
      <w:tblPr/>
      <w:tcPr>
        <w:tcBorders>
          <w:top w:color="4bacc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bacc6" w:space="0" w:sz="4" w:themeColor="accent5" w:val="single"/>
          <w:right w:color="4bacc6" w:space="0" w:sz="4" w:themeColor="accent5" w:val="single"/>
        </w:tcBorders>
      </w:tcPr>
    </w:tblStylePr>
    <w:tblStylePr w:type="band1Horz">
      <w:tblPr/>
      <w:tcPr>
        <w:tcBorders>
          <w:top w:color="4bacc6" w:space="0" w:sz="4" w:themeColor="accent5" w:val="single"/>
          <w:bottom w:color="4bacc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bacc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4bacc6" w:space="0" w:sz="4" w:themeColor="accent5" w:val="double"/>
          <w:right w:space="0" w:sz="0" w:val="nil"/>
        </w:tcBorders>
      </w:tcPr>
    </w:tblStylePr>
  </w:style>
  <w:style w:type="table" w:styleId="GridTable2-Accent51" w:customStyle="1">
    <w:name w:val="Grid Table 2 - Accent 51"/>
    <w:basedOn w:val="TableNormal"/>
    <w:uiPriority w:val="47"/>
    <w:tblPr>
      <w:tblStyleRowBandSize w:val="1"/>
      <w:tblStyleColBandSize w:val="1"/>
      <w:tblBorders>
        <w:top w:color="92cddc" w:space="0" w:sz="2" w:themeColor="accent5" w:themeTint="000099" w:val="single"/>
        <w:bottom w:color="92cddc" w:space="0" w:sz="2" w:themeColor="accent5" w:themeTint="000099" w:val="single"/>
        <w:insideH w:color="92cddc" w:space="0" w:sz="2" w:themeColor="accent5" w:themeTint="000099" w:val="single"/>
        <w:insideV w:color="92cd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2cdd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2cdd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3" w:themeFill="accent5" w:themeFillTint="000033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GridTable2-Accent11" w:customStyle="1">
    <w:name w:val="Grid Table 2 - Accent 11"/>
    <w:basedOn w:val="TableNormal"/>
    <w:uiPriority w:val="47"/>
    <w:tblPr>
      <w:tblStyleRowBandSize w:val="1"/>
      <w:tblStyleColBandSize w:val="1"/>
      <w:tblBorders>
        <w:top w:color="95b3d7" w:space="0" w:sz="2" w:themeColor="accent1" w:themeTint="000099" w:val="single"/>
        <w:bottom w:color="95b3d7" w:space="0" w:sz="2" w:themeColor="accent1" w:themeTint="000099" w:val="single"/>
        <w:insideH w:color="95b3d7" w:space="0" w:sz="2" w:themeColor="accent1" w:themeTint="000099" w:val="single"/>
        <w:insideV w:color="95b3d7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5b3d7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5b3d7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4-Accent11" w:customStyle="1">
    <w:name w:val="Grid Table 4 - Accent 11"/>
    <w:basedOn w:val="TableNormal"/>
    <w:uiPriority w:val="49"/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f81bd" w:space="0" w:sz="4" w:themeColor="accent1" w:val="single"/>
          <w:left w:color="4f81bd" w:space="0" w:sz="4" w:themeColor="accent1" w:val="single"/>
          <w:bottom w:color="4f81bd" w:space="0" w:sz="4" w:themeColor="accent1" w:val="single"/>
          <w:right w:color="4f81bd" w:space="0" w:sz="4" w:themeColor="accent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rPr>
        <w:b w:val="1"/>
        <w:bCs w:val="1"/>
      </w:rPr>
      <w:tblPr/>
      <w:tcPr>
        <w:tcBorders>
          <w:top w:color="4f81bd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GridTable6Colorful-Accent11" w:customStyle="1">
    <w:name w:val="Grid Table 6 Colorful - Accent 11"/>
    <w:basedOn w:val="TableNormal"/>
    <w:uiPriority w:val="51"/>
    <w:rPr>
      <w:color w:val="365f91" w:themeColor="accent1" w:themeShade="0000BF"/>
    </w:r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5b3d7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5b3d7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lang w:eastAsia="en-US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6" w:customStyle="1">
    <w:name w:val="6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5" w:customStyle="1">
    <w:name w:val="5"/>
    <w:basedOn w:val="TableNormal"/>
    <w:rPr>
      <w:color w:val="366091"/>
    </w:rPr>
    <w:tblPr>
      <w:tblStyleRowBandSize w:val="1"/>
      <w:tblStyleColBandSize w:val="1"/>
    </w:tblPr>
  </w:style>
  <w:style w:type="table" w:styleId="4" w:customStyle="1">
    <w:name w:val="4"/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table" w:styleId="3" w:customStyle="1">
    <w:name w:val="3"/>
    <w:basedOn w:val="TableNormal"/>
    <w:rPr>
      <w:color w:val="366091"/>
    </w:r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2" w:customStyle="1">
    <w:name w:val="2"/>
    <w:basedOn w:val="TableNormal"/>
    <w:rPr>
      <w:color w:val="366091"/>
    </w:rPr>
    <w:tblPr>
      <w:tblStyleRowBandSize w:val="1"/>
      <w:tblStyleColBandSize w:val="1"/>
    </w:tblPr>
  </w:style>
  <w:style w:type="table" w:styleId="1" w:customStyle="1">
    <w:name w:val="1"/>
    <w:basedOn w:val="TableNormal"/>
    <w:rPr>
      <w:color w:val="366091"/>
    </w:rPr>
    <w:tblPr>
      <w:tblStyleRowBandSize w:val="1"/>
      <w:tblStyleColBandSize w:val="1"/>
    </w:tblPr>
    <w:tblStylePr w:type="firstRow">
      <w:rPr>
        <w:b w:val="1"/>
      </w:rPr>
      <w:tblPr/>
      <w:tcPr>
        <w:tcBorders>
          <w:top w:space="0" w:sz="0" w:val="nil"/>
          <w:bottom w:color="95b3d7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</w:rPr>
      <w:tblPr/>
      <w:tcPr>
        <w:tcBorders>
          <w:top w:color="95b3d7" w:space="0" w:sz="4" w:val="sing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be5f1" w:val="clear"/>
      </w:tcPr>
    </w:tblStylePr>
    <w:tblStylePr w:type="band1Horz">
      <w:tblPr/>
      <w:tcPr>
        <w:shd w:color="auto" w:fill="dbe5f1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Table2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000000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000000" w:space="0" w:sz="6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Table2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footer" Target="footer1.xml"/><Relationship Id="rId12" Type="http://schemas.openxmlformats.org/officeDocument/2006/relationships/image" Target="media/image1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SqXACKVFSpTbTjL1j+YRBwDBYQ==">CgMxLjAyCGguZ2pkZ3hzMgloLjMwajB6bGwyCmlkLjMwajB6bGw4AHIhMWZ4OEo0X1NsOTZQeUI0dzZxclVCN2RZU2piYWhkeFl3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2023-02-27T13:25:00Z</dcterms:created>
  <dc:creator>Andrew Thomas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