
<file path=[Content_Types].xml><?xml version="1.0" encoding="utf-8"?>
<Types xmlns="http://schemas.openxmlformats.org/package/2006/content-types">
  <Default ContentType="application/vnd.openxmlformats-officedocument.spreadsheetml.sheet" Extension="xlsx"/>
  <Default ContentType="application/xml" Extension="xml"/>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Joint Schedule 12 (Supply Chain Visibility)</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4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198.0" w:type="dxa"/>
        <w:jc w:val="left"/>
        <w:tblInd w:w="52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"Contracts Finder"</w:t>
            </w:r>
          </w:p>
        </w:tc>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Government’s publishing portal for public sector procurement opportunities; </w:t>
            </w:r>
          </w:p>
        </w:tc>
      </w:tr>
      <w:tr>
        <w:trPr>
          <w:cantSplit w:val="0"/>
          <w:trHeight w:val="20" w:hRule="atLeast"/>
          <w:tblHeader w:val="0"/>
        </w:trPr>
        <w:tc>
          <w:tcPr/>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"SME"</w:t>
            </w:r>
          </w:p>
        </w:tc>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enterprise falling within the category of micro, small and medium sized enterprises defined by the Commission Recommendation of 6 May 2003 concerning the definition of micro, small and medium sized enterprises; </w:t>
            </w:r>
          </w:p>
        </w:tc>
      </w:tr>
      <w:tr>
        <w:trPr>
          <w:cantSplit w:val="0"/>
          <w:trHeight w:val="20" w:hRule="atLeast"/>
          <w:tblHeader w:val="0"/>
        </w:trPr>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“Supply Chain Information Report Template”</w:t>
            </w:r>
          </w:p>
        </w:tc>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at Annex 1 of this Schedule 12; and</w:t>
            </w:r>
          </w:p>
        </w:tc>
      </w:tr>
      <w:tr>
        <w:trPr>
          <w:cantSplit w:val="0"/>
          <w:trHeight w:val="20" w:hRule="atLeast"/>
          <w:tblHeader w:val="0"/>
        </w:trPr>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"VCSE"</w:t>
            </w:r>
          </w:p>
        </w:tc>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non-governmental organisation that is value-driven and which principally reinvests its surpluses to further social, environmental or cultural objectives.</w:t>
            </w:r>
          </w:p>
        </w:tc>
      </w:tr>
      <w:tr>
        <w:trPr>
          <w:cantSplit w:val="0"/>
          <w:trHeight w:val="20" w:hRule="atLeast"/>
          <w:tblHeader w:val="0"/>
        </w:trPr>
        <w:tc>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leader="none" w:pos="709"/>
                <w:tab w:val="left" w:leader="none"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Visibility of Sub-Contract Opportunities in the Supply Chain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2.3, advertise on Contracts Finder all Sub-Contract opportunities arising from or in connection with the provision of the Deliverables above a minimum threshold of £25,000 that arise during the Contract Period;</w:t>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90 days of awarding a Sub-Contract to a Subcontractor, update the notice on Contract Finder with details of the successful Subcontractor; </w:t>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the number, type and value of the Sub-Contract opportunities placed on Contracts Finder advertised and awarded in its supply chain during the Contract Period; </w:t>
      </w:r>
    </w:p>
    <w:p w:rsidR="00000000" w:rsidDel="00000000" w:rsidP="00000000" w:rsidRDefault="00000000" w:rsidRPr="00000000" w14:paraId="0000001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reports on the information at Paragraph 2.1.3 to the Relevant Authority in the format and frequency as reasonably specified by the Relevant Authority; and </w:t>
      </w:r>
    </w:p>
    <w:p w:rsidR="00000000" w:rsidDel="00000000" w:rsidP="00000000" w:rsidRDefault="00000000" w:rsidRPr="00000000" w14:paraId="0000001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 Contracts Finder to its suppliers and encourage those organisations to register on Contracts Finder.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advert referred to at Paragraph 2.1.1 of this Schedule 12 shall provide a full and detailed description of the Sub-Contract opportunity with each of the mandatory fields being completed on Contracts Finder by the Supplier.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on the Supplier set out at Paragraph 2.1 shall only apply in respect of Sub-Contract opportunities arising after the Effective Date.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Paragraph 2.1, the Authority may by giving its prior Approval, agree that a Sub-Contract opportunity is not required to be advertised by the Supplier on Contracts Finder.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Visibility of Supply Chain Spend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993" w:right="0" w:hanging="567"/>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contract revenue received directly on the Contract;</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value of sub-contracted revenues under the Contract (including revenues for non-SMEs/non-VCSEs); and</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value of sub-contracted revenues to SMEs and VCSEs.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99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further agrees and acknowledges that it may not make any amendment to the Supply Chain Information Report Template without the prior Approval of the Authority.  </w:t>
      </w:r>
    </w:p>
    <w:p w:rsidR="00000000" w:rsidDel="00000000" w:rsidP="00000000" w:rsidRDefault="00000000" w:rsidRPr="00000000" w14:paraId="0000002C">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ageBreakBefore w:val="0"/>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2E">
      <w:pPr>
        <w:pageBreakBefore w:val="0"/>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Information Report template</w:t>
      </w:r>
    </w:p>
    <w:p w:rsidR="00000000" w:rsidDel="00000000" w:rsidP="00000000" w:rsidRDefault="00000000" w:rsidRPr="00000000" w14:paraId="0000002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rFonts w:ascii="Arial" w:cs="Arial" w:eastAsia="Arial" w:hAnsi="Arial"/>
          <w:sz w:val="24"/>
          <w:szCs w:val="24"/>
        </w:rPr>
      </w:pPr>
      <w:r w:rsidDel="00000000" w:rsidR="00000000" w:rsidRPr="00000000">
        <w:rPr>
          <w:rFonts w:ascii="Arial" w:cs="Arial" w:eastAsia="Arial" w:hAnsi="Arial"/>
          <w:sz w:val="24"/>
          <w:szCs w:val="24"/>
        </w:rPr>
        <w:pict>
          <v:shape id="_x0000_i1029" style="width:116.8pt;height:56.8pt" o:ole="" type="#_x0000_t75">
            <v:imagedata r:id="rId1" o:title=""/>
          </v:shape>
          <o:OLEObject DrawAspect="Icon" r:id="rId2" ObjectID="_1467461564" ProgID="Excel.Sheet.12" ShapeID="_x0000_i1029" Type="Embed"/>
        </w:pict>
      </w:r>
      <w:r w:rsidDel="00000000" w:rsidR="00000000" w:rsidRPr="00000000">
        <w:rPr>
          <w:rtl w:val="0"/>
        </w:rPr>
      </w:r>
    </w:p>
    <w:p w:rsidR="00000000" w:rsidDel="00000000" w:rsidP="00000000" w:rsidRDefault="00000000" w:rsidRPr="00000000" w14:paraId="00000032">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ageBreakBefore w:val="0"/>
        <w:rPr>
          <w:rFonts w:ascii="Arial" w:cs="Arial" w:eastAsia="Arial" w:hAnsi="Arial"/>
          <w:sz w:val="24"/>
          <w:szCs w:val="24"/>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8">
    <w:pPr>
      <w:tabs>
        <w:tab w:val="center" w:leader="none" w:pos="4513"/>
        <w:tab w:val="right" w:leader="none" w:pos="9026"/>
      </w:tabs>
      <w:spacing w:after="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0"/>
        <w:szCs w:val="20"/>
        <w:rtl w:val="0"/>
      </w:rPr>
      <w:t xml:space="preserve">Framework Ref: RM1557.14L4</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 Version: 1.0</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 Version 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Schedule 12 (Supply Chain Visibility)</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Crown Copyright 20</w:t>
    </w:r>
    <w:r w:rsidDel="00000000" w:rsidR="00000000" w:rsidRPr="00000000">
      <w:rPr>
        <w:rFonts w:ascii="Arial" w:cs="Arial" w:eastAsia="Arial" w:hAnsi="Arial"/>
        <w:rtl w:val="0"/>
      </w:rPr>
      <w:t xml:space="preserve">23</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305DC"/>
    <w:pPr>
      <w:ind w:left="720"/>
      <w:contextualSpacing w:val="1"/>
    </w:pPr>
  </w:style>
  <w:style w:type="paragraph" w:styleId="Sectionheading" w:customStyle="1">
    <w:name w:val="Section heading"/>
    <w:basedOn w:val="Normal"/>
    <w:rsid w:val="001B27C3"/>
    <w:pPr>
      <w:suppressAutoHyphens w:val="1"/>
      <w:spacing w:after="0" w:line="360" w:lineRule="auto"/>
      <w:jc w:val="both"/>
    </w:pPr>
    <w:rPr>
      <w:rFonts w:ascii="Times New Roman" w:cs="Times New Roman" w:eastAsia="Times New Roman" w:hAnsi="Times New Roman"/>
      <w:b w:val="1"/>
      <w:bCs w:val="1"/>
      <w:sz w:val="24"/>
      <w:szCs w:val="24"/>
      <w:u w:val="single"/>
    </w:rPr>
  </w:style>
  <w:style w:type="paragraph" w:styleId="Header">
    <w:name w:val="header"/>
    <w:basedOn w:val="Normal"/>
    <w:link w:val="HeaderChar"/>
    <w:uiPriority w:val="99"/>
    <w:unhideWhenUsed w:val="1"/>
    <w:rsid w:val="009D7C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9D7CF0"/>
  </w:style>
  <w:style w:type="paragraph" w:styleId="Footer">
    <w:name w:val="footer"/>
    <w:basedOn w:val="Normal"/>
    <w:link w:val="FooterChar"/>
    <w:uiPriority w:val="99"/>
    <w:unhideWhenUsed w:val="1"/>
    <w:rsid w:val="009D7C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9D7CF0"/>
  </w:style>
  <w:style w:type="paragraph" w:styleId="GPSL2Numbered" w:customStyle="1">
    <w:name w:val="GPS L2 Numbered"/>
    <w:basedOn w:val="Normal"/>
    <w:link w:val="GPSL2NumberedChar"/>
    <w:qFormat w:val="1"/>
    <w:rsid w:val="0042661A"/>
    <w:pPr>
      <w:tabs>
        <w:tab w:val="left" w:pos="709"/>
        <w:tab w:val="left" w:pos="1134"/>
      </w:tabs>
      <w:adjustRightInd w:val="0"/>
      <w:spacing w:after="120" w:before="120" w:line="240" w:lineRule="auto"/>
      <w:ind w:hanging="360"/>
      <w:jc w:val="both"/>
    </w:pPr>
    <w:rPr>
      <w:rFonts w:ascii="Calibri" w:cs="Arial" w:eastAsia="Times New Roman" w:hAnsi="Calibri"/>
      <w:lang w:eastAsia="zh-CN"/>
    </w:rPr>
  </w:style>
  <w:style w:type="character" w:styleId="GPSL2NumberedChar" w:customStyle="1">
    <w:name w:val="GPS L2 Numbered Char"/>
    <w:link w:val="GPSL2Numbered"/>
    <w:locked w:val="1"/>
    <w:rsid w:val="0042661A"/>
    <w:rPr>
      <w:rFonts w:ascii="Calibri" w:cs="Arial" w:eastAsia="Times New Roman" w:hAnsi="Calibri"/>
      <w:lang w:eastAsia="zh-CN"/>
    </w:rPr>
  </w:style>
  <w:style w:type="table" w:styleId="TableGrid">
    <w:name w:val="Table Grid"/>
    <w:basedOn w:val="TableNormal"/>
    <w:uiPriority w:val="59"/>
    <w:rsid w:val="0042661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package" Target="embeddings/Microsoft_Excel_Sheet1.xlsx"/><Relationship Id="rId3" Type="http://schemas.openxmlformats.org/officeDocument/2006/relationships/theme" Target="theme/theme1.xml"/><Relationship Id="rId4" Type="http://schemas.openxmlformats.org/officeDocument/2006/relationships/settings" Target="setting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Q18tFrj7Ru0IJpHN2gv6jgxm9A==">CgMxLjAyCGguZ2pkZ3hzOAByITExSHRoWmpsOGhjUTAxei1Wa3J1Z2dpMTl4ZG1TX3JQMA==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2018-07-20T11:48:00Z</dcterms:created>
  <dc:creator>Nana Bowen</dc:creator>
</cp:coreProperties>
</file>