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C5D67" w:rsidRDefault="008F43CB">
      <w:pPr>
        <w:rPr>
          <w:rFonts w:ascii="Arial" w:eastAsia="Arial" w:hAnsi="Arial" w:cs="Arial"/>
          <w:sz w:val="20"/>
          <w:szCs w:val="20"/>
        </w:rPr>
      </w:pPr>
      <w:bookmarkStart w:id="0" w:name="_heading=h.gjdgxs" w:colFirst="0" w:colLast="0"/>
      <w:bookmarkStart w:id="1" w:name="_GoBack"/>
      <w:bookmarkEnd w:id="0"/>
      <w:bookmarkEnd w:id="1"/>
      <w:r>
        <w:rPr>
          <w:rFonts w:ascii="Arial" w:eastAsia="Arial" w:hAnsi="Arial" w:cs="Arial"/>
          <w:b/>
          <w:sz w:val="36"/>
          <w:szCs w:val="36"/>
        </w:rPr>
        <w:t>Joint Schedule 6 (Key Subcontractors)</w:t>
      </w:r>
    </w:p>
    <w:p w14:paraId="00000002" w14:textId="77777777" w:rsidR="004C5D67" w:rsidRDefault="008F43CB">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4C5D67" w:rsidRDefault="008F43CB">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4C5D67" w:rsidRDefault="008F43CB">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30j0zll" w:colFirst="0" w:colLast="0"/>
      <w:bookmarkEnd w:id="2"/>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4C5D67" w:rsidRDefault="008F43CB">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w:t>
      </w:r>
      <w:r>
        <w:rPr>
          <w:rFonts w:ascii="Arial" w:eastAsia="Arial" w:hAnsi="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w:t>
      </w:r>
      <w:r>
        <w:rPr>
          <w:rFonts w:ascii="Arial" w:eastAsia="Arial" w:hAnsi="Arial" w:cs="Arial"/>
          <w:color w:val="000000"/>
          <w:sz w:val="24"/>
          <w:szCs w:val="24"/>
        </w:rPr>
        <w:t xml:space="preserve"> The decision of CCS and the Buyer to consent or not will not be unreasonably withheld or delayed.  Where CCS consents to the appointment of a new Key Subcontractor then they will be added to section 18 of the Framework Award Form.  Where the Buyer consent</w:t>
      </w:r>
      <w:r>
        <w:rPr>
          <w:rFonts w:ascii="Arial" w:eastAsia="Arial" w:hAnsi="Arial" w:cs="Arial"/>
          <w:color w:val="000000"/>
          <w:sz w:val="24"/>
          <w:szCs w:val="24"/>
        </w:rPr>
        <w: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w:t>
      </w:r>
      <w:r>
        <w:rPr>
          <w:rFonts w:ascii="Arial" w:eastAsia="Arial" w:hAnsi="Arial" w:cs="Arial"/>
          <w:color w:val="000000"/>
          <w:sz w:val="24"/>
          <w:szCs w:val="24"/>
        </w:rPr>
        <w:t xml:space="preserve"> of a proposed Key Subcontractor may prejudice the provision of the Deliverables or may be contrary to its interests;</w:t>
      </w:r>
    </w:p>
    <w:p w14:paraId="00000007"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w:t>
      </w:r>
      <w:r>
        <w:rPr>
          <w:rFonts w:ascii="Arial" w:eastAsia="Arial" w:hAnsi="Arial" w:cs="Arial"/>
          <w:color w:val="000000"/>
          <w:sz w:val="24"/>
          <w:szCs w:val="24"/>
        </w:rPr>
        <w:t>/or</w:t>
      </w:r>
    </w:p>
    <w:p w14:paraId="00000008"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4C5D67" w:rsidRDefault="008F43CB">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1fob9te" w:colFirst="0" w:colLast="0"/>
      <w:bookmarkEnd w:id="3"/>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w:t>
      </w:r>
      <w:r>
        <w:rPr>
          <w:rFonts w:ascii="Arial" w:eastAsia="Arial" w:hAnsi="Arial" w:cs="Arial"/>
          <w:color w:val="000000"/>
          <w:sz w:val="24"/>
          <w:szCs w:val="24"/>
        </w:rPr>
        <w:t>dence that demonstrates to the reasonable satisfaction of the CCS and the Buyer that the proposed Key Sub-Contract has been agreed on "arm’s-length" terms;</w:t>
      </w:r>
    </w:p>
    <w:p w14:paraId="0000000D"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CCS, the Key Sub-Contract price expressed as a percentage of the total projected Framework Price</w:t>
      </w:r>
      <w:r>
        <w:rPr>
          <w:rFonts w:ascii="Arial" w:eastAsia="Arial" w:hAnsi="Arial" w:cs="Arial"/>
          <w:color w:val="000000"/>
          <w:sz w:val="24"/>
          <w:szCs w:val="24"/>
        </w:rPr>
        <w:t xml:space="preserve"> over the Framework Contract Period; </w:t>
      </w:r>
    </w:p>
    <w:p w14:paraId="0000000E"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0" w14:textId="77777777" w:rsidR="004C5D67" w:rsidRDefault="008F43CB">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3znysh7" w:colFirst="0" w:colLast="0"/>
      <w:bookmarkEnd w:id="4"/>
      <w:r>
        <w:rPr>
          <w:rFonts w:ascii="Arial" w:eastAsia="Arial" w:hAnsi="Arial" w:cs="Arial"/>
          <w:color w:val="000000"/>
          <w:sz w:val="24"/>
          <w:szCs w:val="24"/>
        </w:rPr>
        <w:lastRenderedPageBreak/>
        <w:t>If requested by CCS and/or the Buyer, within ten (10) Working Days of receipt of the information provided by the Supplier pursuant to</w:t>
      </w:r>
      <w:r>
        <w:rPr>
          <w:rFonts w:ascii="Arial" w:eastAsia="Arial" w:hAnsi="Arial" w:cs="Arial"/>
          <w:color w:val="000000"/>
          <w:sz w:val="24"/>
          <w:szCs w:val="24"/>
        </w:rPr>
        <w:t xml:space="preserve"> Paragraph 1.4, the Supplier shall also provide:</w:t>
      </w:r>
    </w:p>
    <w:p w14:paraId="00000011"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4C5D67" w:rsidRDefault="008F43CB">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5" w:name="_heading=h.2et92p0" w:colFirst="0" w:colLast="0"/>
      <w:bookmarkEnd w:id="5"/>
      <w:r>
        <w:rPr>
          <w:rFonts w:ascii="Arial" w:eastAsia="Arial" w:hAnsi="Arial" w:cs="Arial"/>
          <w:color w:val="000000"/>
          <w:sz w:val="24"/>
          <w:szCs w:val="24"/>
        </w:rPr>
        <w:t xml:space="preserve">The Supplier shall ensure that each new or replacement Key Sub-Contract shall include: </w:t>
      </w:r>
    </w:p>
    <w:p w14:paraId="00000014"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provisi</w:t>
      </w:r>
      <w:r>
        <w:rPr>
          <w:rFonts w:ascii="Arial" w:eastAsia="Arial" w:hAnsi="Arial" w:cs="Arial"/>
          <w:color w:val="000000"/>
          <w:sz w:val="24"/>
          <w:szCs w:val="24"/>
        </w:rPr>
        <w:t xml:space="preserve">on enabling CCS and the Buyer to enforce the Key Sub-Contract as if it were the Supplier; </w:t>
      </w:r>
    </w:p>
    <w:p w14:paraId="00000017"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w:t>
      </w:r>
      <w:r>
        <w:rPr>
          <w:rFonts w:ascii="Arial" w:eastAsia="Arial" w:hAnsi="Arial" w:cs="Arial"/>
          <w:color w:val="000000"/>
          <w:sz w:val="24"/>
          <w:szCs w:val="24"/>
        </w:rPr>
        <w:t>bligations no less onerous on the Key Subcontractor than those imposed on the Supplier under the Framework Contract in respect of:</w:t>
      </w:r>
    </w:p>
    <w:p w14:paraId="00000019" w14:textId="77777777" w:rsidR="004C5D67" w:rsidRDefault="008F43CB">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4C5D67" w:rsidRDefault="008F43CB">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w:t>
      </w:r>
      <w:r>
        <w:rPr>
          <w:rFonts w:ascii="Arial" w:eastAsia="Arial" w:hAnsi="Arial" w:cs="Arial"/>
          <w:color w:val="000000"/>
          <w:sz w:val="24"/>
          <w:szCs w:val="24"/>
        </w:rPr>
        <w:t>ut in Clause 16 (When you can share information);</w:t>
      </w:r>
    </w:p>
    <w:p w14:paraId="0000001B" w14:textId="77777777" w:rsidR="004C5D67" w:rsidRDefault="008F43CB">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4C5D67" w:rsidRDefault="008F43CB">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w:t>
      </w:r>
      <w:r>
        <w:rPr>
          <w:rFonts w:ascii="Arial" w:eastAsia="Arial" w:hAnsi="Arial" w:cs="Arial"/>
          <w:color w:val="000000"/>
          <w:sz w:val="24"/>
          <w:szCs w:val="24"/>
        </w:rPr>
        <w:t>, including the maintenance of Open Book Data; and</w:t>
      </w:r>
    </w:p>
    <w:p w14:paraId="0000001D" w14:textId="77777777" w:rsidR="004C5D67" w:rsidRDefault="008F43CB">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E"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w:t>
      </w:r>
      <w:r>
        <w:rPr>
          <w:rFonts w:ascii="Arial" w:eastAsia="Arial" w:hAnsi="Arial" w:cs="Arial"/>
          <w:color w:val="000000"/>
          <w:sz w:val="24"/>
          <w:szCs w:val="24"/>
        </w:rPr>
        <w:t>tract ends) of this Contract; and</w:t>
      </w:r>
    </w:p>
    <w:p w14:paraId="0000001F" w14:textId="77777777" w:rsidR="004C5D67" w:rsidRDefault="008F43CB">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sectPr w:rsidR="004C5D6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00000020" w14:textId="77777777" w:rsidR="004C5D67" w:rsidRDefault="004C5D67">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4C5D6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47013" w14:textId="77777777" w:rsidR="008F43CB" w:rsidRDefault="008F43CB">
      <w:pPr>
        <w:spacing w:after="0" w:line="240" w:lineRule="auto"/>
      </w:pPr>
      <w:r>
        <w:separator/>
      </w:r>
    </w:p>
  </w:endnote>
  <w:endnote w:type="continuationSeparator" w:id="0">
    <w:p w14:paraId="35E3F657" w14:textId="77777777" w:rsidR="008F43CB" w:rsidRDefault="008F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4C5D67" w:rsidRDefault="008F43C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p>
  <w:p w14:paraId="0000002B" w14:textId="79C32E74" w:rsidR="004C5D67" w:rsidRDefault="008F43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31570">
      <w:rPr>
        <w:rFonts w:ascii="Arial" w:eastAsia="Arial" w:hAnsi="Arial" w:cs="Arial"/>
        <w:color w:val="000000"/>
        <w:sz w:val="20"/>
        <w:szCs w:val="20"/>
      </w:rPr>
      <w:fldChar w:fldCharType="separate"/>
    </w:r>
    <w:r w:rsidR="00D3157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4C5D67" w:rsidRDefault="008F43CB">
    <w:pPr>
      <w:spacing w:after="0" w:line="240" w:lineRule="auto"/>
      <w:jc w:val="both"/>
      <w:rPr>
        <w:rFonts w:ascii="Arial" w:eastAsia="Arial" w:hAnsi="Arial" w:cs="Arial"/>
        <w:color w:val="BFBFBF"/>
        <w:sz w:val="20"/>
        <w:szCs w:val="20"/>
      </w:rPr>
    </w:pPr>
    <w:bookmarkStart w:id="6" w:name="_heading=h.tyjcwt" w:colFirst="0" w:colLast="0"/>
    <w:bookmarkEnd w:id="6"/>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7" w:name="bookmark=id.3dy6vkm"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4C5D67" w:rsidRDefault="004C5D67">
    <w:pPr>
      <w:tabs>
        <w:tab w:val="center" w:pos="4513"/>
        <w:tab w:val="right" w:pos="9026"/>
      </w:tabs>
      <w:spacing w:after="0"/>
      <w:jc w:val="both"/>
      <w:rPr>
        <w:rFonts w:ascii="Arial" w:eastAsia="Arial" w:hAnsi="Arial" w:cs="Arial"/>
        <w:sz w:val="20"/>
        <w:szCs w:val="20"/>
      </w:rPr>
    </w:pPr>
  </w:p>
  <w:p w14:paraId="00000027" w14:textId="77777777" w:rsidR="004C5D67" w:rsidRDefault="008F43C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4C5D67" w:rsidRDefault="008F43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4C5D67" w:rsidRDefault="008F43CB">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8D6E" w14:textId="77777777" w:rsidR="008F43CB" w:rsidRDefault="008F43CB">
      <w:pPr>
        <w:spacing w:after="0" w:line="240" w:lineRule="auto"/>
      </w:pPr>
      <w:r>
        <w:separator/>
      </w:r>
    </w:p>
  </w:footnote>
  <w:footnote w:type="continuationSeparator" w:id="0">
    <w:p w14:paraId="71BA7306" w14:textId="77777777" w:rsidR="008F43CB" w:rsidRDefault="008F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4C5D67" w:rsidRDefault="008F43C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77777777" w:rsidR="004C5D67" w:rsidRDefault="008F43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4C5D67" w:rsidRDefault="004C5D67">
    <w:pPr>
      <w:pBdr>
        <w:top w:val="nil"/>
        <w:left w:val="nil"/>
        <w:bottom w:val="nil"/>
        <w:right w:val="nil"/>
        <w:between w:val="nil"/>
      </w:pBdr>
      <w:tabs>
        <w:tab w:val="center" w:pos="4513"/>
        <w:tab w:val="right" w:pos="9026"/>
      </w:tabs>
      <w:spacing w:after="0" w:line="240" w:lineRule="auto"/>
      <w:rPr>
        <w:color w:val="000000"/>
      </w:rPr>
    </w:pPr>
  </w:p>
  <w:p w14:paraId="00000022" w14:textId="77777777" w:rsidR="004C5D67" w:rsidRDefault="004C5D67">
    <w:pPr>
      <w:pBdr>
        <w:top w:val="nil"/>
        <w:left w:val="nil"/>
        <w:bottom w:val="nil"/>
        <w:right w:val="nil"/>
        <w:between w:val="nil"/>
      </w:pBdr>
      <w:tabs>
        <w:tab w:val="center" w:pos="4513"/>
        <w:tab w:val="right" w:pos="9026"/>
      </w:tabs>
      <w:spacing w:after="0" w:line="240" w:lineRule="auto"/>
      <w:rPr>
        <w:color w:val="000000"/>
      </w:rPr>
    </w:pPr>
  </w:p>
  <w:p w14:paraId="00000023" w14:textId="77777777" w:rsidR="004C5D67" w:rsidRDefault="004C5D6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F767D"/>
    <w:multiLevelType w:val="multilevel"/>
    <w:tmpl w:val="EF369F10"/>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CB636BB"/>
    <w:multiLevelType w:val="multilevel"/>
    <w:tmpl w:val="A7B4500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67"/>
    <w:rsid w:val="004C5D67"/>
    <w:rsid w:val="008F43CB"/>
    <w:rsid w:val="00D3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ED0AA-6909-451A-ACE5-7690DC23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dUsSntDPtkdY9126UV46OtT6A==">CgMxLjAyCGguZ2pkZ3hzMgloLjMwajB6bGwyCWguMWZvYjl0ZTIJaC4zem55c2g3MgloLjJldDkycDAyCmlkLjNkeTZ2a20yCGgudHlqY3d0OAByITFmeExwLUdpbm11WVpjV2ZBN21QR2MtQ28zMlkzUkVwbQ==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2019-06-25T22:28:00Z</dcterms:created>
  <dcterms:modified xsi:type="dcterms:W3CDTF">2024-02-16T17:44:00Z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