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DFA36" w14:textId="77777777" w:rsidR="005B0204" w:rsidRDefault="005B0204">
      <w:pPr>
        <w:keepNext/>
        <w:pBdr>
          <w:top w:val="nil"/>
          <w:left w:val="nil"/>
          <w:bottom w:val="nil"/>
          <w:right w:val="nil"/>
          <w:between w:val="nil"/>
        </w:pBdr>
        <w:ind w:left="0"/>
        <w:jc w:val="left"/>
        <w:rPr>
          <w:b/>
          <w:color w:val="000000"/>
          <w:sz w:val="32"/>
          <w:szCs w:val="32"/>
        </w:rPr>
      </w:pPr>
    </w:p>
    <w:p w14:paraId="6224CDA5" w14:textId="77777777" w:rsidR="005B0204" w:rsidRDefault="006830BD">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38F21F97" w14:textId="77777777" w:rsidR="005B0204" w:rsidRDefault="006830BD">
      <w:pPr>
        <w:keepNext/>
        <w:numPr>
          <w:ilvl w:val="0"/>
          <w:numId w:val="5"/>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3BB2A5DE" w14:textId="77777777" w:rsidR="005B0204" w:rsidRDefault="006830BD">
      <w:pPr>
        <w:keepNext/>
        <w:numPr>
          <w:ilvl w:val="1"/>
          <w:numId w:val="5"/>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4"/>
        <w:tblW w:w="817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5B0204" w14:paraId="17192E8C" w14:textId="77777777">
        <w:tc>
          <w:tcPr>
            <w:tcW w:w="3097" w:type="dxa"/>
          </w:tcPr>
          <w:p w14:paraId="4F921076"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“Annual Revenue”</w:t>
            </w:r>
          </w:p>
        </w:tc>
        <w:tc>
          <w:tcPr>
            <w:tcW w:w="5075" w:type="dxa"/>
          </w:tcPr>
          <w:p w14:paraId="318E5E67" w14:textId="77777777" w:rsidR="005B0204" w:rsidRDefault="006830BD">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w:t>
            </w:r>
            <w:r>
              <w:rPr>
                <w:rFonts w:ascii="Arial" w:eastAsia="Arial" w:hAnsi="Arial" w:cs="Arial"/>
                <w:color w:val="000000"/>
                <w:sz w:val="24"/>
                <w:szCs w:val="24"/>
              </w:rPr>
              <w:t>er Group in its most recent published accounts, subject to the following methodology:</w:t>
            </w:r>
          </w:p>
          <w:p w14:paraId="3DC85F99" w14:textId="77777777" w:rsidR="005B0204" w:rsidRDefault="006830BD">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figures for accounting periods of other than 12 months should be scaled pro rata to produce a proforma figure for a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 and</w:t>
            </w:r>
          </w:p>
          <w:p w14:paraId="4B0843AD" w14:textId="77777777" w:rsidR="005B0204" w:rsidRDefault="006830BD">
            <w:pPr>
              <w:numPr>
                <w:ilvl w:val="0"/>
                <w:numId w:val="1"/>
              </w:numPr>
              <w:pBdr>
                <w:top w:val="nil"/>
                <w:left w:val="nil"/>
                <w:bottom w:val="nil"/>
                <w:right w:val="nil"/>
                <w:between w:val="nil"/>
              </w:pBdr>
              <w:spacing w:after="240"/>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5B0204" w14:paraId="06FECDAA" w14:textId="77777777">
        <w:tc>
          <w:tcPr>
            <w:tcW w:w="3097" w:type="dxa"/>
          </w:tcPr>
          <w:p w14:paraId="3C1B7D83" w14:textId="77777777" w:rsidR="005B0204" w:rsidRDefault="006830BD">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“Appropriate Authority” or “Appropriate Authorities”</w:t>
            </w:r>
          </w:p>
        </w:tc>
        <w:tc>
          <w:tcPr>
            <w:tcW w:w="5075" w:type="dxa"/>
          </w:tcPr>
          <w:p w14:paraId="05AADD77" w14:textId="77777777" w:rsidR="005B0204" w:rsidRDefault="006830BD">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5B0204" w14:paraId="2F12D143" w14:textId="77777777">
        <w:tc>
          <w:tcPr>
            <w:tcW w:w="3097" w:type="dxa"/>
          </w:tcPr>
          <w:p w14:paraId="7824A568" w14:textId="77777777" w:rsidR="005B0204" w:rsidRDefault="006830BD">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“Associates”</w:t>
            </w:r>
          </w:p>
        </w:tc>
        <w:tc>
          <w:tcPr>
            <w:tcW w:w="5075" w:type="dxa"/>
          </w:tcPr>
          <w:p w14:paraId="30EA7EE4" w14:textId="77777777" w:rsidR="005B0204" w:rsidRDefault="006830BD">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w:t>
            </w:r>
            <w:r>
              <w:rPr>
                <w:rFonts w:ascii="Arial" w:eastAsia="Arial" w:hAnsi="Arial" w:cs="Arial"/>
                <w:sz w:val="24"/>
                <w:szCs w:val="24"/>
              </w:rPr>
              <w:t>y or indirectly, between 20% and 50% of the voting rights and exercises a degree of control sufficient for the undertaking to be treated as an associate under generally accepted accounting principles;</w:t>
            </w:r>
          </w:p>
        </w:tc>
      </w:tr>
      <w:tr w:rsidR="005B0204" w14:paraId="6A9920BD" w14:textId="77777777">
        <w:tc>
          <w:tcPr>
            <w:tcW w:w="3097" w:type="dxa"/>
          </w:tcPr>
          <w:p w14:paraId="7FF2C869" w14:textId="77777777" w:rsidR="005B0204" w:rsidRDefault="006830BD">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14:paraId="1FFF5284" w14:textId="77777777" w:rsidR="005B0204" w:rsidRDefault="005B0204">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heading=h.ihv636" w:colFirst="0" w:colLast="0"/>
            <w:bookmarkEnd w:id="1"/>
          </w:p>
          <w:p w14:paraId="210D5ADC" w14:textId="77777777" w:rsidR="005B0204" w:rsidRDefault="006830BD">
            <w:pPr>
              <w:spacing w:before="120" w:after="120"/>
              <w:ind w:left="0"/>
              <w:jc w:val="left"/>
              <w:rPr>
                <w:rFonts w:ascii="Arial" w:eastAsia="Arial" w:hAnsi="Arial" w:cs="Arial"/>
                <w:sz w:val="24"/>
                <w:szCs w:val="24"/>
              </w:rPr>
            </w:pPr>
            <w:r>
              <w:rPr>
                <w:rFonts w:ascii="Arial" w:eastAsia="Arial" w:hAnsi="Arial" w:cs="Arial"/>
                <w:sz w:val="24"/>
                <w:szCs w:val="24"/>
              </w:rPr>
              <w:lastRenderedPageBreak/>
              <w:t>a plan which details the processes and arrangements that the Supplier shall follow to:</w:t>
            </w:r>
          </w:p>
          <w:p w14:paraId="186379A6" w14:textId="77777777" w:rsidR="005B0204" w:rsidRDefault="006830BD">
            <w:pPr>
              <w:numPr>
                <w:ilvl w:val="3"/>
                <w:numId w:val="6"/>
              </w:numPr>
              <w:tabs>
                <w:tab w:val="left" w:pos="1985"/>
                <w:tab w:val="left" w:pos="2127"/>
              </w:tabs>
              <w:spacing w:before="120" w:after="120"/>
              <w:rPr>
                <w:sz w:val="24"/>
                <w:szCs w:val="24"/>
              </w:rPr>
            </w:pPr>
            <w:r>
              <w:rPr>
                <w:rFonts w:ascii="Arial" w:eastAsia="Arial" w:hAnsi="Arial" w:cs="Arial"/>
                <w:sz w:val="24"/>
                <w:szCs w:val="24"/>
              </w:rPr>
              <w:t>ensure continuity of the business processes and operations supported by the Services following any failure or disruption of any element of the Deliverables; and</w:t>
            </w:r>
          </w:p>
          <w:p w14:paraId="3B3E92F9" w14:textId="77777777" w:rsidR="005B0204" w:rsidRDefault="006830BD">
            <w:pPr>
              <w:tabs>
                <w:tab w:val="left" w:pos="-9"/>
              </w:tabs>
              <w:spacing w:before="120" w:after="120"/>
              <w:ind w:left="1440" w:hanging="693"/>
              <w:jc w:val="left"/>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z w:val="24"/>
                <w:szCs w:val="24"/>
              </w:rPr>
              <w:t xml:space="preserve"> the recovery of the Deliverables in the event of a Disaster;</w:t>
            </w:r>
          </w:p>
        </w:tc>
      </w:tr>
      <w:tr w:rsidR="005B0204" w14:paraId="69DCDC29" w14:textId="77777777">
        <w:tc>
          <w:tcPr>
            <w:tcW w:w="3097" w:type="dxa"/>
          </w:tcPr>
          <w:p w14:paraId="0F89DB0A" w14:textId="77777777" w:rsidR="005B0204" w:rsidRDefault="006830BD">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lastRenderedPageBreak/>
              <w:t>"Business Continuity Plan"</w:t>
            </w:r>
          </w:p>
        </w:tc>
        <w:tc>
          <w:tcPr>
            <w:tcW w:w="5075" w:type="dxa"/>
          </w:tcPr>
          <w:p w14:paraId="36A4C315"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1.3.2 of this Schedule;</w:t>
            </w:r>
          </w:p>
        </w:tc>
      </w:tr>
      <w:tr w:rsidR="005B0204" w14:paraId="4E9AFB5B" w14:textId="77777777">
        <w:tc>
          <w:tcPr>
            <w:tcW w:w="3097" w:type="dxa"/>
          </w:tcPr>
          <w:p w14:paraId="58F70170"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“Class 1 Transaction”</w:t>
            </w:r>
          </w:p>
        </w:tc>
        <w:tc>
          <w:tcPr>
            <w:tcW w:w="5075" w:type="dxa"/>
          </w:tcPr>
          <w:p w14:paraId="16FEF8C9"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5B0204" w14:paraId="072685B5" w14:textId="77777777">
        <w:tc>
          <w:tcPr>
            <w:tcW w:w="3097" w:type="dxa"/>
          </w:tcPr>
          <w:p w14:paraId="2AA99EB6"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“Control”</w:t>
            </w:r>
          </w:p>
        </w:tc>
        <w:tc>
          <w:tcPr>
            <w:tcW w:w="5075" w:type="dxa"/>
          </w:tcPr>
          <w:p w14:paraId="483A7EFD"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xml:space="preserve">” </w:t>
            </w:r>
            <w:r>
              <w:rPr>
                <w:rFonts w:ascii="Arial" w:eastAsia="Arial" w:hAnsi="Arial" w:cs="Arial"/>
                <w:sz w:val="24"/>
                <w:szCs w:val="24"/>
              </w:rPr>
              <w:t>shall be interpreted accordingly;</w:t>
            </w:r>
          </w:p>
        </w:tc>
      </w:tr>
      <w:tr w:rsidR="005B0204" w14:paraId="7AFE6F19" w14:textId="77777777">
        <w:tc>
          <w:tcPr>
            <w:tcW w:w="3097" w:type="dxa"/>
          </w:tcPr>
          <w:p w14:paraId="6BE42367"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“Corporate Change Event”</w:t>
            </w:r>
          </w:p>
        </w:tc>
        <w:tc>
          <w:tcPr>
            <w:tcW w:w="5075" w:type="dxa"/>
          </w:tcPr>
          <w:p w14:paraId="2A2F1E88" w14:textId="77777777" w:rsidR="005B0204" w:rsidRDefault="006830BD">
            <w:pPr>
              <w:pBdr>
                <w:top w:val="nil"/>
                <w:left w:val="nil"/>
                <w:bottom w:val="nil"/>
                <w:right w:val="nil"/>
                <w:between w:val="nil"/>
              </w:pBdr>
              <w:spacing w:before="100"/>
              <w:ind w:left="0"/>
              <w:jc w:val="left"/>
              <w:rPr>
                <w:rFonts w:ascii="Arial" w:eastAsia="Arial" w:hAnsi="Arial" w:cs="Arial"/>
                <w:color w:val="000000"/>
                <w:sz w:val="24"/>
                <w:szCs w:val="24"/>
              </w:rPr>
            </w:pPr>
            <w:r>
              <w:rPr>
                <w:rFonts w:ascii="Arial" w:eastAsia="Arial" w:hAnsi="Arial" w:cs="Arial"/>
                <w:color w:val="000000"/>
                <w:sz w:val="24"/>
                <w:szCs w:val="24"/>
              </w:rPr>
              <w:t>means:</w:t>
            </w:r>
          </w:p>
          <w:p w14:paraId="6CB30179"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any change of Control of the Supplier or a Parent Undertaking of the Supplier;</w:t>
            </w:r>
          </w:p>
          <w:p w14:paraId="2A4C7665"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5266C8D9"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any change to the business of the Supplier or any member of the Supplier Group which, in the</w:t>
            </w:r>
            <w:r>
              <w:rPr>
                <w:rFonts w:ascii="Arial" w:eastAsia="Arial" w:hAnsi="Arial" w:cs="Arial"/>
                <w:color w:val="000000"/>
                <w:sz w:val="24"/>
                <w:szCs w:val="24"/>
              </w:rPr>
              <w:t xml:space="preserve"> reasonable opinion of the Buyer, could have a material adverse effect on the Deliverables;</w:t>
            </w:r>
          </w:p>
          <w:p w14:paraId="4C340399"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w:t>
            </w:r>
            <w:r>
              <w:rPr>
                <w:rFonts w:ascii="Arial" w:eastAsia="Arial" w:hAnsi="Arial" w:cs="Arial"/>
                <w:color w:val="000000"/>
                <w:sz w:val="24"/>
                <w:szCs w:val="24"/>
              </w:rPr>
              <w:t xml:space="preserve"> the London Stock Exchange plc;</w:t>
            </w:r>
          </w:p>
          <w:p w14:paraId="027AEB76"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40A7D067"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payment of dividends by the Supplier or the ultimate </w:t>
            </w:r>
            <w:r>
              <w:rPr>
                <w:rFonts w:ascii="Arial" w:eastAsia="Arial" w:hAnsi="Arial" w:cs="Arial"/>
                <w:color w:val="000000"/>
                <w:sz w:val="24"/>
                <w:szCs w:val="24"/>
              </w:rPr>
              <w:t xml:space="preserve">Parent Undertaking of the Supplier Group exceeding 25% of the Net Asset Value of the Supplier or the ultimate Parent Undertaking of the Supplier Group respectively in any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w:t>
            </w:r>
          </w:p>
          <w:p w14:paraId="00F2E4A7"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an order is made or an effective resolution is passed for the windin</w:t>
            </w:r>
            <w:r>
              <w:rPr>
                <w:rFonts w:ascii="Arial" w:eastAsia="Arial" w:hAnsi="Arial" w:cs="Arial"/>
                <w:color w:val="000000"/>
                <w:sz w:val="24"/>
                <w:szCs w:val="24"/>
              </w:rPr>
              <w:t xml:space="preserve">g up of any member of the Supplier Group; </w:t>
            </w:r>
          </w:p>
          <w:p w14:paraId="013A8DFF"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w:t>
            </w:r>
            <w:r>
              <w:rPr>
                <w:rFonts w:ascii="Arial" w:eastAsia="Arial" w:hAnsi="Arial" w:cs="Arial"/>
                <w:color w:val="000000"/>
                <w:sz w:val="24"/>
                <w:szCs w:val="24"/>
              </w:rPr>
              <w:t>ing to carry on all or substantially all its business, or any compromise, composition, arrangement or agreement being made with creditors of any member of the Supplier Group;</w:t>
            </w:r>
          </w:p>
          <w:p w14:paraId="3E663360" w14:textId="77777777" w:rsidR="005B0204" w:rsidRDefault="006830BD">
            <w:pPr>
              <w:numPr>
                <w:ilvl w:val="3"/>
                <w:numId w:val="5"/>
              </w:numPr>
              <w:pBdr>
                <w:top w:val="nil"/>
                <w:left w:val="nil"/>
                <w:bottom w:val="nil"/>
                <w:right w:val="nil"/>
                <w:between w:val="nil"/>
              </w:pBdr>
              <w:ind w:left="0" w:firstLine="0"/>
              <w:jc w:val="left"/>
              <w:rPr>
                <w:rFonts w:ascii="Arial" w:eastAsia="Arial" w:hAnsi="Arial" w:cs="Arial"/>
                <w:color w:val="000000"/>
                <w:sz w:val="24"/>
                <w:szCs w:val="24"/>
              </w:rPr>
            </w:pPr>
            <w:r>
              <w:rPr>
                <w:rFonts w:ascii="Arial" w:eastAsia="Arial" w:hAnsi="Arial" w:cs="Arial"/>
                <w:color w:val="000000"/>
                <w:sz w:val="24"/>
                <w:szCs w:val="24"/>
              </w:rPr>
              <w:t>the appointment of a receiver, administrative receiver or administrator in respec</w:t>
            </w:r>
            <w:r>
              <w:rPr>
                <w:rFonts w:ascii="Arial" w:eastAsia="Arial" w:hAnsi="Arial" w:cs="Arial"/>
                <w:color w:val="000000"/>
                <w:sz w:val="24"/>
                <w:szCs w:val="24"/>
              </w:rPr>
              <w:t>t of or over all or a material part of the undertaking or assets of any member of the Supplier Group; and/or</w:t>
            </w:r>
          </w:p>
          <w:p w14:paraId="71CDB0A4" w14:textId="77777777" w:rsidR="005B0204" w:rsidRDefault="006830BD">
            <w:pPr>
              <w:numPr>
                <w:ilvl w:val="3"/>
                <w:numId w:val="5"/>
              </w:numPr>
              <w:pBdr>
                <w:top w:val="nil"/>
                <w:left w:val="nil"/>
                <w:bottom w:val="nil"/>
                <w:right w:val="nil"/>
                <w:between w:val="nil"/>
              </w:pBdr>
              <w:spacing w:after="200"/>
              <w:ind w:left="0" w:firstLine="0"/>
              <w:jc w:val="left"/>
              <w:rPr>
                <w:rFonts w:ascii="Arial" w:eastAsia="Arial" w:hAnsi="Arial" w:cs="Arial"/>
                <w:color w:val="000000"/>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5B0204" w14:paraId="795FDAA0" w14:textId="77777777">
        <w:tc>
          <w:tcPr>
            <w:tcW w:w="3097" w:type="dxa"/>
          </w:tcPr>
          <w:p w14:paraId="0DF9051A"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“Critical National Infrastructure”</w:t>
            </w:r>
          </w:p>
        </w:tc>
        <w:tc>
          <w:tcPr>
            <w:tcW w:w="5075" w:type="dxa"/>
          </w:tcPr>
          <w:p w14:paraId="25456308" w14:textId="77777777" w:rsidR="005B0204" w:rsidRDefault="006830BD">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71F4E04D" w14:textId="77777777" w:rsidR="005B0204" w:rsidRDefault="006830BD">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major detrimental impact on</w:t>
            </w:r>
            <w:r>
              <w:rPr>
                <w:rFonts w:ascii="Arial" w:eastAsia="Arial" w:hAnsi="Arial" w:cs="Arial"/>
                <w:color w:val="000000"/>
                <w:sz w:val="24"/>
                <w:szCs w:val="24"/>
              </w:rPr>
              <w:t xml:space="preserve"> the availability, integrity or delivery of essential services – including those services whose integrity, if compromised, could result in significant loss of life or casualties – taking into account significant economic or social impacts; and/or</w:t>
            </w:r>
          </w:p>
          <w:p w14:paraId="5A4DE53A" w14:textId="77777777" w:rsidR="005B0204" w:rsidRDefault="006830BD">
            <w:pPr>
              <w:numPr>
                <w:ilvl w:val="0"/>
                <w:numId w:val="3"/>
              </w:numPr>
              <w:pBdr>
                <w:top w:val="nil"/>
                <w:left w:val="nil"/>
                <w:bottom w:val="nil"/>
                <w:right w:val="nil"/>
                <w:between w:val="nil"/>
              </w:pBdr>
              <w:tabs>
                <w:tab w:val="left" w:pos="-9"/>
              </w:tabs>
              <w:spacing w:after="240"/>
              <w:rPr>
                <w:rFonts w:ascii="Arial" w:eastAsia="Arial" w:hAnsi="Arial" w:cs="Arial"/>
                <w:color w:val="000000"/>
                <w:sz w:val="24"/>
                <w:szCs w:val="24"/>
              </w:rPr>
            </w:pPr>
            <w:r>
              <w:rPr>
                <w:rFonts w:ascii="Arial" w:eastAsia="Arial" w:hAnsi="Arial" w:cs="Arial"/>
                <w:sz w:val="24"/>
                <w:szCs w:val="24"/>
              </w:rPr>
              <w:t>significa</w:t>
            </w:r>
            <w:r>
              <w:rPr>
                <w:rFonts w:ascii="Arial" w:eastAsia="Arial" w:hAnsi="Arial" w:cs="Arial"/>
                <w:sz w:val="24"/>
                <w:szCs w:val="24"/>
              </w:rPr>
              <w:t>nt impact on the national security, national defence, or the functioning of the UK;</w:t>
            </w:r>
          </w:p>
        </w:tc>
      </w:tr>
      <w:tr w:rsidR="005B0204" w14:paraId="151D625D" w14:textId="77777777">
        <w:tc>
          <w:tcPr>
            <w:tcW w:w="3097" w:type="dxa"/>
          </w:tcPr>
          <w:p w14:paraId="6D53364A"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“Critical Service Contract”</w:t>
            </w:r>
          </w:p>
        </w:tc>
        <w:tc>
          <w:tcPr>
            <w:tcW w:w="5075" w:type="dxa"/>
          </w:tcPr>
          <w:p w14:paraId="2C56B2FD"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5B0204" w14:paraId="61FBD5F9" w14:textId="77777777">
        <w:tc>
          <w:tcPr>
            <w:tcW w:w="3097" w:type="dxa"/>
          </w:tcPr>
          <w:p w14:paraId="23534415"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“CRP Information”</w:t>
            </w:r>
          </w:p>
        </w:tc>
        <w:tc>
          <w:tcPr>
            <w:tcW w:w="5075" w:type="dxa"/>
          </w:tcPr>
          <w:p w14:paraId="4C67993E" w14:textId="77777777" w:rsidR="005B0204" w:rsidRDefault="006830BD">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together, the:</w:t>
            </w:r>
          </w:p>
          <w:p w14:paraId="3D6EC188" w14:textId="77777777" w:rsidR="005B0204" w:rsidRDefault="006830BD">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Group Structure Information and Resolution Commentary; and</w:t>
            </w:r>
          </w:p>
          <w:p w14:paraId="5D03485C"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5B0204" w14:paraId="7ABE58E7" w14:textId="77777777">
        <w:tc>
          <w:tcPr>
            <w:tcW w:w="3097" w:type="dxa"/>
          </w:tcPr>
          <w:p w14:paraId="154CA885" w14:textId="77777777" w:rsidR="005B0204" w:rsidRDefault="006830BD">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“Dependent Parent Undertaking”</w:t>
            </w:r>
          </w:p>
        </w:tc>
        <w:tc>
          <w:tcPr>
            <w:tcW w:w="5075" w:type="dxa"/>
          </w:tcPr>
          <w:p w14:paraId="38E9C1D8" w14:textId="77777777" w:rsidR="005B0204" w:rsidRDefault="006830BD">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sz w:val="24"/>
                <w:szCs w:val="24"/>
              </w:rPr>
              <w:t xml:space="preserve">means any Parent Undertaking which provides any of its Subsidiary Undertakings and/or Associates, whether directly or indirectly, with any financial, trading, managerial or other assistance of whatever nature, without which the Supplier would be unable to </w:t>
            </w:r>
            <w:r>
              <w:rPr>
                <w:rFonts w:ascii="Arial" w:eastAsia="Arial" w:hAnsi="Arial" w:cs="Arial"/>
                <w:sz w:val="24"/>
                <w:szCs w:val="24"/>
              </w:rPr>
              <w:t>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5B0204" w14:paraId="10FC67B2" w14:textId="77777777">
        <w:tc>
          <w:tcPr>
            <w:tcW w:w="3097" w:type="dxa"/>
          </w:tcPr>
          <w:p w14:paraId="73658329"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w:t>
            </w:r>
          </w:p>
        </w:tc>
        <w:tc>
          <w:tcPr>
            <w:tcW w:w="5075" w:type="dxa"/>
          </w:tcPr>
          <w:p w14:paraId="1865B5CE"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5B0204" w14:paraId="38369351" w14:textId="77777777">
        <w:tc>
          <w:tcPr>
            <w:tcW w:w="3097" w:type="dxa"/>
          </w:tcPr>
          <w:p w14:paraId="3E22D28F"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Deliverables"</w:t>
            </w:r>
          </w:p>
        </w:tc>
        <w:tc>
          <w:tcPr>
            <w:tcW w:w="5075" w:type="dxa"/>
          </w:tcPr>
          <w:p w14:paraId="58F488F2" w14:textId="77777777" w:rsidR="005B0204" w:rsidRDefault="006830BD">
            <w:pPr>
              <w:pBdr>
                <w:top w:val="nil"/>
                <w:left w:val="nil"/>
                <w:bottom w:val="nil"/>
                <w:right w:val="nil"/>
                <w:between w:val="nil"/>
              </w:pBdr>
              <w:tabs>
                <w:tab w:val="left" w:pos="-9"/>
                <w:tab w:val="left" w:pos="-17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5B0204" w14:paraId="26C45512" w14:textId="77777777">
        <w:tc>
          <w:tcPr>
            <w:tcW w:w="3097" w:type="dxa"/>
          </w:tcPr>
          <w:p w14:paraId="20BE5761"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14:paraId="412AEC9F"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w:t>
            </w:r>
            <w:r>
              <w:rPr>
                <w:rFonts w:ascii="Arial" w:eastAsia="Arial" w:hAnsi="Arial" w:cs="Arial"/>
                <w:sz w:val="24"/>
                <w:szCs w:val="24"/>
              </w:rPr>
              <w:t>1</w:t>
            </w:r>
            <w:r>
              <w:rPr>
                <w:rFonts w:ascii="Arial" w:eastAsia="Arial" w:hAnsi="Arial" w:cs="Arial"/>
                <w:color w:val="000000"/>
                <w:sz w:val="24"/>
                <w:szCs w:val="24"/>
              </w:rPr>
              <w:t>.3.3 of this Schedule;</w:t>
            </w:r>
          </w:p>
        </w:tc>
      </w:tr>
      <w:tr w:rsidR="005B0204" w14:paraId="44C3C40D" w14:textId="77777777">
        <w:tc>
          <w:tcPr>
            <w:tcW w:w="3097" w:type="dxa"/>
          </w:tcPr>
          <w:p w14:paraId="55006E0D"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14:paraId="0C8AD2C0"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system embodied in the processes and procedures for restoring the provision of Deliverables following the occurrence of a Disaster;</w:t>
            </w:r>
          </w:p>
        </w:tc>
      </w:tr>
      <w:tr w:rsidR="005B0204" w14:paraId="639ACDF6" w14:textId="77777777">
        <w:tc>
          <w:tcPr>
            <w:tcW w:w="3097" w:type="dxa"/>
          </w:tcPr>
          <w:p w14:paraId="2544F852"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“Group Structure Information and Resolution Commentary”</w:t>
            </w:r>
          </w:p>
        </w:tc>
        <w:tc>
          <w:tcPr>
            <w:tcW w:w="5075" w:type="dxa"/>
          </w:tcPr>
          <w:p w14:paraId="61F73435"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w:t>
            </w:r>
            <w:r>
              <w:rPr>
                <w:rFonts w:ascii="Arial" w:eastAsia="Arial" w:hAnsi="Arial" w:cs="Arial"/>
                <w:sz w:val="24"/>
                <w:szCs w:val="24"/>
              </w:rPr>
              <w:t>e Supplier Group to be provided by the Supplier in accordance with Paragraphs 2 to 4 and Appendix 1 to Part C;</w:t>
            </w:r>
          </w:p>
        </w:tc>
      </w:tr>
      <w:tr w:rsidR="005B0204" w14:paraId="60967A9B" w14:textId="77777777">
        <w:tc>
          <w:tcPr>
            <w:tcW w:w="3097" w:type="dxa"/>
          </w:tcPr>
          <w:p w14:paraId="44DC481C"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“Parent Undertaking”</w:t>
            </w:r>
          </w:p>
        </w:tc>
        <w:tc>
          <w:tcPr>
            <w:tcW w:w="5075" w:type="dxa"/>
          </w:tcPr>
          <w:p w14:paraId="51C729AC"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5B0204" w14:paraId="410EE13A" w14:textId="77777777">
        <w:tc>
          <w:tcPr>
            <w:tcW w:w="3097" w:type="dxa"/>
          </w:tcPr>
          <w:p w14:paraId="07EA8552"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“Public Sector Dependent Supplier”</w:t>
            </w:r>
          </w:p>
        </w:tc>
        <w:tc>
          <w:tcPr>
            <w:tcW w:w="5075" w:type="dxa"/>
          </w:tcPr>
          <w:p w14:paraId="4B095BAD"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 supplier where that supplier, or that supplier’s group has Annual Revenue of £50 million or more of which over 50% is generated from UK Public Se</w:t>
            </w:r>
            <w:r>
              <w:rPr>
                <w:rFonts w:ascii="Arial" w:eastAsia="Arial" w:hAnsi="Arial" w:cs="Arial"/>
                <w:sz w:val="24"/>
                <w:szCs w:val="24"/>
              </w:rPr>
              <w:t>ctor Business;</w:t>
            </w:r>
          </w:p>
        </w:tc>
      </w:tr>
      <w:tr w:rsidR="005B0204" w14:paraId="0E612758" w14:textId="77777777">
        <w:trPr>
          <w:trHeight w:val="567"/>
        </w:trPr>
        <w:tc>
          <w:tcPr>
            <w:tcW w:w="3097" w:type="dxa"/>
          </w:tcPr>
          <w:p w14:paraId="72E33EB1"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14:paraId="12E8F73A"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any person who provides Deliverables to the Buyer which are related to the Deliverables from time to time;</w:t>
            </w:r>
          </w:p>
        </w:tc>
      </w:tr>
      <w:tr w:rsidR="005B0204" w14:paraId="661CCE6C" w14:textId="77777777">
        <w:trPr>
          <w:trHeight w:val="567"/>
        </w:trPr>
        <w:tc>
          <w:tcPr>
            <w:tcW w:w="3097" w:type="dxa"/>
          </w:tcPr>
          <w:p w14:paraId="402F0215"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14:paraId="666FB26C"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6.3 of Part B of this Schedule;</w:t>
            </w:r>
          </w:p>
        </w:tc>
      </w:tr>
      <w:tr w:rsidR="005B0204" w14:paraId="3107F7A3" w14:textId="77777777">
        <w:trPr>
          <w:trHeight w:val="567"/>
        </w:trPr>
        <w:tc>
          <w:tcPr>
            <w:tcW w:w="3097" w:type="dxa"/>
          </w:tcPr>
          <w:p w14:paraId="7A27E25E"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“Strategic Supplier”</w:t>
            </w:r>
          </w:p>
        </w:tc>
        <w:tc>
          <w:tcPr>
            <w:tcW w:w="5075" w:type="dxa"/>
          </w:tcPr>
          <w:p w14:paraId="672427E2" w14:textId="77777777" w:rsidR="005B0204" w:rsidRDefault="006830BD">
            <w:pPr>
              <w:ind w:left="0"/>
              <w:jc w:val="left"/>
              <w:rPr>
                <w:rFonts w:ascii="Arial" w:eastAsia="Arial" w:hAnsi="Arial" w:cs="Arial"/>
                <w:sz w:val="24"/>
                <w:szCs w:val="24"/>
              </w:rPr>
            </w:pPr>
            <w:r>
              <w:rPr>
                <w:rFonts w:ascii="Arial" w:eastAsia="Arial" w:hAnsi="Arial" w:cs="Arial"/>
                <w:sz w:val="24"/>
                <w:szCs w:val="24"/>
              </w:rPr>
              <w:t>means those suppliers to government listed at</w:t>
            </w:r>
          </w:p>
          <w:p w14:paraId="711AED21" w14:textId="77777777" w:rsidR="005B0204" w:rsidRDefault="006830BD">
            <w:pPr>
              <w:ind w:left="0"/>
              <w:jc w:val="left"/>
              <w:rPr>
                <w:rFonts w:ascii="Arial" w:eastAsia="Arial" w:hAnsi="Arial" w:cs="Arial"/>
                <w:color w:val="000000"/>
                <w:sz w:val="24"/>
                <w:szCs w:val="24"/>
              </w:rPr>
            </w:pPr>
            <w:r>
              <w:rPr>
                <w:rFonts w:ascii="Arial" w:eastAsia="Arial" w:hAnsi="Arial" w:cs="Arial"/>
                <w:sz w:val="24"/>
                <w:szCs w:val="24"/>
              </w:rPr>
              <w:t>https://www.gov.uk/government/publications/strategic-suppliers;</w:t>
            </w:r>
          </w:p>
        </w:tc>
      </w:tr>
      <w:tr w:rsidR="005B0204" w14:paraId="1935CA6B" w14:textId="77777777">
        <w:trPr>
          <w:trHeight w:val="567"/>
        </w:trPr>
        <w:tc>
          <w:tcPr>
            <w:tcW w:w="3097" w:type="dxa"/>
          </w:tcPr>
          <w:p w14:paraId="19B3EA61"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“Subsidiary Undertaking”</w:t>
            </w:r>
          </w:p>
        </w:tc>
        <w:tc>
          <w:tcPr>
            <w:tcW w:w="5075" w:type="dxa"/>
          </w:tcPr>
          <w:p w14:paraId="26334DA0"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5B0204" w14:paraId="6FCD8D87" w14:textId="77777777">
        <w:trPr>
          <w:trHeight w:val="567"/>
        </w:trPr>
        <w:tc>
          <w:tcPr>
            <w:tcW w:w="3097" w:type="dxa"/>
          </w:tcPr>
          <w:p w14:paraId="3FA335CD"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7353C586"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5B0204" w14:paraId="2CBDEAC5" w14:textId="77777777">
        <w:tc>
          <w:tcPr>
            <w:tcW w:w="3097" w:type="dxa"/>
          </w:tcPr>
          <w:p w14:paraId="3BBB6AF4"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"Supplier's Proposals"</w:t>
            </w:r>
          </w:p>
        </w:tc>
        <w:tc>
          <w:tcPr>
            <w:tcW w:w="5075" w:type="dxa"/>
          </w:tcPr>
          <w:p w14:paraId="2002F6AC"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6.3 of Part B of this Schedule;</w:t>
            </w:r>
          </w:p>
        </w:tc>
      </w:tr>
      <w:tr w:rsidR="005B0204" w14:paraId="4A2F464D" w14:textId="77777777">
        <w:tc>
          <w:tcPr>
            <w:tcW w:w="3097" w:type="dxa"/>
          </w:tcPr>
          <w:p w14:paraId="0CE44995"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2CE78D95"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w:t>
            </w:r>
            <w:r>
              <w:rPr>
                <w:rFonts w:ascii="Arial" w:eastAsia="Arial" w:hAnsi="Arial" w:cs="Arial"/>
                <w:sz w:val="24"/>
                <w:szCs w:val="24"/>
              </w:rPr>
              <w:t>odies, police, fire and rescue, education bodies and devolved administrations; and</w:t>
            </w:r>
          </w:p>
        </w:tc>
      </w:tr>
      <w:tr w:rsidR="005B0204" w14:paraId="31FB660A" w14:textId="77777777">
        <w:tc>
          <w:tcPr>
            <w:tcW w:w="3097" w:type="dxa"/>
          </w:tcPr>
          <w:p w14:paraId="12A8C228" w14:textId="77777777" w:rsidR="005B0204" w:rsidRDefault="006830BD">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6F2D2543" w14:textId="77777777" w:rsidR="005B0204" w:rsidRDefault="006830BD">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of Pa</w:t>
            </w:r>
            <w:r>
              <w:rPr>
                <w:rFonts w:ascii="Arial" w:eastAsia="Arial" w:hAnsi="Arial" w:cs="Arial"/>
                <w:sz w:val="24"/>
                <w:szCs w:val="24"/>
              </w:rPr>
              <w:t>rt C and Appendix 2 of Part C;</w:t>
            </w:r>
          </w:p>
        </w:tc>
      </w:tr>
    </w:tbl>
    <w:p w14:paraId="14865A4A" w14:textId="77777777" w:rsidR="005B0204" w:rsidRDefault="005B0204">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01427565" w14:textId="77777777" w:rsidR="005B0204" w:rsidRDefault="006830BD">
      <w:pPr>
        <w:ind w:firstLine="1418"/>
        <w:rPr>
          <w:rFonts w:ascii="Arial Bold" w:eastAsia="Arial Bold" w:hAnsi="Arial Bold" w:cs="Arial Bold"/>
          <w:b/>
          <w:color w:val="000000"/>
          <w:sz w:val="24"/>
          <w:szCs w:val="24"/>
        </w:rPr>
      </w:pPr>
      <w:r>
        <w:br w:type="page"/>
      </w:r>
    </w:p>
    <w:p w14:paraId="6D9E531E" w14:textId="77777777" w:rsidR="005B0204" w:rsidRDefault="006830BD">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Part A: BCDR Plan</w:t>
      </w:r>
    </w:p>
    <w:p w14:paraId="6DE7A546" w14:textId="77777777" w:rsidR="005B0204" w:rsidRDefault="006830BD">
      <w:pPr>
        <w:spacing w:before="120" w:after="120"/>
        <w:ind w:left="0"/>
        <w:jc w:val="left"/>
        <w:rPr>
          <w:b/>
          <w:sz w:val="28"/>
          <w:szCs w:val="28"/>
        </w:rPr>
      </w:pPr>
      <w:r>
        <w:rPr>
          <w:b/>
          <w:sz w:val="28"/>
          <w:szCs w:val="28"/>
        </w:rPr>
        <w:t>Unless otherwise specified in this Schedule, this Part A shall apply only to Call-Off Contracts which have been awarded via Direct Award in accordance with Framework Schedule 7 (Call-Off Contract Award Procedure).</w:t>
      </w:r>
    </w:p>
    <w:p w14:paraId="6ABC7214" w14:textId="77777777" w:rsidR="005B0204" w:rsidRDefault="006830BD">
      <w:pPr>
        <w:spacing w:before="120" w:after="120"/>
        <w:ind w:left="0"/>
        <w:jc w:val="left"/>
        <w:rPr>
          <w:b/>
          <w:sz w:val="32"/>
          <w:szCs w:val="32"/>
        </w:rPr>
      </w:pPr>
      <w:r>
        <w:rPr>
          <w:sz w:val="24"/>
          <w:szCs w:val="24"/>
        </w:rPr>
        <w:t>[</w:t>
      </w:r>
      <w:r>
        <w:rPr>
          <w:b/>
          <w:sz w:val="24"/>
          <w:szCs w:val="24"/>
          <w:highlight w:val="yellow"/>
        </w:rPr>
        <w:t>Buyer Guidance:</w:t>
      </w:r>
      <w:r>
        <w:rPr>
          <w:b/>
          <w:sz w:val="24"/>
          <w:szCs w:val="24"/>
        </w:rPr>
        <w:t xml:space="preserve"> </w:t>
      </w:r>
      <w:r>
        <w:rPr>
          <w:sz w:val="24"/>
          <w:szCs w:val="24"/>
        </w:rPr>
        <w:t>This Part A should not be</w:t>
      </w:r>
      <w:r>
        <w:rPr>
          <w:sz w:val="24"/>
          <w:szCs w:val="24"/>
        </w:rPr>
        <w:t xml:space="preserve"> deleted from any Call-Off Contracts as it interacts with Part B in certain circumstances].</w:t>
      </w:r>
    </w:p>
    <w:p w14:paraId="5A7148A6" w14:textId="77777777" w:rsidR="005B0204" w:rsidRDefault="006830BD">
      <w:pPr>
        <w:keepNext/>
        <w:numPr>
          <w:ilvl w:val="0"/>
          <w:numId w:val="7"/>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46FCEAE9"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3" w:name="_heading=h.1fob9te" w:colFirst="0" w:colLast="0"/>
      <w:bookmarkEnd w:id="3"/>
      <w:r>
        <w:rPr>
          <w:color w:val="000000"/>
          <w:sz w:val="24"/>
          <w:szCs w:val="24"/>
        </w:rPr>
        <w:t>The Buyer and the Supplier recognise that, where specified in Framework Schedule 4 (Framework Management), CCS shall have the right to enforce the Buyer's rights under this Schedule.</w:t>
      </w:r>
    </w:p>
    <w:p w14:paraId="6FCCC7FB" w14:textId="77777777" w:rsidR="005B0204" w:rsidRDefault="006830BD">
      <w:pPr>
        <w:numPr>
          <w:ilvl w:val="1"/>
          <w:numId w:val="7"/>
        </w:numPr>
        <w:spacing w:before="120" w:after="120"/>
        <w:jc w:val="left"/>
        <w:rPr>
          <w:sz w:val="24"/>
          <w:szCs w:val="24"/>
        </w:rPr>
      </w:pPr>
      <w:r>
        <w:rPr>
          <w:sz w:val="24"/>
          <w:szCs w:val="24"/>
        </w:rPr>
        <w:t>Promptly (and in any event within 30 days) after the Start Date, the Supp</w:t>
      </w:r>
      <w:r>
        <w:rPr>
          <w:sz w:val="24"/>
          <w:szCs w:val="24"/>
        </w:rPr>
        <w:t>lier shall provide to the Buyer its BCDR Plan.</w:t>
      </w:r>
    </w:p>
    <w:p w14:paraId="1E20D222" w14:textId="77777777" w:rsidR="005B0204" w:rsidRDefault="006830BD">
      <w:pPr>
        <w:keepNext/>
        <w:numPr>
          <w:ilvl w:val="1"/>
          <w:numId w:val="7"/>
        </w:numPr>
        <w:spacing w:before="120" w:after="120"/>
        <w:jc w:val="left"/>
        <w:rPr>
          <w:sz w:val="24"/>
          <w:szCs w:val="24"/>
        </w:rPr>
      </w:pPr>
      <w:r>
        <w:rPr>
          <w:sz w:val="24"/>
          <w:szCs w:val="24"/>
        </w:rPr>
        <w:t>The Supplier shall ensure at all times that its BCDR Plan conforms with Good Industry Practice.</w:t>
      </w:r>
    </w:p>
    <w:p w14:paraId="6C2A3632" w14:textId="77777777" w:rsidR="005B0204" w:rsidRDefault="006830BD">
      <w:pPr>
        <w:keepNext/>
        <w:numPr>
          <w:ilvl w:val="1"/>
          <w:numId w:val="7"/>
        </w:numPr>
        <w:spacing w:before="120" w:after="120"/>
        <w:jc w:val="left"/>
        <w:rPr>
          <w:sz w:val="24"/>
          <w:szCs w:val="24"/>
        </w:rPr>
      </w:pPr>
      <w:r>
        <w:rPr>
          <w:sz w:val="24"/>
          <w:szCs w:val="24"/>
        </w:rPr>
        <w:t>The Supplier may from time to time during the Contract Period review, update, and/or test its BCDR Plan. The Supp</w:t>
      </w:r>
      <w:r>
        <w:rPr>
          <w:sz w:val="24"/>
          <w:szCs w:val="24"/>
        </w:rPr>
        <w:t xml:space="preserve">lier shall ensure that any use by it or any Subcontractor of "live" buyer data in such testing is first approved with the Buyer. Copies of live test data used in any such testing shall be (if </w:t>
      </w:r>
      <w:proofErr w:type="gramStart"/>
      <w:r>
        <w:rPr>
          <w:sz w:val="24"/>
          <w:szCs w:val="24"/>
        </w:rPr>
        <w:t>so</w:t>
      </w:r>
      <w:proofErr w:type="gramEnd"/>
      <w:r>
        <w:rPr>
          <w:sz w:val="24"/>
          <w:szCs w:val="24"/>
        </w:rPr>
        <w:t xml:space="preserve"> required by the Buyer) destroyed or returned to the Buyer on </w:t>
      </w:r>
      <w:r>
        <w:rPr>
          <w:sz w:val="24"/>
          <w:szCs w:val="24"/>
        </w:rPr>
        <w:t>completion of the test.</w:t>
      </w:r>
    </w:p>
    <w:p w14:paraId="2A6DFFD2" w14:textId="77777777" w:rsidR="005B0204" w:rsidRDefault="006830BD">
      <w:pPr>
        <w:keepNext/>
        <w:numPr>
          <w:ilvl w:val="1"/>
          <w:numId w:val="7"/>
        </w:numPr>
        <w:spacing w:before="120" w:after="120"/>
        <w:jc w:val="left"/>
        <w:rPr>
          <w:sz w:val="24"/>
          <w:szCs w:val="24"/>
        </w:rPr>
      </w:pPr>
      <w:r>
        <w:rPr>
          <w:sz w:val="24"/>
          <w:szCs w:val="24"/>
        </w:rPr>
        <w:t>The Supplier shall, within twenty (20) Working Days of the conclusion of each test of its BCDR Plan, provide to the Buyer a report setting out:</w:t>
      </w:r>
    </w:p>
    <w:p w14:paraId="58FBE53E" w14:textId="77777777" w:rsidR="005B0204" w:rsidRDefault="006830BD">
      <w:pPr>
        <w:numPr>
          <w:ilvl w:val="2"/>
          <w:numId w:val="7"/>
        </w:numPr>
        <w:tabs>
          <w:tab w:val="left" w:pos="1985"/>
          <w:tab w:val="left" w:pos="2127"/>
        </w:tabs>
        <w:spacing w:before="120" w:after="120"/>
        <w:jc w:val="left"/>
        <w:rPr>
          <w:sz w:val="24"/>
          <w:szCs w:val="24"/>
        </w:rPr>
      </w:pPr>
      <w:r>
        <w:rPr>
          <w:sz w:val="24"/>
          <w:szCs w:val="24"/>
        </w:rPr>
        <w:t>the outcome of the test;</w:t>
      </w:r>
    </w:p>
    <w:p w14:paraId="52966014" w14:textId="77777777" w:rsidR="005B0204" w:rsidRDefault="006830BD">
      <w:pPr>
        <w:numPr>
          <w:ilvl w:val="2"/>
          <w:numId w:val="7"/>
        </w:numPr>
        <w:tabs>
          <w:tab w:val="left" w:pos="1985"/>
          <w:tab w:val="left" w:pos="2127"/>
        </w:tabs>
        <w:spacing w:before="120" w:after="120"/>
        <w:jc w:val="left"/>
        <w:rPr>
          <w:sz w:val="24"/>
          <w:szCs w:val="24"/>
        </w:rPr>
      </w:pPr>
      <w:r>
        <w:rPr>
          <w:sz w:val="24"/>
          <w:szCs w:val="24"/>
        </w:rPr>
        <w:t>any failures in the BCDR Plan (including the BCDR Plan's proced</w:t>
      </w:r>
      <w:r>
        <w:rPr>
          <w:sz w:val="24"/>
          <w:szCs w:val="24"/>
        </w:rPr>
        <w:t>ures) revealed by the test; and</w:t>
      </w:r>
    </w:p>
    <w:p w14:paraId="6DF0AFF6" w14:textId="77777777" w:rsidR="005B0204" w:rsidRDefault="006830BD">
      <w:pPr>
        <w:numPr>
          <w:ilvl w:val="2"/>
          <w:numId w:val="7"/>
        </w:numPr>
        <w:tabs>
          <w:tab w:val="left" w:pos="1985"/>
          <w:tab w:val="left" w:pos="2127"/>
        </w:tabs>
        <w:spacing w:before="120" w:after="120"/>
        <w:jc w:val="left"/>
        <w:rPr>
          <w:sz w:val="24"/>
          <w:szCs w:val="24"/>
        </w:rPr>
      </w:pPr>
      <w:r>
        <w:rPr>
          <w:sz w:val="24"/>
          <w:szCs w:val="24"/>
        </w:rPr>
        <w:t>the Supplier's proposals for remedying any such failures.</w:t>
      </w:r>
    </w:p>
    <w:p w14:paraId="459B6242" w14:textId="77777777" w:rsidR="005B0204" w:rsidRDefault="006830BD">
      <w:pPr>
        <w:numPr>
          <w:ilvl w:val="1"/>
          <w:numId w:val="7"/>
        </w:numPr>
        <w:spacing w:before="120" w:after="120"/>
        <w:jc w:val="left"/>
        <w:rPr>
          <w:sz w:val="24"/>
          <w:szCs w:val="24"/>
        </w:rPr>
      </w:pPr>
      <w:r>
        <w:rPr>
          <w:sz w:val="24"/>
          <w:szCs w:val="24"/>
        </w:rPr>
        <w:t xml:space="preserve">In the event of a complete loss of service or in the event of a Disaster, the Supplier shall immediately invoke its BCDR Plan (and shall inform the Buyer promptly of </w:t>
      </w:r>
      <w:r>
        <w:rPr>
          <w:sz w:val="24"/>
          <w:szCs w:val="24"/>
        </w:rPr>
        <w:t>such invocation). In all other instances the Supplier shall invoke or test the BCDR Plan only with the prior consent of the Buyer.</w:t>
      </w:r>
    </w:p>
    <w:p w14:paraId="75155B69" w14:textId="77777777" w:rsidR="005B0204" w:rsidRDefault="006830BD">
      <w:pPr>
        <w:numPr>
          <w:ilvl w:val="1"/>
          <w:numId w:val="7"/>
        </w:numPr>
        <w:spacing w:before="120" w:after="120"/>
        <w:jc w:val="left"/>
        <w:rPr>
          <w:sz w:val="24"/>
          <w:szCs w:val="24"/>
        </w:rPr>
      </w:pPr>
      <w:r>
        <w:rPr>
          <w:sz w:val="24"/>
          <w:szCs w:val="24"/>
        </w:rPr>
        <w:t>To the extent the BCDR Plan contains processes, procedures, and/or other content which is designed to permit the continuity o</w:t>
      </w:r>
      <w:r>
        <w:rPr>
          <w:sz w:val="24"/>
          <w:szCs w:val="24"/>
        </w:rPr>
        <w:t>f the business operations of the Buyer supported by the Deliverables through continued provision of the Deliverables following an Insolvency Event of the Supplier, any Key Sub-contractor and/or any supplier, the BCDR Plan shall be invoked by the Supplier:</w:t>
      </w:r>
    </w:p>
    <w:p w14:paraId="4F60B864" w14:textId="77777777" w:rsidR="005B0204" w:rsidRDefault="006830BD">
      <w:pPr>
        <w:tabs>
          <w:tab w:val="left" w:pos="1985"/>
          <w:tab w:val="left" w:pos="2127"/>
        </w:tabs>
        <w:spacing w:before="120" w:after="120"/>
        <w:ind w:left="936"/>
        <w:rPr>
          <w:sz w:val="24"/>
          <w:szCs w:val="24"/>
        </w:rPr>
      </w:pPr>
      <w:bookmarkStart w:id="4" w:name="_heading=h.3whwml4" w:colFirst="0" w:colLast="0"/>
      <w:bookmarkEnd w:id="4"/>
      <w:r>
        <w:rPr>
          <w:sz w:val="24"/>
          <w:szCs w:val="24"/>
        </w:rPr>
        <w:t>where an Insolvency Event of a Key Sub-contractor and/or Supplier Group member (other than the Supplier) could reasonably be expected to adversely affect delivery of the Deliverables; and/or</w:t>
      </w:r>
    </w:p>
    <w:p w14:paraId="4C8EA7DF" w14:textId="77777777" w:rsidR="005B0204" w:rsidRDefault="006830BD">
      <w:pPr>
        <w:tabs>
          <w:tab w:val="left" w:pos="1985"/>
          <w:tab w:val="left" w:pos="2127"/>
        </w:tabs>
        <w:spacing w:before="120" w:after="120"/>
        <w:ind w:left="0"/>
        <w:rPr>
          <w:sz w:val="24"/>
          <w:szCs w:val="24"/>
        </w:rPr>
      </w:pPr>
      <w:r>
        <w:rPr>
          <w:sz w:val="24"/>
          <w:szCs w:val="24"/>
        </w:rPr>
        <w:t xml:space="preserve">              where there is an Insolvency Event of the Supplier </w:t>
      </w:r>
      <w:r>
        <w:rPr>
          <w:sz w:val="24"/>
          <w:szCs w:val="24"/>
        </w:rPr>
        <w:t xml:space="preserve">and the insolvency   </w:t>
      </w:r>
    </w:p>
    <w:p w14:paraId="17CB0429" w14:textId="77777777" w:rsidR="005B0204" w:rsidRDefault="006830BD">
      <w:pPr>
        <w:tabs>
          <w:tab w:val="left" w:pos="1985"/>
          <w:tab w:val="left" w:pos="2127"/>
        </w:tabs>
        <w:spacing w:before="120" w:after="120"/>
        <w:ind w:left="0"/>
        <w:rPr>
          <w:sz w:val="24"/>
          <w:szCs w:val="24"/>
        </w:rPr>
      </w:pPr>
      <w:r>
        <w:rPr>
          <w:sz w:val="24"/>
          <w:szCs w:val="24"/>
        </w:rPr>
        <w:lastRenderedPageBreak/>
        <w:t xml:space="preserve">             arrangements enable the Supplier to invoke the plan.</w:t>
      </w:r>
    </w:p>
    <w:p w14:paraId="626B4CD1" w14:textId="77777777" w:rsidR="005B0204" w:rsidRDefault="005B0204">
      <w:pPr>
        <w:tabs>
          <w:tab w:val="left" w:pos="1985"/>
          <w:tab w:val="left" w:pos="2127"/>
        </w:tabs>
        <w:spacing w:before="120" w:after="120"/>
        <w:ind w:left="1656"/>
        <w:rPr>
          <w:sz w:val="24"/>
          <w:szCs w:val="24"/>
        </w:rPr>
      </w:pPr>
    </w:p>
    <w:p w14:paraId="496EE968" w14:textId="77777777" w:rsidR="005B0204" w:rsidRDefault="006830BD">
      <w:pPr>
        <w:spacing w:before="120" w:after="120"/>
        <w:ind w:left="0"/>
        <w:jc w:val="left"/>
        <w:rPr>
          <w:b/>
          <w:sz w:val="32"/>
          <w:szCs w:val="32"/>
        </w:rPr>
      </w:pPr>
      <w:r>
        <w:rPr>
          <w:b/>
          <w:sz w:val="32"/>
          <w:szCs w:val="32"/>
        </w:rPr>
        <w:t>Part B: BCDR Plan - Long Form</w:t>
      </w:r>
    </w:p>
    <w:p w14:paraId="3EFD21CF" w14:textId="77777777" w:rsidR="005B0204" w:rsidRDefault="006830BD">
      <w:pPr>
        <w:spacing w:before="120" w:after="120"/>
        <w:ind w:left="0"/>
        <w:jc w:val="left"/>
        <w:rPr>
          <w:sz w:val="24"/>
          <w:szCs w:val="24"/>
        </w:rPr>
      </w:pPr>
      <w:r>
        <w:rPr>
          <w:sz w:val="24"/>
          <w:szCs w:val="24"/>
        </w:rPr>
        <w:t>This Part B shall apply to all Call-Off Contracts which have been awarded via a Further Competition procedure in accordance with Framework Schedule 7 (Call-Off Contract Award Procedure) and shall not apply to any Call-Off Contracts awarded via Direct Award</w:t>
      </w:r>
      <w:r>
        <w:rPr>
          <w:sz w:val="24"/>
          <w:szCs w:val="24"/>
        </w:rPr>
        <w:t xml:space="preserve">. </w:t>
      </w:r>
    </w:p>
    <w:p w14:paraId="1006D2AD" w14:textId="77777777" w:rsidR="005B0204" w:rsidRDefault="006830BD">
      <w:pPr>
        <w:keepNext/>
        <w:tabs>
          <w:tab w:val="left" w:pos="0"/>
        </w:tabs>
        <w:spacing w:before="240"/>
        <w:ind w:left="0"/>
        <w:jc w:val="left"/>
        <w:rPr>
          <w:sz w:val="24"/>
          <w:szCs w:val="24"/>
        </w:rPr>
      </w:pPr>
      <w:r>
        <w:rPr>
          <w:rFonts w:ascii="Arial Bold" w:eastAsia="Arial Bold" w:hAnsi="Arial Bold" w:cs="Arial Bold"/>
          <w:b/>
          <w:sz w:val="24"/>
          <w:szCs w:val="24"/>
        </w:rPr>
        <w:t>1.</w:t>
      </w:r>
      <w:r>
        <w:rPr>
          <w:rFonts w:ascii="Arial Bold" w:eastAsia="Arial Bold" w:hAnsi="Arial Bold" w:cs="Arial Bold"/>
          <w:b/>
          <w:sz w:val="24"/>
          <w:szCs w:val="24"/>
        </w:rPr>
        <w:tab/>
        <w:t>BCDR Plan</w:t>
      </w:r>
    </w:p>
    <w:p w14:paraId="70CCED78" w14:textId="77777777" w:rsidR="005B0204" w:rsidRDefault="006830BD">
      <w:pPr>
        <w:pBdr>
          <w:top w:val="nil"/>
          <w:left w:val="nil"/>
          <w:bottom w:val="nil"/>
          <w:right w:val="nil"/>
          <w:between w:val="nil"/>
        </w:pBdr>
        <w:spacing w:before="120" w:after="120"/>
        <w:ind w:left="0"/>
        <w:jc w:val="left"/>
        <w:rPr>
          <w:color w:val="000000"/>
          <w:sz w:val="24"/>
          <w:szCs w:val="24"/>
        </w:rPr>
      </w:pPr>
      <w:r>
        <w:rPr>
          <w:sz w:val="24"/>
          <w:szCs w:val="24"/>
        </w:rPr>
        <w:t>1.1</w:t>
      </w:r>
      <w:r>
        <w:rPr>
          <w:sz w:val="24"/>
          <w:szCs w:val="24"/>
        </w:rPr>
        <w:tab/>
      </w: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00BEFE66" w14:textId="77777777" w:rsidR="005B0204" w:rsidRDefault="006830BD">
      <w:pPr>
        <w:pBdr>
          <w:top w:val="nil"/>
          <w:left w:val="nil"/>
          <w:bottom w:val="nil"/>
          <w:right w:val="nil"/>
          <w:between w:val="nil"/>
        </w:pBdr>
        <w:tabs>
          <w:tab w:val="left" w:pos="1985"/>
          <w:tab w:val="left" w:pos="2127"/>
        </w:tabs>
        <w:spacing w:before="120" w:after="120"/>
        <w:ind w:left="720"/>
        <w:jc w:val="left"/>
        <w:rPr>
          <w:sz w:val="24"/>
          <w:szCs w:val="24"/>
        </w:rPr>
      </w:pPr>
      <w:r>
        <w:rPr>
          <w:sz w:val="24"/>
          <w:szCs w:val="24"/>
        </w:rPr>
        <w:t>1.1.</w:t>
      </w:r>
      <w:r>
        <w:rPr>
          <w:sz w:val="24"/>
          <w:szCs w:val="24"/>
        </w:rPr>
        <w:t xml:space="preserve">1   </w:t>
      </w:r>
      <w:r>
        <w:rPr>
          <w:color w:val="000000"/>
          <w:sz w:val="24"/>
          <w:szCs w:val="24"/>
        </w:rPr>
        <w:t>ensure continuity of the business processes and operations supported by the Services following any failure or disruption of any element of the Deliverables; and</w:t>
      </w:r>
    </w:p>
    <w:p w14:paraId="3A322E73" w14:textId="77777777" w:rsidR="005B0204" w:rsidRDefault="006830BD">
      <w:pPr>
        <w:pBdr>
          <w:top w:val="nil"/>
          <w:left w:val="nil"/>
          <w:bottom w:val="nil"/>
          <w:right w:val="nil"/>
          <w:between w:val="nil"/>
        </w:pBdr>
        <w:tabs>
          <w:tab w:val="left" w:pos="1985"/>
          <w:tab w:val="left" w:pos="2127"/>
        </w:tabs>
        <w:spacing w:before="120" w:after="120"/>
        <w:ind w:left="720"/>
        <w:jc w:val="left"/>
        <w:rPr>
          <w:color w:val="000000"/>
          <w:sz w:val="24"/>
          <w:szCs w:val="24"/>
        </w:rPr>
      </w:pPr>
      <w:r>
        <w:rPr>
          <w:sz w:val="24"/>
          <w:szCs w:val="24"/>
        </w:rPr>
        <w:t xml:space="preserve">1.1.2   </w:t>
      </w:r>
      <w:r>
        <w:rPr>
          <w:color w:val="000000"/>
          <w:sz w:val="24"/>
          <w:szCs w:val="24"/>
        </w:rPr>
        <w:t xml:space="preserve">the recovery of the Deliverables in the event of a Disaster </w:t>
      </w:r>
    </w:p>
    <w:p w14:paraId="322CCFBD" w14:textId="77777777" w:rsidR="005B0204" w:rsidRDefault="006830BD">
      <w:pPr>
        <w:keepNext/>
        <w:pBdr>
          <w:top w:val="nil"/>
          <w:left w:val="nil"/>
          <w:bottom w:val="nil"/>
          <w:right w:val="nil"/>
          <w:between w:val="nil"/>
        </w:pBdr>
        <w:spacing w:before="120" w:after="120"/>
        <w:ind w:left="0"/>
        <w:jc w:val="left"/>
        <w:rPr>
          <w:color w:val="000000"/>
          <w:sz w:val="24"/>
          <w:szCs w:val="24"/>
        </w:rPr>
      </w:pPr>
      <w:r>
        <w:rPr>
          <w:sz w:val="24"/>
          <w:szCs w:val="24"/>
        </w:rPr>
        <w:t xml:space="preserve">1.2      </w:t>
      </w:r>
      <w:r>
        <w:rPr>
          <w:color w:val="000000"/>
          <w:sz w:val="24"/>
          <w:szCs w:val="24"/>
        </w:rPr>
        <w:t>The BCDR Plan shall be divided into four sections:</w:t>
      </w:r>
    </w:p>
    <w:p w14:paraId="7C2A626B" w14:textId="77777777" w:rsidR="005B0204" w:rsidRDefault="006830BD">
      <w:pPr>
        <w:pBdr>
          <w:top w:val="nil"/>
          <w:left w:val="nil"/>
          <w:bottom w:val="nil"/>
          <w:right w:val="nil"/>
          <w:between w:val="nil"/>
        </w:pBdr>
        <w:tabs>
          <w:tab w:val="left" w:pos="1985"/>
          <w:tab w:val="left" w:pos="2127"/>
        </w:tabs>
        <w:spacing w:before="120" w:after="120"/>
        <w:ind w:left="720"/>
        <w:jc w:val="left"/>
        <w:rPr>
          <w:sz w:val="24"/>
          <w:szCs w:val="24"/>
        </w:rPr>
      </w:pPr>
      <w:bookmarkStart w:id="5" w:name="_heading=h.3znysh7" w:colFirst="0" w:colLast="0"/>
      <w:bookmarkEnd w:id="5"/>
      <w:r>
        <w:rPr>
          <w:sz w:val="24"/>
          <w:szCs w:val="24"/>
        </w:rPr>
        <w:t xml:space="preserve">1.2.1    </w:t>
      </w:r>
      <w:r>
        <w:rPr>
          <w:color w:val="000000"/>
          <w:sz w:val="24"/>
          <w:szCs w:val="24"/>
        </w:rPr>
        <w:t>Section 1 which shall set out general principles applicable to the BCDR Plan</w:t>
      </w:r>
    </w:p>
    <w:p w14:paraId="010E9E22" w14:textId="77777777" w:rsidR="005B0204" w:rsidRDefault="006830BD">
      <w:pPr>
        <w:pBdr>
          <w:top w:val="nil"/>
          <w:left w:val="nil"/>
          <w:bottom w:val="nil"/>
          <w:right w:val="nil"/>
          <w:between w:val="nil"/>
        </w:pBdr>
        <w:tabs>
          <w:tab w:val="left" w:pos="1985"/>
          <w:tab w:val="left" w:pos="2127"/>
        </w:tabs>
        <w:spacing w:before="120" w:after="120"/>
        <w:ind w:left="720"/>
        <w:jc w:val="left"/>
        <w:rPr>
          <w:sz w:val="24"/>
          <w:szCs w:val="24"/>
        </w:rPr>
      </w:pPr>
      <w:bookmarkStart w:id="6" w:name="_heading=h.3t0z7q997sqp" w:colFirst="0" w:colLast="0"/>
      <w:bookmarkEnd w:id="6"/>
      <w:r>
        <w:rPr>
          <w:sz w:val="24"/>
          <w:szCs w:val="24"/>
        </w:rPr>
        <w:t xml:space="preserve">1.2.2    </w:t>
      </w: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14:paraId="28D52A30" w14:textId="77777777" w:rsidR="005B0204" w:rsidRDefault="006830BD">
      <w:pPr>
        <w:pBdr>
          <w:top w:val="nil"/>
          <w:left w:val="nil"/>
          <w:bottom w:val="nil"/>
          <w:right w:val="nil"/>
          <w:between w:val="nil"/>
        </w:pBdr>
        <w:tabs>
          <w:tab w:val="left" w:pos="1985"/>
          <w:tab w:val="left" w:pos="2127"/>
        </w:tabs>
        <w:spacing w:before="120" w:after="120"/>
        <w:ind w:left="720"/>
        <w:jc w:val="left"/>
        <w:rPr>
          <w:color w:val="000000"/>
          <w:sz w:val="24"/>
          <w:szCs w:val="24"/>
        </w:rPr>
      </w:pPr>
      <w:bookmarkStart w:id="7" w:name="_heading=h.7rkkdmja59z" w:colFirst="0" w:colLast="0"/>
      <w:bookmarkEnd w:id="7"/>
      <w:r>
        <w:rPr>
          <w:sz w:val="24"/>
          <w:szCs w:val="24"/>
        </w:rPr>
        <w:t xml:space="preserve">1.2.3    </w:t>
      </w:r>
      <w:r>
        <w:rPr>
          <w:color w:val="000000"/>
          <w:sz w:val="24"/>
          <w:szCs w:val="24"/>
        </w:rPr>
        <w:t>Section 3 which</w:t>
      </w:r>
      <w:r>
        <w:rPr>
          <w:color w:val="000000"/>
          <w:sz w:val="24"/>
          <w:szCs w:val="24"/>
        </w:rPr>
        <w:t xml:space="preserve"> shall relate to disaster recovery (the </w:t>
      </w:r>
      <w:r>
        <w:rPr>
          <w:b/>
          <w:color w:val="000000"/>
          <w:sz w:val="24"/>
          <w:szCs w:val="24"/>
        </w:rPr>
        <w:t>"Disaster Recovery Plan"</w:t>
      </w:r>
      <w:r>
        <w:rPr>
          <w:color w:val="000000"/>
          <w:sz w:val="24"/>
          <w:szCs w:val="24"/>
        </w:rPr>
        <w:t>); and</w:t>
      </w:r>
      <w:r>
        <w:rPr>
          <w:sz w:val="24"/>
          <w:szCs w:val="24"/>
        </w:rPr>
        <w:t xml:space="preserve">1.2.4    </w:t>
      </w: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14:paraId="14C030E2" w14:textId="77777777" w:rsidR="005B0204" w:rsidRDefault="006830BD">
      <w:pPr>
        <w:pBdr>
          <w:top w:val="nil"/>
          <w:left w:val="nil"/>
          <w:bottom w:val="nil"/>
          <w:right w:val="nil"/>
          <w:between w:val="nil"/>
        </w:pBdr>
        <w:spacing w:before="120" w:after="120"/>
        <w:ind w:left="0"/>
        <w:jc w:val="left"/>
        <w:rPr>
          <w:color w:val="000000"/>
          <w:sz w:val="24"/>
          <w:szCs w:val="24"/>
        </w:rPr>
      </w:pPr>
      <w:bookmarkStart w:id="8" w:name="_heading=h.3dy6vkm" w:colFirst="0" w:colLast="0"/>
      <w:bookmarkEnd w:id="8"/>
      <w:r>
        <w:rPr>
          <w:sz w:val="24"/>
          <w:szCs w:val="24"/>
        </w:rPr>
        <w:t>1.3</w:t>
      </w:r>
      <w:r>
        <w:rPr>
          <w:sz w:val="24"/>
          <w:szCs w:val="24"/>
        </w:rPr>
        <w:tab/>
      </w:r>
      <w:r>
        <w:rPr>
          <w:color w:val="000000"/>
          <w:sz w:val="24"/>
          <w:szCs w:val="24"/>
        </w:rPr>
        <w:t>Following r</w:t>
      </w:r>
      <w:r>
        <w:rPr>
          <w:color w:val="000000"/>
          <w:sz w:val="24"/>
          <w:szCs w:val="24"/>
        </w:rPr>
        <w:t>eceipt of the draft BCDR Plan from the Supplier, the Parties shall use reasonable endeavours to agree the contents of the BCDR Plan. If the Parties are unable to agree the contents of the BCDR Plan within twenty (20) Working Days of its submission, then su</w:t>
      </w:r>
      <w:r>
        <w:rPr>
          <w:color w:val="000000"/>
          <w:sz w:val="24"/>
          <w:szCs w:val="24"/>
        </w:rPr>
        <w:t>ch Dispute shall be resolved in accordance with the Dispute Resolution Procedure.</w:t>
      </w:r>
    </w:p>
    <w:p w14:paraId="2C200AFB" w14:textId="77777777" w:rsidR="005B0204" w:rsidRDefault="006830BD">
      <w:pPr>
        <w:spacing w:before="120" w:after="120"/>
        <w:ind w:left="0"/>
        <w:jc w:val="left"/>
        <w:rPr>
          <w:sz w:val="24"/>
          <w:szCs w:val="24"/>
        </w:rPr>
      </w:pPr>
      <w:bookmarkStart w:id="9" w:name="_heading=h.qsh70q" w:colFirst="0" w:colLast="0"/>
      <w:bookmarkEnd w:id="9"/>
      <w:r>
        <w:rPr>
          <w:sz w:val="24"/>
          <w:szCs w:val="24"/>
        </w:rPr>
        <w:t>1.4</w:t>
      </w:r>
      <w:r>
        <w:rPr>
          <w:sz w:val="24"/>
          <w:szCs w:val="24"/>
        </w:rPr>
        <w:tab/>
        <w:t>To the extent the Supplier fails to supply its BCDR Plan in compliance with paragraph 1.2</w:t>
      </w:r>
      <w:proofErr w:type="gramStart"/>
      <w:r>
        <w:rPr>
          <w:sz w:val="24"/>
          <w:szCs w:val="24"/>
        </w:rPr>
        <w:t>,  the</w:t>
      </w:r>
      <w:proofErr w:type="gramEnd"/>
      <w:r>
        <w:rPr>
          <w:sz w:val="24"/>
          <w:szCs w:val="24"/>
        </w:rPr>
        <w:t xml:space="preserve"> Buyer may at its discretion require the Supplier to promptly provide its B</w:t>
      </w:r>
      <w:r>
        <w:rPr>
          <w:sz w:val="24"/>
          <w:szCs w:val="24"/>
        </w:rPr>
        <w:t>CDR Plan and comply with the provisions of Part A of this Schedule until the Supplier provides its BCDR Plan. Exercise by the Buyer of its rights under this paragraph 1.5 shall not prevent and/or restrict the Buyer from exercising its other rights and reme</w:t>
      </w:r>
      <w:r>
        <w:rPr>
          <w:sz w:val="24"/>
          <w:szCs w:val="24"/>
        </w:rPr>
        <w:t>dies under this Contract, and shall not relieve the Supplier of its obligations under this Part B.]</w:t>
      </w:r>
    </w:p>
    <w:p w14:paraId="64521C35" w14:textId="77777777" w:rsidR="005B0204" w:rsidRDefault="006830BD">
      <w:pPr>
        <w:keepNext/>
        <w:numPr>
          <w:ilvl w:val="0"/>
          <w:numId w:val="7"/>
        </w:numPr>
        <w:pBdr>
          <w:top w:val="nil"/>
          <w:left w:val="nil"/>
          <w:bottom w:val="nil"/>
          <w:right w:val="nil"/>
          <w:between w:val="nil"/>
        </w:pBdr>
        <w:tabs>
          <w:tab w:val="left" w:pos="0"/>
        </w:tabs>
        <w:spacing w:before="240"/>
        <w:jc w:val="left"/>
        <w:rPr>
          <w:b/>
          <w:smallCaps/>
          <w:color w:val="000000"/>
          <w:sz w:val="24"/>
          <w:szCs w:val="24"/>
        </w:rPr>
      </w:pPr>
      <w:bookmarkStart w:id="10" w:name="_heading=h.1t3h5sf" w:colFirst="0" w:colLast="0"/>
      <w:bookmarkEnd w:id="10"/>
      <w:r>
        <w:rPr>
          <w:rFonts w:ascii="Arial Bold" w:eastAsia="Arial Bold" w:hAnsi="Arial Bold" w:cs="Arial Bold"/>
          <w:b/>
          <w:color w:val="000000"/>
          <w:sz w:val="24"/>
          <w:szCs w:val="24"/>
        </w:rPr>
        <w:lastRenderedPageBreak/>
        <w:t>General Principles of the BCDR Plan (Section 1)</w:t>
      </w:r>
    </w:p>
    <w:p w14:paraId="3D10F75B"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bookmarkStart w:id="11" w:name="_heading=h.32hioqz" w:colFirst="0" w:colLast="0"/>
      <w:bookmarkEnd w:id="11"/>
      <w:r>
        <w:rPr>
          <w:color w:val="000000"/>
          <w:sz w:val="24"/>
          <w:szCs w:val="24"/>
        </w:rPr>
        <w:t>Section 1 of the BCDR Plan shall:</w:t>
      </w:r>
    </w:p>
    <w:p w14:paraId="4EEE34FA"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heading=h.1ci93xb" w:colFirst="0" w:colLast="0"/>
      <w:bookmarkEnd w:id="12"/>
      <w:r>
        <w:rPr>
          <w:color w:val="000000"/>
          <w:sz w:val="24"/>
          <w:szCs w:val="24"/>
        </w:rPr>
        <w:t>set out how the business continuity and disaster recovery elements of the BCDR Plan link to each other;</w:t>
      </w:r>
    </w:p>
    <w:p w14:paraId="23732946"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w:t>
      </w:r>
      <w:r>
        <w:rPr>
          <w:color w:val="000000"/>
          <w:sz w:val="24"/>
          <w:szCs w:val="24"/>
        </w:rPr>
        <w:t>ovided to the Buyer by a Related Supplier;</w:t>
      </w:r>
    </w:p>
    <w:p w14:paraId="14031CBA"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5671CB2F"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 how the BCDR Plan interoperates with any overarching dis</w:t>
      </w:r>
      <w:r>
        <w:rPr>
          <w:color w:val="000000"/>
          <w:sz w:val="24"/>
          <w:szCs w:val="24"/>
        </w:rPr>
        <w:t>aster recovery or business continuity plan of the Buyer and any Related Supplier(s) in each case as notified to the Supplier by the Buyer from time to time;</w:t>
      </w:r>
    </w:p>
    <w:p w14:paraId="668CAC14"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communication strategy including details of an incident and problem management service an</w:t>
      </w:r>
      <w:r>
        <w:rPr>
          <w:color w:val="000000"/>
          <w:sz w:val="24"/>
          <w:szCs w:val="24"/>
        </w:rPr>
        <w:t>d advice and help desk facility which can be accessed via multiple channels;</w:t>
      </w:r>
    </w:p>
    <w:p w14:paraId="3DB26B95" w14:textId="77777777" w:rsidR="005B0204" w:rsidRDefault="006830BD">
      <w:pPr>
        <w:keepNext/>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14:paraId="00D617B0" w14:textId="77777777" w:rsidR="005B0204" w:rsidRDefault="006830BD">
      <w:pPr>
        <w:numPr>
          <w:ilvl w:val="3"/>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14:paraId="30576546" w14:textId="77777777" w:rsidR="005B0204" w:rsidRDefault="006830BD">
      <w:pPr>
        <w:numPr>
          <w:ilvl w:val="3"/>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14:paraId="23D4F9F6" w14:textId="77777777" w:rsidR="005B0204" w:rsidRDefault="006830BD">
      <w:pPr>
        <w:numPr>
          <w:ilvl w:val="3"/>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w:t>
      </w:r>
      <w:r>
        <w:rPr>
          <w:color w:val="000000"/>
          <w:sz w:val="24"/>
          <w:szCs w:val="24"/>
        </w:rPr>
        <w:t>ion of the provision of Deliverables with the goods and/or services provided by a Related Supplier; and</w:t>
      </w:r>
    </w:p>
    <w:p w14:paraId="3C8614F1" w14:textId="77777777" w:rsidR="005B0204" w:rsidRDefault="006830BD">
      <w:pPr>
        <w:numPr>
          <w:ilvl w:val="3"/>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14:paraId="7EDE3714"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14:paraId="2DF3F466"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 and for the Buyer;</w:t>
      </w:r>
    </w:p>
    <w:p w14:paraId="02F3C9E5"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14:paraId="5D950BB0"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39EE534E"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responsibilities (if any) that the Buyer has agreed it will assume in the event of the inv</w:t>
      </w:r>
      <w:r>
        <w:rPr>
          <w:color w:val="000000"/>
          <w:sz w:val="24"/>
          <w:szCs w:val="24"/>
        </w:rPr>
        <w:t>ocation of the BCDR Plan;</w:t>
      </w:r>
    </w:p>
    <w:p w14:paraId="06FEA531"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7213F1B5"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13" w:name="_heading=h.1hmsyys" w:colFirst="0" w:colLast="0"/>
      <w:bookmarkEnd w:id="13"/>
      <w:r>
        <w:rPr>
          <w:color w:val="000000"/>
          <w:sz w:val="24"/>
          <w:szCs w:val="24"/>
        </w:rPr>
        <w:lastRenderedPageBreak/>
        <w:t>set out how the business continuity and disaster reco</w:t>
      </w:r>
      <w:r>
        <w:rPr>
          <w:color w:val="000000"/>
          <w:sz w:val="24"/>
          <w:szCs w:val="24"/>
        </w:rPr>
        <w:t>very elements of the BCDR Plan link to the Insolvency Continuity Plan, and how the Insolvency Continuity Plan links to the business continuity and disaster recovery elements of the BCDR Plan;</w:t>
      </w:r>
    </w:p>
    <w:p w14:paraId="022CB3B4"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w:t>
      </w:r>
      <w:r>
        <w:rPr>
          <w:color w:val="000000"/>
          <w:sz w:val="24"/>
          <w:szCs w:val="24"/>
        </w:rPr>
        <w:t xml:space="preserve"> and (at the Buyer’s request) any Related Supplier with respect to issues concerning insolvency continuity where applicable; and</w:t>
      </w:r>
    </w:p>
    <w:p w14:paraId="07F6B91D"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heading=h.41mghml" w:colFirst="0" w:colLast="0"/>
      <w:bookmarkEnd w:id="14"/>
      <w:r>
        <w:rPr>
          <w:color w:val="000000"/>
          <w:sz w:val="24"/>
          <w:szCs w:val="24"/>
        </w:rPr>
        <w:t xml:space="preserve">detail how the BCDR Plan links and interoperates with any overarching and/or connected insolvency continuity plan of the Buyer </w:t>
      </w:r>
      <w:r>
        <w:rPr>
          <w:color w:val="000000"/>
          <w:sz w:val="24"/>
          <w:szCs w:val="24"/>
        </w:rPr>
        <w:t>and any of its other Related Suppliers in each case as notified to the Supplier by the Buyer from time to time.</w:t>
      </w:r>
    </w:p>
    <w:p w14:paraId="1F285446"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The BCDR Plan shall be designed so as to ensure that:</w:t>
      </w:r>
    </w:p>
    <w:p w14:paraId="6935B784"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w:t>
      </w:r>
      <w:r>
        <w:rPr>
          <w:color w:val="000000"/>
          <w:sz w:val="24"/>
          <w:szCs w:val="24"/>
        </w:rPr>
        <w:t>er the invocation of the BCDR Plan;</w:t>
      </w:r>
    </w:p>
    <w:p w14:paraId="4CCE3974"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14:paraId="1E7EE7EA"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relevant provisions of ISO/IEC 27002; ISO22301/ISO22313 and all other industry standards from time to time in force; an</w:t>
      </w:r>
      <w:r>
        <w:rPr>
          <w:color w:val="000000"/>
          <w:sz w:val="24"/>
          <w:szCs w:val="24"/>
        </w:rPr>
        <w:t>d</w:t>
      </w:r>
    </w:p>
    <w:p w14:paraId="0593CE82"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14:paraId="1266042E"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6EBB1FF7"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w:t>
      </w:r>
      <w:r>
        <w:rPr>
          <w:color w:val="000000"/>
          <w:sz w:val="24"/>
          <w:szCs w:val="24"/>
        </w:rPr>
        <w:t>Performance Indicators (PI’s) or Service levels, or to any increase in the Charges to the extent that a Disaster occurs as a consequence of any breach by the Supplier of this Contract.</w:t>
      </w:r>
    </w:p>
    <w:p w14:paraId="1BC63CF8" w14:textId="77777777" w:rsidR="005B0204" w:rsidRDefault="006830BD">
      <w:pPr>
        <w:keepNext/>
        <w:numPr>
          <w:ilvl w:val="0"/>
          <w:numId w:val="7"/>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1F1DC1D9"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15" w:name="_heading=h.4d34og8" w:colFirst="0" w:colLast="0"/>
      <w:bookmarkEnd w:id="15"/>
      <w:r>
        <w:rPr>
          <w:color w:val="000000"/>
          <w:sz w:val="24"/>
          <w:szCs w:val="24"/>
        </w:rPr>
        <w:t xml:space="preserve">The Business Continuity Plan shall set </w:t>
      </w:r>
      <w:r>
        <w:rPr>
          <w:color w:val="000000"/>
          <w:sz w:val="24"/>
          <w:szCs w:val="24"/>
        </w:rPr>
        <w:t>out the arrangements that are to be invoked to ensure that the business processes facilitated by the provision of Deliverables remain supported and to ensure continuity of the business operations supported by the Services including:</w:t>
      </w:r>
    </w:p>
    <w:p w14:paraId="53A26DCF"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w:t>
      </w:r>
      <w:r>
        <w:rPr>
          <w:color w:val="000000"/>
          <w:sz w:val="24"/>
          <w:szCs w:val="24"/>
        </w:rPr>
        <w:t>es, options and responsibilities that may be adopted in the event of a failure in or disruption to the provision of Deliverables; and</w:t>
      </w:r>
    </w:p>
    <w:p w14:paraId="195B7F16"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steps to be taken by the Supplier upon resumption of the provision of Deliverables in order to address the effect of t</w:t>
      </w:r>
      <w:r>
        <w:rPr>
          <w:color w:val="000000"/>
          <w:sz w:val="24"/>
          <w:szCs w:val="24"/>
        </w:rPr>
        <w:t>he failure or disruption.</w:t>
      </w:r>
    </w:p>
    <w:p w14:paraId="66271D25"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14:paraId="05961074"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14:paraId="6901D6DA"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2s8eyo1" w:colFirst="0" w:colLast="0"/>
      <w:bookmarkEnd w:id="16"/>
      <w:r>
        <w:rPr>
          <w:color w:val="000000"/>
          <w:sz w:val="24"/>
          <w:szCs w:val="24"/>
        </w:rPr>
        <w:lastRenderedPageBreak/>
        <w:t>set out the goods and/or services to be provided and the steps to be taken to remedy the different levels of failures of and disruption to the Deliverables;</w:t>
      </w:r>
    </w:p>
    <w:p w14:paraId="069C698D"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w:t>
      </w:r>
      <w:r>
        <w:rPr>
          <w:color w:val="000000"/>
          <w:sz w:val="24"/>
          <w:szCs w:val="24"/>
        </w:rPr>
        <w:t>uring any period of invocation of the Business Continuity Plan; and</w:t>
      </w:r>
    </w:p>
    <w:p w14:paraId="3989FF78"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which the Business Continuity Plan is invoked.</w:t>
      </w:r>
    </w:p>
    <w:p w14:paraId="7E1A6FBD" w14:textId="77777777" w:rsidR="005B0204" w:rsidRDefault="006830BD">
      <w:pPr>
        <w:keepNext/>
        <w:numPr>
          <w:ilvl w:val="0"/>
          <w:numId w:val="7"/>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Disaster Recovery (Section 3)</w:t>
      </w:r>
    </w:p>
    <w:p w14:paraId="573D9AFF"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17" w:name="_heading=h.17dp8vu" w:colFirst="0" w:colLast="0"/>
      <w:bookmarkEnd w:id="17"/>
      <w:r>
        <w:rPr>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color w:val="000000"/>
          <w:sz w:val="24"/>
          <w:szCs w:val="24"/>
        </w:rPr>
        <w:t>following any Disaster or during any period of service failure or disruption with, as far as reasonably possible, minimal adverse impact.</w:t>
      </w:r>
    </w:p>
    <w:p w14:paraId="717013DB"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w:t>
      </w:r>
      <w:r>
        <w:rPr>
          <w:color w:val="000000"/>
          <w:sz w:val="24"/>
          <w:szCs w:val="24"/>
        </w:rPr>
        <w:t>lowing:</w:t>
      </w:r>
    </w:p>
    <w:p w14:paraId="73B6B5FC"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14:paraId="43708772"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14:paraId="4F0906D7"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14:paraId="28584B8F"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14:paraId="5E57848A"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14:paraId="5E8488EF"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14:paraId="1D861AC2"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14:paraId="3CBD4777"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14:paraId="446B628B"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14:paraId="66B03ED1"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w:t>
      </w:r>
      <w:r>
        <w:rPr>
          <w:color w:val="000000"/>
          <w:sz w:val="24"/>
          <w:szCs w:val="24"/>
        </w:rPr>
        <w:t>s in respect of the provision of other Deliverables during any period of invocation of the Disaster Recovery Plan;</w:t>
      </w:r>
    </w:p>
    <w:p w14:paraId="1266CD57"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w:t>
      </w:r>
      <w:r>
        <w:rPr>
          <w:color w:val="000000"/>
          <w:sz w:val="24"/>
          <w:szCs w:val="24"/>
        </w:rPr>
        <w:t>h the Disaster Recovery Plan is invoked;</w:t>
      </w:r>
    </w:p>
    <w:p w14:paraId="0CE04E49"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14:paraId="14280B88"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14:paraId="5F4F1F0B" w14:textId="77777777" w:rsidR="005B0204" w:rsidRDefault="006830BD">
      <w:pPr>
        <w:keepNext/>
        <w:numPr>
          <w:ilvl w:val="0"/>
          <w:numId w:val="7"/>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18" w:name="_heading=h.2grqrue" w:colFirst="0" w:colLast="0"/>
      <w:bookmarkEnd w:id="18"/>
      <w:r>
        <w:rPr>
          <w:rFonts w:ascii="Arial Bold" w:eastAsia="Arial Bold" w:hAnsi="Arial Bold" w:cs="Arial Bold"/>
          <w:b/>
          <w:color w:val="000000"/>
          <w:sz w:val="24"/>
          <w:szCs w:val="24"/>
        </w:rPr>
        <w:lastRenderedPageBreak/>
        <w:t>Insolvency Continuity Plan (Section 4)</w:t>
      </w:r>
    </w:p>
    <w:p w14:paraId="7966E380" w14:textId="77777777" w:rsidR="005B0204" w:rsidRDefault="006830BD">
      <w:pPr>
        <w:numPr>
          <w:ilvl w:val="1"/>
          <w:numId w:val="7"/>
        </w:numPr>
        <w:pBdr>
          <w:top w:val="nil"/>
          <w:left w:val="nil"/>
          <w:bottom w:val="nil"/>
          <w:right w:val="nil"/>
          <w:between w:val="nil"/>
        </w:pBdr>
        <w:spacing w:before="120" w:after="120"/>
        <w:rPr>
          <w:color w:val="000000"/>
          <w:sz w:val="24"/>
          <w:szCs w:val="24"/>
        </w:rPr>
      </w:pPr>
      <w:r>
        <w:rPr>
          <w:color w:val="000000"/>
          <w:sz w:val="24"/>
          <w:szCs w:val="24"/>
        </w:rPr>
        <w:t>The Insolvency Continuity Plan shall be designed b</w:t>
      </w:r>
      <w:r>
        <w:rPr>
          <w:color w:val="000000"/>
          <w:sz w:val="24"/>
          <w:szCs w:val="24"/>
        </w:rPr>
        <w:t>y the Supplier to permit continuity of the business operations of the Buyer supported by the Deliverables through continued provision of the Deliverables following an Insolvency Event of the Supplier, any Key Sub-contractor and/or any Supplier Group member</w:t>
      </w:r>
      <w:r>
        <w:rPr>
          <w:color w:val="000000"/>
          <w:sz w:val="24"/>
          <w:szCs w:val="24"/>
        </w:rPr>
        <w:t xml:space="preserve"> with, as far as reasonably possible, minimal adverse impact.</w:t>
      </w:r>
    </w:p>
    <w:p w14:paraId="7B32A506" w14:textId="77777777" w:rsidR="005B0204" w:rsidRDefault="006830BD">
      <w:pPr>
        <w:numPr>
          <w:ilvl w:val="1"/>
          <w:numId w:val="7"/>
        </w:numPr>
        <w:pBdr>
          <w:top w:val="nil"/>
          <w:left w:val="nil"/>
          <w:bottom w:val="nil"/>
          <w:right w:val="nil"/>
          <w:between w:val="nil"/>
        </w:pBdr>
        <w:spacing w:before="120" w:after="120"/>
        <w:rPr>
          <w:color w:val="000000"/>
          <w:sz w:val="24"/>
          <w:szCs w:val="24"/>
        </w:rPr>
      </w:pPr>
      <w:r>
        <w:rPr>
          <w:color w:val="000000"/>
          <w:sz w:val="24"/>
          <w:szCs w:val="24"/>
        </w:rPr>
        <w:t>The Insolvency Continuity Plan shall include the following:</w:t>
      </w:r>
    </w:p>
    <w:p w14:paraId="60F1DD60" w14:textId="77777777" w:rsidR="005B0204" w:rsidRDefault="006830BD">
      <w:pPr>
        <w:numPr>
          <w:ilvl w:val="2"/>
          <w:numId w:val="7"/>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w:t>
      </w:r>
      <w:r>
        <w:rPr>
          <w:color w:val="000000"/>
          <w:sz w:val="24"/>
          <w:szCs w:val="24"/>
        </w:rPr>
        <w:t>contractor personnel and Supplier Group member personnel;</w:t>
      </w:r>
    </w:p>
    <w:p w14:paraId="39C69201" w14:textId="77777777" w:rsidR="005B0204" w:rsidRDefault="006830BD">
      <w:pPr>
        <w:numPr>
          <w:ilvl w:val="2"/>
          <w:numId w:val="7"/>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identification, explanation, assessment and an impact analysis of risks in respect of dependencies between the Supplier, Key Subcontractors and Supplier Group members where failure of those dependen</w:t>
      </w:r>
      <w:r>
        <w:rPr>
          <w:color w:val="000000"/>
          <w:sz w:val="24"/>
          <w:szCs w:val="24"/>
        </w:rPr>
        <w:t>cies could reasonably have an adverse impact on the Deliverables;</w:t>
      </w:r>
    </w:p>
    <w:p w14:paraId="11DBF9F2" w14:textId="77777777" w:rsidR="005B0204" w:rsidRDefault="006830BD">
      <w:pPr>
        <w:numPr>
          <w:ilvl w:val="2"/>
          <w:numId w:val="7"/>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plans to manage and mitigate identified risks;</w:t>
      </w:r>
    </w:p>
    <w:p w14:paraId="3F107AA0" w14:textId="77777777" w:rsidR="005B0204" w:rsidRDefault="006830BD">
      <w:pPr>
        <w:numPr>
          <w:ilvl w:val="2"/>
          <w:numId w:val="7"/>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details of the roles and responsibilities of the Supplier, Key Subcontractors and/or Supplier Group members to minimise and mitigate the effect</w:t>
      </w:r>
      <w:r>
        <w:rPr>
          <w:color w:val="000000"/>
          <w:sz w:val="24"/>
          <w:szCs w:val="24"/>
        </w:rPr>
        <w:t>s of an Insolvency Event of such persons on the Deliverables;</w:t>
      </w:r>
    </w:p>
    <w:p w14:paraId="763D316D" w14:textId="77777777" w:rsidR="005B0204" w:rsidRDefault="006830BD">
      <w:pPr>
        <w:numPr>
          <w:ilvl w:val="2"/>
          <w:numId w:val="7"/>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14:paraId="249E129E" w14:textId="77777777" w:rsidR="005B0204" w:rsidRDefault="006830BD">
      <w:pPr>
        <w:numPr>
          <w:ilvl w:val="2"/>
          <w:numId w:val="7"/>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sufficient detail to enabl</w:t>
      </w:r>
      <w:r>
        <w:rPr>
          <w:color w:val="000000"/>
          <w:sz w:val="24"/>
          <w:szCs w:val="24"/>
        </w:rPr>
        <w:t>e an appointed insolvency practitioner to invoke the plan in the event of an Insolvency Event of the Supplier.</w:t>
      </w:r>
    </w:p>
    <w:p w14:paraId="5F3D0027" w14:textId="77777777" w:rsidR="005B0204" w:rsidRDefault="006830BD">
      <w:pPr>
        <w:keepNext/>
        <w:numPr>
          <w:ilvl w:val="0"/>
          <w:numId w:val="7"/>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14:paraId="423BC052"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bookmarkStart w:id="19" w:name="_heading=h.3rdcrjn" w:colFirst="0" w:colLast="0"/>
      <w:bookmarkEnd w:id="19"/>
      <w:r>
        <w:rPr>
          <w:color w:val="000000"/>
          <w:sz w:val="24"/>
          <w:szCs w:val="24"/>
        </w:rPr>
        <w:t>The Supplier shall review the BCDR Plan:</w:t>
      </w:r>
    </w:p>
    <w:p w14:paraId="094DCFB3"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26in1rg" w:colFirst="0" w:colLast="0"/>
      <w:bookmarkEnd w:id="20"/>
      <w:r>
        <w:rPr>
          <w:color w:val="000000"/>
          <w:sz w:val="24"/>
          <w:szCs w:val="24"/>
        </w:rPr>
        <w:t>on a regular basis and as a minimum once every six (6) Months;</w:t>
      </w:r>
    </w:p>
    <w:p w14:paraId="0925CB91"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21" w:name="_heading=h.lnxbz9" w:colFirst="0" w:colLast="0"/>
      <w:bookmarkEnd w:id="21"/>
      <w:r>
        <w:rPr>
          <w:color w:val="000000"/>
          <w:sz w:val="24"/>
          <w:szCs w:val="24"/>
        </w:rPr>
        <w:t>within three (3) calendar Months of the BCDR Plan (or any part) having been invoked pursuant to Paragraph 8 of Part B; and</w:t>
      </w:r>
    </w:p>
    <w:p w14:paraId="09FF1C5F"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bookmarkStart w:id="22" w:name="_heading=h.35nkun2" w:colFirst="0" w:colLast="0"/>
      <w:bookmarkEnd w:id="22"/>
      <w:r>
        <w:rPr>
          <w:color w:val="000000"/>
          <w:sz w:val="24"/>
          <w:szCs w:val="24"/>
        </w:rPr>
        <w:t>where the Buyer requests in writing any additional reviews (over and a</w:t>
      </w:r>
      <w:r>
        <w:rPr>
          <w:color w:val="000000"/>
          <w:sz w:val="24"/>
          <w:szCs w:val="24"/>
        </w:rPr>
        <w:t>bove those provided for in Paragraphs 6.1.1 and 6.1.2 of Part B of this Schedule) whereupon the Supplier shall conduct such reviews in accordance with the Buyer’s written requirements. Prior to starting its review, the Supplier shall provide an accurate wr</w:t>
      </w:r>
      <w:r>
        <w:rPr>
          <w:color w:val="000000"/>
          <w:sz w:val="24"/>
          <w:szCs w:val="24"/>
        </w:rPr>
        <w:t xml:space="preserve">itten estimate of the 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w:t>
      </w:r>
      <w:r>
        <w:rPr>
          <w:color w:val="000000"/>
          <w:sz w:val="24"/>
          <w:szCs w:val="24"/>
        </w:rPr>
        <w:t xml:space="preserve">y incur above any estimate without the Buyer’s prior written approval. </w:t>
      </w:r>
    </w:p>
    <w:p w14:paraId="1AF01FD0"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23" w:name="_heading=h.1ksv4uv" w:colFirst="0" w:colLast="0"/>
      <w:bookmarkEnd w:id="23"/>
      <w:r>
        <w:rPr>
          <w:color w:val="000000"/>
          <w:sz w:val="24"/>
          <w:szCs w:val="24"/>
        </w:rPr>
        <w:lastRenderedPageBreak/>
        <w:t xml:space="preserve">Each review of the BCDR Plan pursuant to Paragraph 6.1  of Part B shall assess its suitability having regard to any change to the Deliverables or any underlying business processes and </w:t>
      </w:r>
      <w:r>
        <w:rPr>
          <w:color w:val="000000"/>
          <w:sz w:val="24"/>
          <w:szCs w:val="24"/>
        </w:rPr>
        <w:t>operations facilitated by or supported by the Services which have taken place since the later of the original approval of the BCDR Plan or the last review of the BCDR Plan, and shall also have regard to any occurrence of any event since that date (or the l</w:t>
      </w:r>
      <w:r>
        <w:rPr>
          <w:color w:val="000000"/>
          <w:sz w:val="24"/>
          <w:szCs w:val="24"/>
        </w:rPr>
        <w:t xml:space="preserve">ikelihood of any such event taking place in the foreseeable future) which may increase the likelihood of the need to invoke the BCDR Plan. The review shall be completed by the Supplier within such period as the Buyer shall reasonably require.  </w:t>
      </w:r>
    </w:p>
    <w:p w14:paraId="090123FD"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24" w:name="_heading=h.44sinio" w:colFirst="0" w:colLast="0"/>
      <w:bookmarkEnd w:id="24"/>
      <w:r>
        <w:rPr>
          <w:color w:val="000000"/>
          <w:sz w:val="24"/>
          <w:szCs w:val="24"/>
        </w:rPr>
        <w:t>The Supplie</w:t>
      </w:r>
      <w:r>
        <w:rPr>
          <w:color w:val="000000"/>
          <w:sz w:val="24"/>
          <w:szCs w:val="24"/>
        </w:rPr>
        <w:t xml:space="preserv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w:t>
      </w:r>
      <w:r>
        <w:rPr>
          <w:color w:val="000000"/>
          <w:sz w:val="24"/>
          <w:szCs w:val="24"/>
        </w:rPr>
        <w:t>ile and its proposals for amendments to the BCDR Plan.</w:t>
      </w:r>
    </w:p>
    <w:p w14:paraId="0BCE67F2"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25" w:name="_heading=h.2jxsxqh" w:colFirst="0" w:colLast="0"/>
      <w:bookmarkEnd w:id="25"/>
      <w:r>
        <w:rPr>
          <w:color w:val="000000"/>
          <w:sz w:val="24"/>
          <w:szCs w:val="24"/>
        </w:rPr>
        <w:t>Following receipt of the Review Report and the Supplier’s Proposals, the Parties shall use reasonable endeavours to agree the Review Report and the Supplier's Proposals. If the Parties are unable to ag</w:t>
      </w:r>
      <w:r>
        <w:rPr>
          <w:color w:val="000000"/>
          <w:sz w:val="24"/>
          <w:szCs w:val="24"/>
        </w:rPr>
        <w:t xml:space="preserve">ree Review Report and the Supplier's Proposals within twenty (20) Working Days of its submission, then such Dispute shall be resolved in accordance with the Dispute Resolution Procedure. </w:t>
      </w:r>
    </w:p>
    <w:p w14:paraId="087669E3"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w:t>
      </w:r>
      <w:r>
        <w:rPr>
          <w:color w:val="000000"/>
          <w:sz w:val="24"/>
          <w:szCs w:val="24"/>
        </w:rPr>
        <w:t xml:space="preserve">ing the approval of the Supplier's Proposals effect any change in its practices or procedures necessary so as to give effect to the Supplier's Proposals. Any such change shall be at the Supplier’s expense unless it can be reasonably shown that the changes </w:t>
      </w:r>
      <w:r>
        <w:rPr>
          <w:color w:val="000000"/>
          <w:sz w:val="24"/>
          <w:szCs w:val="24"/>
        </w:rPr>
        <w:t>are required because of a material change to the risk profile of the Deliverables.</w:t>
      </w:r>
    </w:p>
    <w:p w14:paraId="41C8DB11" w14:textId="77777777" w:rsidR="005B0204" w:rsidRDefault="006830BD">
      <w:pPr>
        <w:keepNext/>
        <w:numPr>
          <w:ilvl w:val="0"/>
          <w:numId w:val="7"/>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6" w:name="_heading=h.z337ya" w:colFirst="0" w:colLast="0"/>
      <w:bookmarkEnd w:id="26"/>
      <w:r>
        <w:rPr>
          <w:rFonts w:ascii="Arial Bold" w:eastAsia="Arial Bold" w:hAnsi="Arial Bold" w:cs="Arial Bold"/>
          <w:b/>
          <w:color w:val="000000"/>
          <w:sz w:val="24"/>
          <w:szCs w:val="24"/>
        </w:rPr>
        <w:t>Testing the BCDR Plan</w:t>
      </w:r>
    </w:p>
    <w:p w14:paraId="5188FE74"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bookmarkStart w:id="27" w:name="_heading=h.3j2qqm3" w:colFirst="0" w:colLast="0"/>
      <w:bookmarkEnd w:id="27"/>
      <w:r>
        <w:rPr>
          <w:color w:val="000000"/>
          <w:sz w:val="24"/>
          <w:szCs w:val="24"/>
        </w:rPr>
        <w:t xml:space="preserve">The Supplier shall test the BCDR Plan: </w:t>
      </w:r>
    </w:p>
    <w:p w14:paraId="0F969BD5"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14:paraId="1FE4FF3E"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14:paraId="2F209E3A"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14:paraId="1162F376"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28" w:name="_heading=h.1y810tw" w:colFirst="0" w:colLast="0"/>
      <w:bookmarkEnd w:id="28"/>
      <w:r>
        <w:rPr>
          <w:color w:val="000000"/>
          <w:sz w:val="24"/>
          <w:szCs w:val="24"/>
        </w:rPr>
        <w:t>If the Buyer requires an additional te</w:t>
      </w:r>
      <w:r>
        <w:rPr>
          <w:color w:val="000000"/>
          <w:sz w:val="24"/>
          <w:szCs w:val="24"/>
        </w:rPr>
        <w:t xml:space="preserve">st of the BCDR Plan, it shall give the Supplier written notice and the Supplier shall conduct the test in accordance with the Buyer’s requirements and the relevant provisions of the BCDR Plan.  The Supplier's costs of the additional test shall be borne by </w:t>
      </w:r>
      <w:r>
        <w:rPr>
          <w:color w:val="000000"/>
          <w:sz w:val="24"/>
          <w:szCs w:val="24"/>
        </w:rPr>
        <w:t>the Buyer unless the BCDR Plan fails the additional test in which case the Supplier's costs of that failed test shall be borne by the Supplier.</w:t>
      </w:r>
    </w:p>
    <w:p w14:paraId="1C22A7EC"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The Supplier shall undertake and manage testing of the BCDR Plan in full consultation with and under the supervi</w:t>
      </w:r>
      <w:r>
        <w:rPr>
          <w:color w:val="000000"/>
          <w:sz w:val="24"/>
          <w:szCs w:val="24"/>
        </w:rPr>
        <w:t xml:space="preserve">sion of the Buyer and shall liaise with the Buyer in respect of the planning, performance, and review, of each test, and shall comply with the reasonable requirements of the Buyer. </w:t>
      </w:r>
    </w:p>
    <w:p w14:paraId="7890C918"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lastRenderedPageBreak/>
        <w:t>The Supplier shall ensure that any use by it or any Subcontractor of "live</w:t>
      </w:r>
      <w:r>
        <w:rPr>
          <w:color w:val="000000"/>
          <w:sz w:val="24"/>
          <w:szCs w:val="24"/>
        </w:rPr>
        <w:t xml:space="preserve">" data in such testing is first approved with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14:paraId="657F9F0B" w14:textId="77777777" w:rsidR="005B0204" w:rsidRDefault="006830BD">
      <w:pPr>
        <w:keepNext/>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w:t>
      </w:r>
      <w:r>
        <w:rPr>
          <w:color w:val="000000"/>
          <w:sz w:val="24"/>
          <w:szCs w:val="24"/>
        </w:rPr>
        <w:t>ays of the conclusion of each test, provide to the Buyer a report setting out:</w:t>
      </w:r>
    </w:p>
    <w:p w14:paraId="6C05569D"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14:paraId="23D8BB46"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14:paraId="4C95382F"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14:paraId="13992F0E"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bookmarkStart w:id="29" w:name="_heading=h.4i7ojhp" w:colFirst="0" w:colLast="0"/>
      <w:bookmarkEnd w:id="29"/>
      <w:r>
        <w:rPr>
          <w:color w:val="000000"/>
          <w:sz w:val="24"/>
          <w:szCs w:val="24"/>
        </w:rPr>
        <w:t>Following each test, the Supplier shall take all measures requested by the Buyer to remedy any failures</w:t>
      </w:r>
      <w:r>
        <w:rPr>
          <w:color w:val="000000"/>
          <w:sz w:val="24"/>
          <w:szCs w:val="24"/>
        </w:rPr>
        <w:t xml:space="preserve"> in the BCDR Plan and such remedial activity and re-testing shall be completed by the Supplier, at its own cost, by the date reasonably required by the Buyer.</w:t>
      </w:r>
    </w:p>
    <w:p w14:paraId="76AEE69A" w14:textId="77777777" w:rsidR="005B0204" w:rsidRDefault="006830BD">
      <w:pPr>
        <w:keepNext/>
        <w:numPr>
          <w:ilvl w:val="0"/>
          <w:numId w:val="7"/>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30" w:name="_heading=h.2xcytpi" w:colFirst="0" w:colLast="0"/>
      <w:bookmarkEnd w:id="30"/>
      <w:r>
        <w:rPr>
          <w:rFonts w:ascii="Arial Bold" w:eastAsia="Arial Bold" w:hAnsi="Arial Bold" w:cs="Arial Bold"/>
          <w:b/>
          <w:color w:val="000000"/>
          <w:sz w:val="24"/>
          <w:szCs w:val="24"/>
        </w:rPr>
        <w:t>Invoking the BCDR Plan</w:t>
      </w:r>
    </w:p>
    <w:p w14:paraId="2ED19CD4"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In the event of a complete loss of service or in the event of a Disaster, </w:t>
      </w:r>
      <w:r>
        <w:rPr>
          <w:color w:val="000000"/>
          <w:sz w:val="24"/>
          <w:szCs w:val="24"/>
        </w:rPr>
        <w:t>the Supplier shall immediately invoke the BCDR Plan (and shall inform the Buyer promptly of such invocation). In all other instances the Supplier shall invoke or test the BCDR Plan only with the prior consent of the Buyer.</w:t>
      </w:r>
    </w:p>
    <w:p w14:paraId="3A7A46A9" w14:textId="77777777" w:rsidR="005B0204" w:rsidRDefault="006830BD">
      <w:pPr>
        <w:numPr>
          <w:ilvl w:val="1"/>
          <w:numId w:val="7"/>
        </w:numPr>
        <w:pBdr>
          <w:top w:val="nil"/>
          <w:left w:val="nil"/>
          <w:bottom w:val="nil"/>
          <w:right w:val="nil"/>
          <w:between w:val="nil"/>
        </w:pBdr>
        <w:spacing w:before="120" w:after="120"/>
        <w:jc w:val="left"/>
        <w:rPr>
          <w:sz w:val="24"/>
          <w:szCs w:val="24"/>
        </w:rPr>
      </w:pPr>
      <w:bookmarkStart w:id="31" w:name="_heading=h.vx1227" w:colFirst="0" w:colLast="0"/>
      <w:bookmarkEnd w:id="31"/>
      <w:r>
        <w:rPr>
          <w:sz w:val="24"/>
          <w:szCs w:val="24"/>
        </w:rPr>
        <w:t xml:space="preserve">The </w:t>
      </w:r>
      <w:r>
        <w:rPr>
          <w:color w:val="000000"/>
          <w:sz w:val="24"/>
          <w:szCs w:val="24"/>
        </w:rPr>
        <w:t>Insolvency</w:t>
      </w:r>
      <w:r>
        <w:rPr>
          <w:sz w:val="24"/>
          <w:szCs w:val="24"/>
        </w:rPr>
        <w:t xml:space="preserve"> Continuity Plan el</w:t>
      </w:r>
      <w:r>
        <w:rPr>
          <w:sz w:val="24"/>
          <w:szCs w:val="24"/>
        </w:rPr>
        <w:t>ement of the BCDR Plan, including any linked elements in other parts of the BCDR Plan, shall be invoked by the Supplier:</w:t>
      </w:r>
    </w:p>
    <w:p w14:paraId="7FF58C78"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an Insolvency Event of a Key Sub-contractor and/or Supplier Group member (other than the Supplier) could reasonably be expected t</w:t>
      </w:r>
      <w:r>
        <w:rPr>
          <w:color w:val="000000"/>
          <w:sz w:val="24"/>
          <w:szCs w:val="24"/>
        </w:rPr>
        <w:t>o adversely affect delivery of the Deliverables; and/or</w:t>
      </w:r>
    </w:p>
    <w:p w14:paraId="0A1AD7F3" w14:textId="77777777" w:rsidR="005B0204" w:rsidRDefault="006830BD">
      <w:pPr>
        <w:numPr>
          <w:ilvl w:val="2"/>
          <w:numId w:val="7"/>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there is an Insolvency Event of the Supplier and the insolvency arrangements enable the Supplier to invoke the plan.</w:t>
      </w:r>
    </w:p>
    <w:p w14:paraId="42DB3E99" w14:textId="77777777" w:rsidR="005B0204" w:rsidRDefault="006830BD">
      <w:pPr>
        <w:keepNext/>
        <w:numPr>
          <w:ilvl w:val="0"/>
          <w:numId w:val="7"/>
        </w:numPr>
        <w:pBdr>
          <w:top w:val="nil"/>
          <w:left w:val="nil"/>
          <w:bottom w:val="nil"/>
          <w:right w:val="nil"/>
          <w:between w:val="nil"/>
        </w:pBdr>
        <w:tabs>
          <w:tab w:val="left" w:pos="0"/>
        </w:tabs>
        <w:spacing w:before="240"/>
        <w:ind w:left="504"/>
        <w:jc w:val="left"/>
        <w:rPr>
          <w:b/>
          <w:smallCaps/>
          <w:color w:val="000000"/>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14:paraId="6FFD4BB2"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634DDCE1" w14:textId="77777777" w:rsidR="005B0204" w:rsidRDefault="006830BD">
      <w:pPr>
        <w:keepNext/>
        <w:numPr>
          <w:ilvl w:val="0"/>
          <w:numId w:val="7"/>
        </w:numPr>
        <w:pBdr>
          <w:top w:val="nil"/>
          <w:left w:val="nil"/>
          <w:bottom w:val="nil"/>
          <w:right w:val="nil"/>
          <w:between w:val="nil"/>
        </w:pBdr>
        <w:tabs>
          <w:tab w:val="left" w:pos="0"/>
        </w:tabs>
        <w:spacing w:before="240"/>
        <w:ind w:left="504" w:hanging="93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Amendments to this Schedul</w:t>
      </w:r>
      <w:r>
        <w:rPr>
          <w:rFonts w:ascii="Arial Bold" w:eastAsia="Arial Bold" w:hAnsi="Arial Bold" w:cs="Arial Bold"/>
          <w:b/>
          <w:color w:val="000000"/>
          <w:sz w:val="24"/>
          <w:szCs w:val="24"/>
        </w:rPr>
        <w:t>e in respect of Bronze Contracts</w:t>
      </w:r>
    </w:p>
    <w:p w14:paraId="3D1F8F43"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14:paraId="7EC7C9EA"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Paragraph 1.3.4 of Part </w:t>
      </w:r>
      <w:r>
        <w:rPr>
          <w:sz w:val="24"/>
          <w:szCs w:val="24"/>
        </w:rPr>
        <w:t>B</w:t>
      </w:r>
      <w:r>
        <w:rPr>
          <w:color w:val="000000"/>
          <w:sz w:val="24"/>
          <w:szCs w:val="24"/>
        </w:rPr>
        <w:t xml:space="preserve"> so that the BCDR plan shall only be required to be split into the three sections detailed in paragraphs 1.3.1 to 1.3.3 of Part B inclusive;</w:t>
      </w:r>
    </w:p>
    <w:p w14:paraId="519A0846"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Paragraphs 2.1.13 to 2.1.15 of Part </w:t>
      </w:r>
      <w:r>
        <w:rPr>
          <w:sz w:val="24"/>
          <w:szCs w:val="24"/>
        </w:rPr>
        <w:t>B</w:t>
      </w:r>
      <w:r>
        <w:rPr>
          <w:color w:val="000000"/>
          <w:sz w:val="24"/>
          <w:szCs w:val="24"/>
        </w:rPr>
        <w:t>, inclusive;</w:t>
      </w:r>
    </w:p>
    <w:p w14:paraId="1D3C3F6C"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lastRenderedPageBreak/>
        <w:t>Paragraph 5 (Insolvency Continuity Plan)</w:t>
      </w:r>
      <w:r>
        <w:rPr>
          <w:color w:val="000000"/>
          <w:sz w:val="24"/>
          <w:szCs w:val="24"/>
        </w:rPr>
        <w:t xml:space="preserve"> of Part </w:t>
      </w:r>
      <w:r>
        <w:rPr>
          <w:sz w:val="24"/>
          <w:szCs w:val="24"/>
        </w:rPr>
        <w:t>B</w:t>
      </w:r>
      <w:r>
        <w:rPr>
          <w:color w:val="000000"/>
          <w:sz w:val="24"/>
          <w:szCs w:val="24"/>
        </w:rPr>
        <w:t>;</w:t>
      </w:r>
    </w:p>
    <w:p w14:paraId="2B59CB7B"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Paragraph 8.2 of Part </w:t>
      </w:r>
      <w:r>
        <w:rPr>
          <w:sz w:val="24"/>
          <w:szCs w:val="24"/>
        </w:rPr>
        <w:t>B</w:t>
      </w:r>
      <w:r>
        <w:rPr>
          <w:color w:val="000000"/>
          <w:sz w:val="24"/>
          <w:szCs w:val="24"/>
        </w:rPr>
        <w:t>; and</w:t>
      </w:r>
    </w:p>
    <w:p w14:paraId="2EDFFED5"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The entirety of Part </w:t>
      </w:r>
      <w:r>
        <w:rPr>
          <w:sz w:val="24"/>
          <w:szCs w:val="24"/>
        </w:rPr>
        <w:t>C</w:t>
      </w:r>
      <w:r>
        <w:rPr>
          <w:color w:val="000000"/>
          <w:sz w:val="24"/>
          <w:szCs w:val="24"/>
        </w:rPr>
        <w:t xml:space="preserve"> of this Schedule.</w:t>
      </w:r>
    </w:p>
    <w:p w14:paraId="6240005A" w14:textId="77777777" w:rsidR="005B0204" w:rsidRDefault="006830BD">
      <w:pPr>
        <w:numPr>
          <w:ilvl w:val="1"/>
          <w:numId w:val="7"/>
        </w:numPr>
        <w:pBdr>
          <w:top w:val="nil"/>
          <w:left w:val="nil"/>
          <w:bottom w:val="nil"/>
          <w:right w:val="nil"/>
          <w:between w:val="nil"/>
        </w:pBdr>
        <w:spacing w:before="120" w:after="120"/>
        <w:jc w:val="left"/>
        <w:rPr>
          <w:color w:val="000000"/>
          <w:sz w:val="24"/>
          <w:szCs w:val="24"/>
        </w:rPr>
      </w:pPr>
      <w:r>
        <w:rPr>
          <w:color w:val="000000"/>
          <w:sz w:val="24"/>
          <w:szCs w:val="24"/>
        </w:rPr>
        <w:t xml:space="preserve">Where a Buyer’s Call-Off Contract is a Bronze Contract, if specified in the Order Form, the following definitions in Paragraph 1 of this Call-Off Schedule 8, shall be deemed </w:t>
      </w:r>
      <w:r>
        <w:rPr>
          <w:color w:val="000000"/>
          <w:sz w:val="24"/>
          <w:szCs w:val="24"/>
        </w:rPr>
        <w:t>to be deleted:</w:t>
      </w:r>
    </w:p>
    <w:p w14:paraId="4C5A67C4"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Annual Review;</w:t>
      </w:r>
    </w:p>
    <w:p w14:paraId="434BB9B2"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Appropriate Authority or Appropriate Authorities;</w:t>
      </w:r>
    </w:p>
    <w:p w14:paraId="4B1FC64B"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Associates;</w:t>
      </w:r>
    </w:p>
    <w:p w14:paraId="1D0702EA"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Class 1 Transaction;</w:t>
      </w:r>
    </w:p>
    <w:p w14:paraId="3107926A"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Control;</w:t>
      </w:r>
    </w:p>
    <w:p w14:paraId="0A88CA52"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Corporate Change Event;</w:t>
      </w:r>
    </w:p>
    <w:p w14:paraId="3CC66F26"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Critical National Infrastructure;</w:t>
      </w:r>
    </w:p>
    <w:p w14:paraId="23A2E9F6"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Critical Service Contract;</w:t>
      </w:r>
    </w:p>
    <w:p w14:paraId="3BF63E16" w14:textId="77777777" w:rsidR="005B0204" w:rsidRDefault="006830BD">
      <w:pPr>
        <w:numPr>
          <w:ilvl w:val="2"/>
          <w:numId w:val="7"/>
        </w:numPr>
        <w:pBdr>
          <w:top w:val="nil"/>
          <w:left w:val="nil"/>
          <w:bottom w:val="nil"/>
          <w:right w:val="nil"/>
          <w:between w:val="nil"/>
        </w:pBdr>
        <w:spacing w:before="120" w:after="120"/>
        <w:jc w:val="left"/>
        <w:rPr>
          <w:color w:val="000000"/>
          <w:sz w:val="24"/>
          <w:szCs w:val="24"/>
        </w:rPr>
      </w:pPr>
      <w:r>
        <w:rPr>
          <w:color w:val="000000"/>
          <w:sz w:val="24"/>
          <w:szCs w:val="24"/>
        </w:rPr>
        <w:t>CRP Information;</w:t>
      </w:r>
    </w:p>
    <w:p w14:paraId="70B8A2E9"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Dependent Parent Undertaking;</w:t>
      </w:r>
    </w:p>
    <w:p w14:paraId="764ECB70"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Group Structure Information and Resolution Commentary;</w:t>
      </w:r>
    </w:p>
    <w:p w14:paraId="47DF7F33"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Parent Undertaking;</w:t>
      </w:r>
    </w:p>
    <w:p w14:paraId="641F9693"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Public Sector Dependent Supplier;</w:t>
      </w:r>
    </w:p>
    <w:p w14:paraId="2AE07772"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Subsidiary Undertaking;</w:t>
      </w:r>
    </w:p>
    <w:p w14:paraId="0053156D"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Supplier Group;</w:t>
      </w:r>
    </w:p>
    <w:p w14:paraId="0E69B53E"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UK Public Sector Business; and</w:t>
      </w:r>
    </w:p>
    <w:p w14:paraId="085AB94F" w14:textId="77777777" w:rsidR="005B0204" w:rsidRDefault="006830BD">
      <w:pPr>
        <w:numPr>
          <w:ilvl w:val="2"/>
          <w:numId w:val="7"/>
        </w:numPr>
        <w:pBdr>
          <w:top w:val="nil"/>
          <w:left w:val="nil"/>
          <w:bottom w:val="nil"/>
          <w:right w:val="nil"/>
          <w:between w:val="nil"/>
        </w:pBdr>
        <w:spacing w:before="120" w:after="120"/>
        <w:ind w:hanging="873"/>
        <w:jc w:val="left"/>
        <w:rPr>
          <w:color w:val="000000"/>
          <w:sz w:val="24"/>
          <w:szCs w:val="24"/>
        </w:rPr>
      </w:pPr>
      <w:r>
        <w:rPr>
          <w:color w:val="000000"/>
          <w:sz w:val="24"/>
          <w:szCs w:val="24"/>
        </w:rPr>
        <w:t>UK Public Sector/CNI Contract Information.</w:t>
      </w:r>
    </w:p>
    <w:p w14:paraId="1B83CCDF" w14:textId="77777777" w:rsidR="005B0204" w:rsidRDefault="005B0204">
      <w:pPr>
        <w:pBdr>
          <w:top w:val="nil"/>
          <w:left w:val="nil"/>
          <w:bottom w:val="nil"/>
          <w:right w:val="nil"/>
          <w:between w:val="nil"/>
        </w:pBdr>
        <w:spacing w:before="120" w:after="120"/>
        <w:ind w:left="0"/>
        <w:jc w:val="left"/>
        <w:rPr>
          <w:color w:val="000000"/>
          <w:sz w:val="24"/>
          <w:szCs w:val="24"/>
        </w:rPr>
      </w:pPr>
    </w:p>
    <w:p w14:paraId="2A574363" w14:textId="77777777" w:rsidR="005B0204" w:rsidRDefault="006830BD">
      <w:pPr>
        <w:ind w:firstLine="1418"/>
        <w:rPr>
          <w:color w:val="000000"/>
          <w:sz w:val="24"/>
          <w:szCs w:val="24"/>
        </w:rPr>
      </w:pPr>
      <w:r>
        <w:br w:type="page"/>
      </w:r>
    </w:p>
    <w:p w14:paraId="70C0F7BE" w14:textId="77777777" w:rsidR="005B0204" w:rsidRDefault="006830BD">
      <w:pPr>
        <w:pBdr>
          <w:top w:val="nil"/>
          <w:left w:val="nil"/>
          <w:bottom w:val="nil"/>
          <w:right w:val="nil"/>
          <w:between w:val="nil"/>
        </w:pBdr>
        <w:spacing w:before="120" w:after="120"/>
        <w:ind w:left="720" w:hanging="720"/>
        <w:rPr>
          <w:b/>
          <w:color w:val="000000"/>
          <w:sz w:val="32"/>
          <w:szCs w:val="32"/>
        </w:rPr>
      </w:pPr>
      <w:r>
        <w:rPr>
          <w:b/>
          <w:color w:val="000000"/>
          <w:sz w:val="32"/>
          <w:szCs w:val="32"/>
        </w:rPr>
        <w:lastRenderedPageBreak/>
        <w:t xml:space="preserve">Part </w:t>
      </w:r>
      <w:r>
        <w:rPr>
          <w:b/>
          <w:sz w:val="32"/>
          <w:szCs w:val="32"/>
        </w:rPr>
        <w:t>C</w:t>
      </w:r>
      <w:r>
        <w:rPr>
          <w:b/>
          <w:color w:val="000000"/>
          <w:sz w:val="32"/>
          <w:szCs w:val="32"/>
        </w:rPr>
        <w:t>:  Corporate Resolution Planning</w:t>
      </w:r>
    </w:p>
    <w:p w14:paraId="35ED1881" w14:textId="77777777" w:rsidR="005B0204" w:rsidRDefault="006830BD">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Service Status and Supplier Status</w:t>
      </w:r>
    </w:p>
    <w:p w14:paraId="63D1D6AA"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This Contract </w:t>
      </w:r>
      <w:r>
        <w:rPr>
          <w:color w:val="000000"/>
          <w:sz w:val="24"/>
          <w:szCs w:val="24"/>
          <w:highlight w:val="yellow"/>
        </w:rPr>
        <w:t>[insert ‘is’ or ‘is not’</w:t>
      </w:r>
      <w:r>
        <w:rPr>
          <w:color w:val="000000"/>
          <w:sz w:val="24"/>
          <w:szCs w:val="24"/>
        </w:rPr>
        <w:t>] a Critical Service Contract.</w:t>
      </w:r>
    </w:p>
    <w:p w14:paraId="042534BE"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Supplier shall notify the Buyer in writing within 5 Working Days of the Effective Date and throughout the Cal</w:t>
      </w:r>
      <w:r>
        <w:rPr>
          <w:color w:val="000000"/>
          <w:sz w:val="24"/>
          <w:szCs w:val="24"/>
        </w:rPr>
        <w:t>l-Off Contract Period within 120 days after each Accounting Reference Date as to whether or not it is a Public Sector Dependent Supplier.</w:t>
      </w:r>
    </w:p>
    <w:p w14:paraId="22650F9A" w14:textId="77777777" w:rsidR="005B0204" w:rsidRDefault="006830BD">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Provision of Corporate Resolution Planning Information</w:t>
      </w:r>
    </w:p>
    <w:p w14:paraId="1A1451BA"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Paragraphs 2 to 4 of this Part </w:t>
      </w:r>
      <w:r>
        <w:rPr>
          <w:sz w:val="24"/>
          <w:szCs w:val="24"/>
        </w:rPr>
        <w:t>C</w:t>
      </w:r>
      <w:r>
        <w:rPr>
          <w:color w:val="000000"/>
          <w:sz w:val="24"/>
          <w:szCs w:val="24"/>
        </w:rPr>
        <w:t xml:space="preserve"> shall apply if the Contract ha</w:t>
      </w:r>
      <w:r>
        <w:rPr>
          <w:color w:val="000000"/>
          <w:sz w:val="24"/>
          <w:szCs w:val="24"/>
        </w:rPr>
        <w:t xml:space="preserve">s been specified as a Critical Service Contract under Paragraph 1.1 of this Part </w:t>
      </w:r>
      <w:r>
        <w:rPr>
          <w:sz w:val="24"/>
          <w:szCs w:val="24"/>
        </w:rPr>
        <w:t>C</w:t>
      </w:r>
      <w:r>
        <w:rPr>
          <w:color w:val="000000"/>
          <w:sz w:val="24"/>
          <w:szCs w:val="24"/>
        </w:rPr>
        <w:t xml:space="preserve"> or the Supplier is or becomes a Public Sector Dependent Supplier.</w:t>
      </w:r>
    </w:p>
    <w:p w14:paraId="18900AB0"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Subject to Paragraphs 2.6, 2.10 and 2.11 of this Part </w:t>
      </w:r>
      <w:r>
        <w:rPr>
          <w:sz w:val="24"/>
          <w:szCs w:val="24"/>
        </w:rPr>
        <w:t>C</w:t>
      </w:r>
      <w:r>
        <w:rPr>
          <w:color w:val="000000"/>
          <w:sz w:val="24"/>
          <w:szCs w:val="24"/>
        </w:rPr>
        <w:t>:</w:t>
      </w:r>
    </w:p>
    <w:p w14:paraId="68F6CBAA"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5EF02EC5"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w:t>
      </w:r>
      <w:r>
        <w:rPr>
          <w:sz w:val="24"/>
          <w:szCs w:val="24"/>
        </w:rPr>
        <w:t xml:space="preserve"> Appropriate Authorities’ request.</w:t>
      </w:r>
    </w:p>
    <w:p w14:paraId="3F3F18A1"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Supplier shall ensure that the CRP Information provided pursuant to Paragraphs 2.2, 2.8 and 2.9 of this Part B:</w:t>
      </w:r>
    </w:p>
    <w:p w14:paraId="72A0A2E4"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1795ECD5"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is split into two parts:</w:t>
      </w:r>
    </w:p>
    <w:p w14:paraId="6DAB5F59"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 Structure Information and</w:t>
      </w:r>
      <w:r>
        <w:rPr>
          <w:color w:val="000000"/>
          <w:sz w:val="24"/>
          <w:szCs w:val="24"/>
        </w:rPr>
        <w:t xml:space="preserve"> Resolution Commentary;</w:t>
      </w:r>
    </w:p>
    <w:p w14:paraId="6275CD78"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 xml:space="preserve">UK Public Service / CNI Contract Information and is structured and presented in accordance with the requirements and explanatory notes set out at Annex I of the latest published version of the Resolution Planning Guidance published </w:t>
      </w:r>
      <w:r>
        <w:rPr>
          <w:color w:val="000000"/>
          <w:sz w:val="24"/>
          <w:szCs w:val="24"/>
        </w:rPr>
        <w:t>by the Cabinet Office Government Commercial Function and available at https://www.gov.uk/government/publications/the-outsourcingplaybook and contains the level of detail required (adapted as necessary to the Supplier’s circumstances);</w:t>
      </w:r>
    </w:p>
    <w:p w14:paraId="5C586369"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incorporates any addi</w:t>
      </w:r>
      <w:r>
        <w:rPr>
          <w:sz w:val="24"/>
          <w:szCs w:val="24"/>
        </w:rPr>
        <w:t>tional commentary, supporting documents and evidence which would reasonably be required by the Appropriate Authority or Appropriate Authorities to understand and consider the information for approval;</w:t>
      </w:r>
    </w:p>
    <w:p w14:paraId="45EAA5C9"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provides a clear description and explanation of the Sup</w:t>
      </w:r>
      <w:r>
        <w:rPr>
          <w:sz w:val="24"/>
          <w:szCs w:val="24"/>
        </w:rPr>
        <w:t xml:space="preserve">plier Group members that have agreements for goods, services or works provision </w:t>
      </w:r>
      <w:r>
        <w:rPr>
          <w:sz w:val="24"/>
          <w:szCs w:val="24"/>
        </w:rPr>
        <w:lastRenderedPageBreak/>
        <w:t>in respect of UK Public Sector Business and/or Critical National Infrastructure and the nature of those agreements; and</w:t>
      </w:r>
    </w:p>
    <w:p w14:paraId="55E6E669"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complies with the requirements set out at Appendix 1 (Group Structure Information and Resolution Commentary) and Appendix 2 (UK Public Sector / CNI Contract Information) respectively.</w:t>
      </w:r>
    </w:p>
    <w:p w14:paraId="1622348C"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Following receipt by the Appropriate Authority or Appropriate Authoritie</w:t>
      </w:r>
      <w:r>
        <w:rPr>
          <w:color w:val="000000"/>
          <w:sz w:val="24"/>
          <w:szCs w:val="24"/>
        </w:rPr>
        <w:t xml:space="preserve">s of the CRP Information pursuant to Paragraphs 2.2, 2.8 and 2.9 of this Part </w:t>
      </w:r>
      <w:r>
        <w:rPr>
          <w:sz w:val="24"/>
          <w:szCs w:val="24"/>
        </w:rPr>
        <w:t>C</w:t>
      </w:r>
      <w:r>
        <w:rPr>
          <w:color w:val="000000"/>
          <w:sz w:val="24"/>
          <w:szCs w:val="24"/>
        </w:rPr>
        <w:t>, the Buyer shall procure that the Appropriate Authority or Appropriate Authorities shall discuss in good faith the contents of the CRP Information with the Supplier and no late</w:t>
      </w:r>
      <w:r>
        <w:rPr>
          <w:color w:val="000000"/>
          <w:sz w:val="24"/>
          <w:szCs w:val="24"/>
        </w:rPr>
        <w:t>r than 60 days after the date on which the CRP Information was delivered by the Supplier either provide an Assurance to the Supplier that the Appropriate Authority or Appropriate Authorities approves the CRP Information or that the Appropriate Authority or</w:t>
      </w:r>
      <w:r>
        <w:rPr>
          <w:color w:val="000000"/>
          <w:sz w:val="24"/>
          <w:szCs w:val="24"/>
        </w:rPr>
        <w:t xml:space="preserve"> Appropriate Authorities rejects the CRP Information.</w:t>
      </w:r>
    </w:p>
    <w:p w14:paraId="39468FA3"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If the Appropriate Authority or Appropriate Authorities rejects the CRP Information:</w:t>
      </w:r>
    </w:p>
    <w:p w14:paraId="63014391"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w:t>
      </w:r>
      <w:r>
        <w:rPr>
          <w:sz w:val="24"/>
          <w:szCs w:val="24"/>
        </w:rPr>
        <w:t>riting of its reasons for its rejection; and</w:t>
      </w:r>
    </w:p>
    <w:p w14:paraId="428A0C55"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 xml:space="preserve">the Supplier shall revise the CRP Information, taking reasonable account of the Appropriate Authority’s or Appropriate Authorities’ comments, and shall re-submit the CRP Information to the Appropriate Authority </w:t>
      </w:r>
      <w:r>
        <w:rPr>
          <w:sz w:val="24"/>
          <w:szCs w:val="24"/>
        </w:rPr>
        <w:t>or Appropriate Authorities for approval within 30 days of the date of the Appropriate Authority’s or Appropriate Authorities’ rejection. The provisions of paragraph 2.3 to 2.5 of this Part C shall apply again to any resubmitted CRP Information provided tha</w:t>
      </w:r>
      <w:r>
        <w:rPr>
          <w:sz w:val="24"/>
          <w:szCs w:val="24"/>
        </w:rPr>
        <w:t>t either Party may refer any disputed matters for resolution by the Dispute Resolution Procedure under Clause 34 of the Core Terms at any time.</w:t>
      </w:r>
    </w:p>
    <w:p w14:paraId="4507FFFB"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Where the Supplier or a member of the Supplier Group has already provided CRP Information to a Department or the</w:t>
      </w:r>
      <w:r>
        <w:rPr>
          <w:color w:val="000000"/>
          <w:sz w:val="24"/>
          <w:szCs w:val="24"/>
        </w:rPr>
        <w:t xml:space="preserve"> Cabinet Office Markets and Suppliers Team (or, in the case of a Strategic Supplier, solely to the Cabinet Office Markets and Suppliers Team) and has received an Assurance of its CRP Information from that Department and the Cabinet Office Markets and Suppl</w:t>
      </w:r>
      <w:r>
        <w:rPr>
          <w:color w:val="000000"/>
          <w:sz w:val="24"/>
          <w:szCs w:val="24"/>
        </w:rPr>
        <w:t>iers Team (or, in the case of a Strategic Supplier, solely from the Cabinet Office Markets and Suppliers Team), then provided that the Assurance remains Valid (which has the meaning in paragraph 2.7 below) on the date by which the CRP Information would oth</w:t>
      </w:r>
      <w:r>
        <w:rPr>
          <w:color w:val="000000"/>
          <w:sz w:val="24"/>
          <w:szCs w:val="24"/>
        </w:rPr>
        <w:t>erwise be required, the Supplier shall not be required to provide the CRP Information under Paragraph 2.2 of this Part C if it provides a copy of the Valid Assurance to the Appropriate Authority or Appropriate Authorities on or before the date on which the</w:t>
      </w:r>
      <w:r>
        <w:rPr>
          <w:color w:val="000000"/>
          <w:sz w:val="24"/>
          <w:szCs w:val="24"/>
        </w:rPr>
        <w:t xml:space="preserve"> CRP Information would otherwise have been required.</w:t>
      </w:r>
    </w:p>
    <w:p w14:paraId="5EF417A0"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An Assurance shall be deemed Valid for the purposes of Paragraph 2.6 of this Part </w:t>
      </w:r>
      <w:r>
        <w:rPr>
          <w:sz w:val="24"/>
          <w:szCs w:val="24"/>
        </w:rPr>
        <w:t>C</w:t>
      </w:r>
      <w:r>
        <w:rPr>
          <w:color w:val="000000"/>
          <w:sz w:val="24"/>
          <w:szCs w:val="24"/>
        </w:rPr>
        <w:t xml:space="preserve"> if:</w:t>
      </w:r>
    </w:p>
    <w:p w14:paraId="553B2DFD"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the Assurance is within the validity period stated in the Assurance (or, if no validity period is stated, no more t</w:t>
      </w:r>
      <w:r>
        <w:rPr>
          <w:sz w:val="24"/>
          <w:szCs w:val="24"/>
        </w:rPr>
        <w:t xml:space="preserve">han 12 months has elapsed since </w:t>
      </w:r>
      <w:r>
        <w:rPr>
          <w:sz w:val="24"/>
          <w:szCs w:val="24"/>
        </w:rPr>
        <w:lastRenderedPageBreak/>
        <w:t>it was issued and no more than 18 months has elapsed since the Accounting Reference Date on which the CRP Information was based); and</w:t>
      </w:r>
    </w:p>
    <w:p w14:paraId="5A602D15"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w:t>
      </w:r>
      <w:r>
        <w:rPr>
          <w:sz w:val="24"/>
          <w:szCs w:val="24"/>
        </w:rPr>
        <w:t>o be Corporate Change Events or Financial Distress Events if the Contract had then been in force) have occurred since the date of issue of the Assurance.</w:t>
      </w:r>
    </w:p>
    <w:p w14:paraId="36AE673B"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If the Contract is a Critical Service Contract, the Supplier shall provide an updated version of the C</w:t>
      </w:r>
      <w:r>
        <w:rPr>
          <w:color w:val="000000"/>
          <w:sz w:val="24"/>
          <w:szCs w:val="24"/>
        </w:rPr>
        <w:t xml:space="preserve">RP Information (or, in the case of Paragraph 2.8.3 of this Part </w:t>
      </w:r>
      <w:r>
        <w:rPr>
          <w:sz w:val="24"/>
          <w:szCs w:val="24"/>
        </w:rPr>
        <w:t>C</w:t>
      </w:r>
      <w:r>
        <w:rPr>
          <w:color w:val="000000"/>
          <w:sz w:val="24"/>
          <w:szCs w:val="24"/>
        </w:rPr>
        <w:t xml:space="preserve"> its initial CRP Information) to the Appropriate Authority or Appropriate Authorities:</w:t>
      </w:r>
    </w:p>
    <w:p w14:paraId="5BBB0BC9"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within 14 days of the occurrence of a Financial Distress Event (along with any additional highly confide</w:t>
      </w:r>
      <w:r>
        <w:rPr>
          <w:sz w:val="24"/>
          <w:szCs w:val="24"/>
        </w:rPr>
        <w:t>ntial information no longer exempted from disclosure under Paragraph 2.11 of this Part C) unless the Supplier is relieved of the consequences of the Financial Distress Event under Paragraph 7.1 of Joint Schedule 7 (Financial Distress) (if applicable);</w:t>
      </w:r>
    </w:p>
    <w:p w14:paraId="31C0178E"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with</w:t>
      </w:r>
      <w:r>
        <w:rPr>
          <w:sz w:val="24"/>
          <w:szCs w:val="24"/>
        </w:rPr>
        <w:t>in 30 days of a Corporate Change Event unless not required pursuant to Paragraph 2.10 of this Part C;</w:t>
      </w:r>
    </w:p>
    <w:p w14:paraId="31546DE4"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within 30 days of the date that:</w:t>
      </w:r>
    </w:p>
    <w:p w14:paraId="0F088C5D"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the credit rating(s) of each of the Supplier and its Parent Undertakings fail to meet any of the criteria specified in Paragraph 2.10 of this Part C; or</w:t>
      </w:r>
    </w:p>
    <w:p w14:paraId="55FD78AB"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none of the credit rating agencies specified at Paragraph 2.10 of this Part C hold a public credit rati</w:t>
      </w:r>
      <w:r>
        <w:rPr>
          <w:color w:val="000000"/>
          <w:sz w:val="24"/>
          <w:szCs w:val="24"/>
        </w:rPr>
        <w:t>ng for the Supplier or any of its Parent Undertakings; and</w:t>
      </w:r>
    </w:p>
    <w:p w14:paraId="780B0A64"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in any event, within 6 months after each Accounting Reference Date or within 15 months of the date of the previous Assurance received from the Appropriate Authority (whichever is the earlier), unle</w:t>
      </w:r>
      <w:r>
        <w:rPr>
          <w:sz w:val="24"/>
          <w:szCs w:val="24"/>
        </w:rPr>
        <w:t>ss:</w:t>
      </w:r>
    </w:p>
    <w:p w14:paraId="5A9A891A"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 xml:space="preserve">updated CRP Information has been provided under any of Paragraphs 2.8.1 2.8.2 or 2.8.3 of this Part C since the most recent Accounting Reference Date (being no more than 12 months previously) within the timescales that would ordinarily be required for </w:t>
      </w:r>
      <w:r>
        <w:rPr>
          <w:color w:val="000000"/>
          <w:sz w:val="24"/>
          <w:szCs w:val="24"/>
        </w:rPr>
        <w:t>the provision of that information under this Paragraph 2.8.4; or</w:t>
      </w:r>
    </w:p>
    <w:p w14:paraId="758A7E23"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unless not required pursuant to Paragraph 2.10 of th</w:t>
      </w:r>
      <w:r>
        <w:rPr>
          <w:sz w:val="24"/>
          <w:szCs w:val="24"/>
        </w:rPr>
        <w:t>is Part C</w:t>
      </w:r>
      <w:r>
        <w:rPr>
          <w:color w:val="000000"/>
          <w:sz w:val="24"/>
          <w:szCs w:val="24"/>
        </w:rPr>
        <w:t>.</w:t>
      </w:r>
    </w:p>
    <w:p w14:paraId="5D1600CB"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Where the Supplier is a Public Sector Dependent Supplier and the Contract is not a Critical Service Contract, then on the occurr</w:t>
      </w:r>
      <w:r>
        <w:rPr>
          <w:color w:val="000000"/>
          <w:sz w:val="24"/>
          <w:szCs w:val="24"/>
        </w:rPr>
        <w:t xml:space="preserve">ence of any of the events   specified in Paragraphs 2.8.1 to 2.8.4 of this Part </w:t>
      </w:r>
      <w:r>
        <w:rPr>
          <w:sz w:val="24"/>
          <w:szCs w:val="24"/>
        </w:rPr>
        <w:t>C</w:t>
      </w:r>
      <w:r>
        <w:rPr>
          <w:color w:val="000000"/>
          <w:sz w:val="24"/>
          <w:szCs w:val="24"/>
        </w:rPr>
        <w:t>, the Supplier shall provide at the request of the Appropriate Authority or Appropriate Authorities and within the applicable timescales for each event as set out in Paragraph</w:t>
      </w:r>
      <w:r>
        <w:rPr>
          <w:color w:val="000000"/>
          <w:sz w:val="24"/>
          <w:szCs w:val="24"/>
        </w:rPr>
        <w:t xml:space="preserve"> 2.8 (or such longer timescales as may be notified to the Supplier by the Buyer), the CRP Information to the Appropriate Authority or Appropriate Authorities.</w:t>
      </w:r>
    </w:p>
    <w:p w14:paraId="30296428"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lastRenderedPageBreak/>
        <w:t>Where the Supplier or a Parent Undertaking of the Supplier has a credit rating of either:</w:t>
      </w:r>
    </w:p>
    <w:p w14:paraId="3EF42866"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 xml:space="preserve">Aa3 or </w:t>
      </w:r>
      <w:r>
        <w:rPr>
          <w:sz w:val="24"/>
          <w:szCs w:val="24"/>
        </w:rPr>
        <w:t>better from Moody’s;</w:t>
      </w:r>
    </w:p>
    <w:p w14:paraId="37BEB10A"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299A9A43"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AA- or better from Fitch;</w:t>
      </w:r>
    </w:p>
    <w:p w14:paraId="2B1CB6B6" w14:textId="77777777" w:rsidR="005B0204" w:rsidRDefault="006830BD">
      <w:pPr>
        <w:keepNext/>
        <w:pBdr>
          <w:top w:val="nil"/>
          <w:left w:val="nil"/>
          <w:bottom w:val="nil"/>
          <w:right w:val="nil"/>
          <w:between w:val="nil"/>
        </w:pBdr>
        <w:spacing w:before="120" w:after="120"/>
        <w:ind w:left="720"/>
        <w:jc w:val="left"/>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a Financial Distress Event occurs (unless the Supplier is relieved of the consequences of the Financial Distress Event under Paragraph 7.1 of Annex 3 to Joint Sched</w:t>
      </w:r>
      <w:r>
        <w:rPr>
          <w:sz w:val="24"/>
          <w:szCs w:val="24"/>
        </w:rPr>
        <w:t xml:space="preserve">ule 7 (Financial Distress), if applicable) or (ii) the Supplier and its Parent Undertakings cease to fulfil the criteria set out in this Paragraph 2.10 of this Part C, in which cases the Supplier shall provide the updated version of the CRP Information in </w:t>
      </w:r>
      <w:r>
        <w:rPr>
          <w:sz w:val="24"/>
          <w:szCs w:val="24"/>
        </w:rPr>
        <w:t>accordance with paragraph 2.8 of this Part C.</w:t>
      </w:r>
    </w:p>
    <w:p w14:paraId="079A2AB4"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w:t>
      </w:r>
      <w:r>
        <w:rPr>
          <w:color w:val="000000"/>
          <w:sz w:val="24"/>
          <w:szCs w:val="24"/>
        </w:rPr>
        <w:t>he Supplier may, having orally disclosed and discussed that information with the Appropriate Authority or Appropriate Authorities, redact or omit that information from the CRP Information provided that if a Financial Distress Event occurs, this exemption s</w:t>
      </w:r>
      <w:r>
        <w:rPr>
          <w:color w:val="000000"/>
          <w:sz w:val="24"/>
          <w:szCs w:val="24"/>
        </w:rPr>
        <w:t>hall no longer apply and the Supplier shall promptly provide the relevant information to the Appropriate Authority or Appropriate Authorities to the extent required under Paragraph 2.8 of this Part C.</w:t>
      </w:r>
    </w:p>
    <w:p w14:paraId="4064F2EA" w14:textId="77777777" w:rsidR="005B0204" w:rsidRDefault="006830BD">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Termination Rights</w:t>
      </w:r>
    </w:p>
    <w:p w14:paraId="7BC7C555"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The Buyer shall be entitled to terminate the Contract if the Supplier is required to provide CRP Information under Paragraph 2 of this Part </w:t>
      </w:r>
      <w:r>
        <w:rPr>
          <w:sz w:val="24"/>
          <w:szCs w:val="24"/>
        </w:rPr>
        <w:t>C</w:t>
      </w:r>
      <w:r>
        <w:rPr>
          <w:color w:val="000000"/>
          <w:sz w:val="24"/>
          <w:szCs w:val="24"/>
        </w:rPr>
        <w:t xml:space="preserve"> and either:</w:t>
      </w:r>
    </w:p>
    <w:p w14:paraId="39EA5546"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the Supplier fails to provide the CRP Information within 4 months of the Effective Date if this is a C</w:t>
      </w:r>
      <w:r>
        <w:rPr>
          <w:sz w:val="24"/>
          <w:szCs w:val="24"/>
        </w:rPr>
        <w:t>ritical Service Contract or otherwise within 4 months of the Appropriate Authority’s or Appropriate Authorities’ request; or</w:t>
      </w:r>
    </w:p>
    <w:p w14:paraId="6DD640F5"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the Supplier fails to obtain an Assurance from the Appropriate Authority or Appropriate Authorities within 4 months of the date tha</w:t>
      </w:r>
      <w:r>
        <w:rPr>
          <w:sz w:val="24"/>
          <w:szCs w:val="24"/>
        </w:rPr>
        <w:t>t it was first required to provide the CRP Information under the Contract,</w:t>
      </w:r>
    </w:p>
    <w:p w14:paraId="4F86F1BC" w14:textId="77777777" w:rsidR="005B0204" w:rsidRDefault="006830BD">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06F4A785" w14:textId="77777777" w:rsidR="005B0204" w:rsidRDefault="006830BD">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Confidentiality and usage of CRP Information</w:t>
      </w:r>
    </w:p>
    <w:p w14:paraId="72CB5435"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Buyer agrees to keep the CRP Information confide</w:t>
      </w:r>
      <w:r>
        <w:rPr>
          <w:color w:val="000000"/>
          <w:sz w:val="24"/>
          <w:szCs w:val="24"/>
        </w:rPr>
        <w:t>ntial and use it only to understand the implications of an Insolvency Event of the Supplier and/or Supplier Group members on its UK Public Sector Business and/or services in respect of CNI and to enable contingency planning to maintain service continuity f</w:t>
      </w:r>
      <w:r>
        <w:rPr>
          <w:color w:val="000000"/>
          <w:sz w:val="24"/>
          <w:szCs w:val="24"/>
        </w:rPr>
        <w:t>or end users and protect CNI in such eventuality.</w:t>
      </w:r>
    </w:p>
    <w:p w14:paraId="7D6A6C9C" w14:textId="77777777" w:rsidR="005B0204" w:rsidRDefault="006830BD">
      <w:pPr>
        <w:numPr>
          <w:ilvl w:val="1"/>
          <w:numId w:val="8"/>
        </w:numPr>
        <w:pBdr>
          <w:top w:val="nil"/>
          <w:left w:val="nil"/>
          <w:bottom w:val="nil"/>
          <w:right w:val="nil"/>
          <w:between w:val="nil"/>
        </w:pBdr>
        <w:spacing w:before="120" w:after="120"/>
        <w:rPr>
          <w:color w:val="000000"/>
          <w:sz w:val="24"/>
          <w:szCs w:val="24"/>
        </w:rPr>
      </w:pPr>
      <w:bookmarkStart w:id="32" w:name="_heading=h.23ckvvd" w:colFirst="0" w:colLast="0"/>
      <w:bookmarkEnd w:id="32"/>
      <w:r>
        <w:rPr>
          <w:color w:val="000000"/>
          <w:sz w:val="24"/>
          <w:szCs w:val="24"/>
        </w:rPr>
        <w:lastRenderedPageBreak/>
        <w:t>Where the Appropriate Authority is the Cabinet Office Markets and Suppliers Team, at the Supplier’s request, the Buyer shall use reasonable endeavours to procure that the Cabinet Office enters into a confid</w:t>
      </w:r>
      <w:r>
        <w:rPr>
          <w:color w:val="000000"/>
          <w:sz w:val="24"/>
          <w:szCs w:val="24"/>
        </w:rPr>
        <w:t xml:space="preserve">entiality and usage agreement with the Supplier containing terms no less stringent than those placed on the Buyer under paragraph 4.1 of this Part </w:t>
      </w:r>
      <w:r>
        <w:rPr>
          <w:sz w:val="24"/>
          <w:szCs w:val="24"/>
        </w:rPr>
        <w:t>C</w:t>
      </w:r>
      <w:r>
        <w:rPr>
          <w:color w:val="000000"/>
          <w:sz w:val="24"/>
          <w:szCs w:val="24"/>
        </w:rPr>
        <w:t xml:space="preserve"> and Clause 15 of the Core Terms.</w:t>
      </w:r>
    </w:p>
    <w:p w14:paraId="76D5AA82"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Supplier shall use reasonable endeavours to obtain consent from any th</w:t>
      </w:r>
      <w:r>
        <w:rPr>
          <w:color w:val="000000"/>
          <w:sz w:val="24"/>
          <w:szCs w:val="24"/>
        </w:rPr>
        <w:t xml:space="preserve">ird party which has restricted the disclosure of the CRP Information to enable disclosure of that information to the Appropriate Authority or Appropriate Authorities pursuant to Paragraph 2 of this Part </w:t>
      </w:r>
      <w:r>
        <w:rPr>
          <w:sz w:val="24"/>
          <w:szCs w:val="24"/>
        </w:rPr>
        <w:t>C</w:t>
      </w:r>
      <w:r>
        <w:rPr>
          <w:color w:val="000000"/>
          <w:sz w:val="24"/>
          <w:szCs w:val="24"/>
        </w:rPr>
        <w:t xml:space="preserve"> subject, where necessary, to the Appropriate Author</w:t>
      </w:r>
      <w:r>
        <w:rPr>
          <w:color w:val="000000"/>
          <w:sz w:val="24"/>
          <w:szCs w:val="24"/>
        </w:rPr>
        <w:t>ity or Appropriate Authorities entering into an appropriate confidentiality agreement in the form required by the third party.</w:t>
      </w:r>
    </w:p>
    <w:p w14:paraId="7DFB3795"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Where the Supplier is unable to procure consent pursuant to Paragraph 4.3 of this Part </w:t>
      </w:r>
      <w:r>
        <w:rPr>
          <w:sz w:val="24"/>
          <w:szCs w:val="24"/>
        </w:rPr>
        <w:t>C</w:t>
      </w:r>
      <w:r>
        <w:rPr>
          <w:color w:val="000000"/>
          <w:sz w:val="24"/>
          <w:szCs w:val="24"/>
        </w:rPr>
        <w:t>, the Supplier shall use all reasonable e</w:t>
      </w:r>
      <w:r>
        <w:rPr>
          <w:color w:val="000000"/>
          <w:sz w:val="24"/>
          <w:szCs w:val="24"/>
        </w:rPr>
        <w:t>ndeavours to disclose the CRP Information to the fullest extent possible by limiting the amount of information it withholds including by:</w:t>
      </w:r>
    </w:p>
    <w:p w14:paraId="299040CC"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1E129AB8" w14:textId="77777777" w:rsidR="005B0204" w:rsidRDefault="006830BD">
      <w:pPr>
        <w:keepNext/>
        <w:numPr>
          <w:ilvl w:val="2"/>
          <w:numId w:val="8"/>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4AC638B2"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summarising the information;</w:t>
      </w:r>
    </w:p>
    <w:p w14:paraId="3179D2D1"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grouping the information;</w:t>
      </w:r>
    </w:p>
    <w:p w14:paraId="299960B6"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anonymising the information; and</w:t>
      </w:r>
    </w:p>
    <w:p w14:paraId="7C1FF636" w14:textId="77777777" w:rsidR="005B0204" w:rsidRDefault="006830BD">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presenting the information in general terms</w:t>
      </w:r>
    </w:p>
    <w:p w14:paraId="71357C7C" w14:textId="77777777" w:rsidR="005B0204" w:rsidRDefault="006830BD">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Supplier shall provide the Appropriate Authority or Appropriate Authorities with contact details of any third party which has not provided consent to</w:t>
      </w:r>
      <w:r>
        <w:rPr>
          <w:color w:val="000000"/>
          <w:sz w:val="24"/>
          <w:szCs w:val="24"/>
        </w:rPr>
        <w:t xml:space="preserve"> disclose CRP Information where that third party is also a public sector body and where the Supplier is legally permitted to do so.</w:t>
      </w:r>
    </w:p>
    <w:p w14:paraId="2BF59F74" w14:textId="77777777" w:rsidR="005B0204" w:rsidRDefault="005B0204">
      <w:pPr>
        <w:pBdr>
          <w:top w:val="nil"/>
          <w:left w:val="nil"/>
          <w:bottom w:val="nil"/>
          <w:right w:val="nil"/>
          <w:between w:val="nil"/>
        </w:pBdr>
        <w:spacing w:before="120" w:after="120"/>
        <w:ind w:left="720" w:hanging="720"/>
        <w:rPr>
          <w:rFonts w:ascii="Calibri" w:eastAsia="Calibri" w:hAnsi="Calibri" w:cs="Calibri"/>
          <w:color w:val="000000"/>
        </w:rPr>
      </w:pPr>
    </w:p>
    <w:p w14:paraId="08F2E91B" w14:textId="77777777" w:rsidR="005B0204" w:rsidRDefault="006830BD">
      <w:pPr>
        <w:ind w:firstLine="1418"/>
      </w:pPr>
      <w:r>
        <w:br w:type="page"/>
      </w:r>
    </w:p>
    <w:p w14:paraId="69E55A9E" w14:textId="77777777" w:rsidR="005B0204" w:rsidRDefault="006830BD">
      <w:pPr>
        <w:ind w:left="0"/>
        <w:rPr>
          <w:b/>
          <w:sz w:val="32"/>
          <w:szCs w:val="32"/>
        </w:rPr>
      </w:pPr>
      <w:r>
        <w:rPr>
          <w:b/>
          <w:sz w:val="32"/>
          <w:szCs w:val="32"/>
        </w:rPr>
        <w:lastRenderedPageBreak/>
        <w:t>Appendix 1: Group structure information and resolution commentary</w:t>
      </w:r>
    </w:p>
    <w:p w14:paraId="1ED246E0" w14:textId="77777777" w:rsidR="005B0204" w:rsidRDefault="006830BD">
      <w:pPr>
        <w:numPr>
          <w:ilvl w:val="0"/>
          <w:numId w:val="2"/>
        </w:numPr>
        <w:pBdr>
          <w:top w:val="nil"/>
          <w:left w:val="nil"/>
          <w:bottom w:val="nil"/>
          <w:right w:val="nil"/>
          <w:between w:val="nil"/>
        </w:pBdr>
        <w:rPr>
          <w:color w:val="000000"/>
          <w:sz w:val="24"/>
          <w:szCs w:val="24"/>
        </w:rPr>
      </w:pPr>
      <w:r>
        <w:rPr>
          <w:color w:val="000000"/>
          <w:sz w:val="24"/>
          <w:szCs w:val="24"/>
        </w:rPr>
        <w:t>The Supplier shall:</w:t>
      </w:r>
    </w:p>
    <w:p w14:paraId="03F5D34C" w14:textId="77777777" w:rsidR="005B0204" w:rsidRDefault="006830BD">
      <w:pPr>
        <w:numPr>
          <w:ilvl w:val="1"/>
          <w:numId w:val="2"/>
        </w:numPr>
        <w:pBdr>
          <w:top w:val="nil"/>
          <w:left w:val="nil"/>
          <w:bottom w:val="nil"/>
          <w:right w:val="nil"/>
          <w:between w:val="nil"/>
        </w:pBdr>
        <w:ind w:left="1134"/>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w:t>
      </w:r>
      <w:r>
        <w:rPr>
          <w:color w:val="000000"/>
          <w:sz w:val="24"/>
          <w:szCs w:val="24"/>
        </w:rPr>
        <w:t>d pursuant to Appendix 2 if the Supplier or another member of the Supplier Group is subject to an Insolvency Event;</w:t>
      </w:r>
    </w:p>
    <w:p w14:paraId="08B7CEDF" w14:textId="77777777" w:rsidR="005B0204" w:rsidRDefault="006830BD">
      <w:pPr>
        <w:numPr>
          <w:ilvl w:val="1"/>
          <w:numId w:val="2"/>
        </w:numPr>
        <w:pBdr>
          <w:top w:val="nil"/>
          <w:left w:val="nil"/>
          <w:bottom w:val="nil"/>
          <w:right w:val="nil"/>
          <w:between w:val="nil"/>
        </w:pBdr>
        <w:ind w:left="1134"/>
        <w:rPr>
          <w:color w:val="000000"/>
          <w:sz w:val="24"/>
          <w:szCs w:val="24"/>
        </w:rPr>
      </w:pPr>
      <w:r>
        <w:rPr>
          <w:color w:val="000000"/>
          <w:sz w:val="24"/>
          <w:szCs w:val="24"/>
        </w:rPr>
        <w:t>ensure that the information is presented so as to provide a simple, effective and easily understood overview of the Supplier Group; and</w:t>
      </w:r>
    </w:p>
    <w:p w14:paraId="0E8806B3" w14:textId="77777777" w:rsidR="005B0204" w:rsidRDefault="006830BD">
      <w:pPr>
        <w:numPr>
          <w:ilvl w:val="1"/>
          <w:numId w:val="2"/>
        </w:numPr>
        <w:pBdr>
          <w:top w:val="nil"/>
          <w:left w:val="nil"/>
          <w:bottom w:val="nil"/>
          <w:right w:val="nil"/>
          <w:between w:val="nil"/>
        </w:pBdr>
        <w:ind w:left="1134"/>
        <w:rPr>
          <w:color w:val="000000"/>
          <w:sz w:val="24"/>
          <w:szCs w:val="24"/>
        </w:rPr>
      </w:pPr>
      <w:r>
        <w:rPr>
          <w:color w:val="000000"/>
          <w:sz w:val="24"/>
          <w:szCs w:val="24"/>
        </w:rPr>
        <w:t>prov</w:t>
      </w:r>
      <w:r>
        <w:rPr>
          <w:color w:val="000000"/>
          <w:sz w:val="24"/>
          <w:szCs w:val="24"/>
        </w:rPr>
        <w:t>ide full details of the importance of each member of the Supplier Group to the Supplier Group’s UK Public Sector Business and CNI contracts listed pursuant to Appendix 2 and the dependencies between each.</w:t>
      </w:r>
    </w:p>
    <w:p w14:paraId="1375B1A9" w14:textId="77777777" w:rsidR="005B0204" w:rsidRDefault="006830BD">
      <w:pPr>
        <w:ind w:firstLine="1418"/>
      </w:pPr>
      <w:r>
        <w:br w:type="page"/>
      </w:r>
    </w:p>
    <w:p w14:paraId="252D4F74" w14:textId="77777777" w:rsidR="005B0204" w:rsidRDefault="006830BD">
      <w:pPr>
        <w:ind w:left="0"/>
        <w:rPr>
          <w:b/>
          <w:sz w:val="32"/>
          <w:szCs w:val="32"/>
        </w:rPr>
      </w:pPr>
      <w:r>
        <w:rPr>
          <w:b/>
          <w:sz w:val="32"/>
          <w:szCs w:val="32"/>
        </w:rPr>
        <w:lastRenderedPageBreak/>
        <w:t>Appendix 2: UK Public Sector / CNI Contract Infor</w:t>
      </w:r>
      <w:r>
        <w:rPr>
          <w:b/>
          <w:sz w:val="32"/>
          <w:szCs w:val="32"/>
        </w:rPr>
        <w:t>mation</w:t>
      </w:r>
    </w:p>
    <w:p w14:paraId="564DCB50" w14:textId="77777777" w:rsidR="005B0204" w:rsidRDefault="006830BD">
      <w:pPr>
        <w:numPr>
          <w:ilvl w:val="0"/>
          <w:numId w:val="4"/>
        </w:numPr>
        <w:pBdr>
          <w:top w:val="nil"/>
          <w:left w:val="nil"/>
          <w:bottom w:val="nil"/>
          <w:right w:val="nil"/>
          <w:between w:val="nil"/>
        </w:pBdr>
        <w:rPr>
          <w:color w:val="000000"/>
          <w:sz w:val="24"/>
          <w:szCs w:val="24"/>
        </w:rPr>
      </w:pPr>
      <w:r>
        <w:rPr>
          <w:color w:val="000000"/>
          <w:sz w:val="24"/>
          <w:szCs w:val="24"/>
        </w:rPr>
        <w:t>The Supplier shall:</w:t>
      </w:r>
    </w:p>
    <w:p w14:paraId="017DA26B" w14:textId="77777777" w:rsidR="005B0204" w:rsidRDefault="006830BD">
      <w:pPr>
        <w:numPr>
          <w:ilvl w:val="1"/>
          <w:numId w:val="4"/>
        </w:numPr>
        <w:pBdr>
          <w:top w:val="nil"/>
          <w:left w:val="nil"/>
          <w:bottom w:val="nil"/>
          <w:right w:val="nil"/>
          <w:between w:val="nil"/>
        </w:pBdr>
        <w:rPr>
          <w:color w:val="000000"/>
          <w:sz w:val="24"/>
          <w:szCs w:val="24"/>
        </w:rPr>
      </w:pPr>
      <w:r>
        <w:rPr>
          <w:color w:val="000000"/>
          <w:sz w:val="24"/>
          <w:szCs w:val="24"/>
        </w:rPr>
        <w:t>provide details of all agreements held by members of the Supplier Group where those agreements are for goods, services or works provision and:</w:t>
      </w:r>
    </w:p>
    <w:p w14:paraId="4BCC9AFE" w14:textId="77777777" w:rsidR="005B0204" w:rsidRDefault="006830BD">
      <w:pPr>
        <w:numPr>
          <w:ilvl w:val="2"/>
          <w:numId w:val="4"/>
        </w:numPr>
        <w:pBdr>
          <w:top w:val="nil"/>
          <w:left w:val="nil"/>
          <w:bottom w:val="nil"/>
          <w:right w:val="nil"/>
          <w:between w:val="nil"/>
        </w:pBdr>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w:t>
      </w:r>
      <w:r>
        <w:rPr>
          <w:color w:val="000000"/>
          <w:sz w:val="24"/>
          <w:szCs w:val="24"/>
        </w:rPr>
        <w:t>d administrations;</w:t>
      </w:r>
    </w:p>
    <w:p w14:paraId="0362DDFE" w14:textId="77777777" w:rsidR="005B0204" w:rsidRDefault="006830BD">
      <w:pPr>
        <w:numPr>
          <w:ilvl w:val="2"/>
          <w:numId w:val="4"/>
        </w:numPr>
        <w:pBdr>
          <w:top w:val="nil"/>
          <w:left w:val="nil"/>
          <w:bottom w:val="nil"/>
          <w:right w:val="nil"/>
          <w:between w:val="nil"/>
        </w:pBdr>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w:t>
      </w:r>
      <w:r>
        <w:rPr>
          <w:color w:val="000000"/>
          <w:sz w:val="24"/>
          <w:szCs w:val="24"/>
        </w:rPr>
        <w:t>ntractor under the agreement with the end recipient; or</w:t>
      </w:r>
    </w:p>
    <w:p w14:paraId="02EAFE71" w14:textId="77777777" w:rsidR="005B0204" w:rsidRDefault="006830BD">
      <w:pPr>
        <w:numPr>
          <w:ilvl w:val="2"/>
          <w:numId w:val="4"/>
        </w:numPr>
        <w:pBdr>
          <w:top w:val="nil"/>
          <w:left w:val="nil"/>
          <w:bottom w:val="nil"/>
          <w:right w:val="nil"/>
          <w:between w:val="nil"/>
        </w:pBdr>
        <w:rPr>
          <w:color w:val="000000"/>
          <w:sz w:val="24"/>
          <w:szCs w:val="24"/>
        </w:rPr>
      </w:pPr>
      <w:r>
        <w:rPr>
          <w:color w:val="000000"/>
          <w:sz w:val="24"/>
          <w:szCs w:val="24"/>
        </w:rPr>
        <w:t>involve or could reasonably be considered to involve CNI;</w:t>
      </w:r>
    </w:p>
    <w:p w14:paraId="0C2FEC20" w14:textId="77777777" w:rsidR="005B0204" w:rsidRDefault="006830BD">
      <w:pPr>
        <w:numPr>
          <w:ilvl w:val="1"/>
          <w:numId w:val="4"/>
        </w:numPr>
        <w:pBdr>
          <w:top w:val="nil"/>
          <w:left w:val="nil"/>
          <w:bottom w:val="nil"/>
          <w:right w:val="nil"/>
          <w:between w:val="nil"/>
        </w:pBdr>
        <w:rPr>
          <w:color w:val="000000"/>
          <w:sz w:val="24"/>
          <w:szCs w:val="24"/>
        </w:rPr>
      </w:pPr>
      <w:r>
        <w:rPr>
          <w:color w:val="000000"/>
          <w:sz w:val="24"/>
          <w:szCs w:val="24"/>
        </w:rPr>
        <w:t>provide the Appropriate Authority with a copy of the latest version of each underlying contract worth more than £5m per contract year and thei</w:t>
      </w:r>
      <w:r>
        <w:rPr>
          <w:color w:val="000000"/>
          <w:sz w:val="24"/>
          <w:szCs w:val="24"/>
        </w:rPr>
        <w:t>r related key sub-contracts, which shall be included as embedded documents within the CRP Information or via a directly accessible link.</w:t>
      </w:r>
    </w:p>
    <w:p w14:paraId="25824E83" w14:textId="77777777" w:rsidR="005B0204" w:rsidRDefault="005B0204">
      <w:pPr>
        <w:pBdr>
          <w:top w:val="nil"/>
          <w:left w:val="nil"/>
          <w:bottom w:val="nil"/>
          <w:right w:val="nil"/>
          <w:between w:val="nil"/>
        </w:pBdr>
        <w:spacing w:before="120" w:after="120"/>
        <w:ind w:left="0"/>
        <w:jc w:val="left"/>
        <w:rPr>
          <w:color w:val="000000"/>
          <w:sz w:val="24"/>
          <w:szCs w:val="24"/>
        </w:rPr>
      </w:pPr>
    </w:p>
    <w:p w14:paraId="130ABB9E" w14:textId="77777777" w:rsidR="005B0204" w:rsidRDefault="006830BD">
      <w:pPr>
        <w:pBdr>
          <w:top w:val="nil"/>
          <w:left w:val="nil"/>
          <w:bottom w:val="nil"/>
          <w:right w:val="nil"/>
          <w:between w:val="nil"/>
        </w:pBdr>
        <w:spacing w:before="120" w:after="120"/>
        <w:ind w:left="0"/>
        <w:jc w:val="left"/>
        <w:rPr>
          <w:color w:val="000000"/>
          <w:sz w:val="24"/>
          <w:szCs w:val="24"/>
        </w:rPr>
      </w:pPr>
      <w:r>
        <w:t xml:space="preserve">     </w:t>
      </w:r>
    </w:p>
    <w:sectPr w:rsidR="005B02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98CB" w14:textId="77777777" w:rsidR="006830BD" w:rsidRDefault="006830BD">
      <w:pPr>
        <w:spacing w:after="0"/>
      </w:pPr>
      <w:r>
        <w:separator/>
      </w:r>
    </w:p>
  </w:endnote>
  <w:endnote w:type="continuationSeparator" w:id="0">
    <w:p w14:paraId="66282D59" w14:textId="77777777" w:rsidR="006830BD" w:rsidRDefault="006830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8C94" w14:textId="77777777" w:rsidR="00955967" w:rsidRDefault="00955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EF" w14:textId="77777777" w:rsidR="005B0204" w:rsidRDefault="005B0204">
    <w:pPr>
      <w:tabs>
        <w:tab w:val="center" w:pos="4513"/>
        <w:tab w:val="right" w:pos="9026"/>
      </w:tabs>
      <w:spacing w:after="0"/>
      <w:ind w:left="0"/>
      <w:rPr>
        <w:rFonts w:ascii="Calibri" w:eastAsia="Calibri" w:hAnsi="Calibri" w:cs="Calibri"/>
        <w:color w:val="A6A6A6"/>
      </w:rPr>
    </w:pPr>
  </w:p>
  <w:p w14:paraId="06B8610E" w14:textId="77777777" w:rsidR="005B0204" w:rsidRDefault="006830BD">
    <w:pPr>
      <w:pBdr>
        <w:top w:val="nil"/>
        <w:left w:val="nil"/>
        <w:bottom w:val="nil"/>
        <w:right w:val="nil"/>
        <w:between w:val="nil"/>
      </w:pBdr>
      <w:tabs>
        <w:tab w:val="center" w:pos="4513"/>
        <w:tab w:val="right" w:pos="9026"/>
      </w:tabs>
      <w:spacing w:after="0"/>
      <w:ind w:left="0"/>
      <w:rPr>
        <w:sz w:val="20"/>
        <w:szCs w:val="20"/>
      </w:rPr>
    </w:pPr>
    <w:r>
      <w:rPr>
        <w:color w:val="000000"/>
        <w:sz w:val="20"/>
        <w:szCs w:val="20"/>
      </w:rPr>
      <w:t>Framework Ref: RM6116</w:t>
    </w:r>
  </w:p>
  <w:p w14:paraId="6A7018C5" w14:textId="450628E9" w:rsidR="005B0204" w:rsidRDefault="006830BD">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Project Version: </w:t>
    </w:r>
    <w:r>
      <w:rPr>
        <w:color w:val="000000"/>
        <w:sz w:val="20"/>
        <w:szCs w:val="20"/>
      </w:rPr>
      <w:t>v1.</w:t>
    </w:r>
    <w:r w:rsidR="00955967">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955967">
      <w:rPr>
        <w:noProof/>
        <w:color w:val="000000"/>
        <w:sz w:val="20"/>
        <w:szCs w:val="20"/>
      </w:rPr>
      <w:t>1</w:t>
    </w:r>
    <w:r>
      <w:rPr>
        <w:color w:val="000000"/>
        <w:sz w:val="20"/>
        <w:szCs w:val="20"/>
      </w:rPr>
      <w:fldChar w:fldCharType="end"/>
    </w:r>
  </w:p>
  <w:p w14:paraId="697330BB" w14:textId="77777777" w:rsidR="005B0204" w:rsidRDefault="006830BD">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3</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8493" w14:textId="77777777" w:rsidR="005B0204" w:rsidRDefault="006830BD">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r>
    <w:r>
      <w:rPr>
        <w:color w:val="000000"/>
        <w:sz w:val="20"/>
        <w:szCs w:val="20"/>
      </w:rPr>
      <w:t xml:space="preserve">                                           </w:t>
    </w:r>
  </w:p>
  <w:p w14:paraId="552FD52B" w14:textId="77777777" w:rsidR="005B0204" w:rsidRDefault="006830BD">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r>
      <w:rPr>
        <w:color w:val="000000"/>
        <w:sz w:val="20"/>
        <w:szCs w:val="20"/>
      </w:rPr>
      <w:t>-</w:t>
    </w:r>
  </w:p>
  <w:p w14:paraId="2711B454" w14:textId="77777777" w:rsidR="005B0204" w:rsidRDefault="006830BD">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E168" w14:textId="77777777" w:rsidR="006830BD" w:rsidRDefault="006830BD">
      <w:pPr>
        <w:spacing w:after="0"/>
      </w:pPr>
      <w:r>
        <w:separator/>
      </w:r>
    </w:p>
  </w:footnote>
  <w:footnote w:type="continuationSeparator" w:id="0">
    <w:p w14:paraId="1963974C" w14:textId="77777777" w:rsidR="006830BD" w:rsidRDefault="006830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B734" w14:textId="77777777" w:rsidR="00955967" w:rsidRDefault="00955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407F" w14:textId="77777777" w:rsidR="005B0204" w:rsidRDefault="006830BD">
    <w:pPr>
      <w:tabs>
        <w:tab w:val="center" w:pos="4513"/>
        <w:tab w:val="right" w:pos="9026"/>
      </w:tabs>
      <w:spacing w:after="0"/>
      <w:ind w:left="0"/>
      <w:jc w:val="left"/>
      <w:rPr>
        <w:sz w:val="20"/>
        <w:szCs w:val="20"/>
      </w:rPr>
    </w:pPr>
    <w:r>
      <w:rPr>
        <w:b/>
        <w:sz w:val="20"/>
        <w:szCs w:val="20"/>
      </w:rPr>
      <w:t>Call-Off Schedule 8 (Business Continuity and Disaster Recovery)</w:t>
    </w:r>
  </w:p>
  <w:p w14:paraId="031A1AA3" w14:textId="77777777" w:rsidR="005B0204" w:rsidRDefault="006830BD">
    <w:pPr>
      <w:tabs>
        <w:tab w:val="center" w:pos="4513"/>
        <w:tab w:val="right" w:pos="9026"/>
      </w:tabs>
      <w:spacing w:after="0"/>
      <w:ind w:left="0"/>
      <w:jc w:val="left"/>
      <w:rPr>
        <w:sz w:val="20"/>
        <w:szCs w:val="20"/>
      </w:rPr>
    </w:pPr>
    <w:r>
      <w:rPr>
        <w:sz w:val="20"/>
        <w:szCs w:val="20"/>
      </w:rPr>
      <w:t>Call-Off Ref:</w:t>
    </w:r>
  </w:p>
  <w:p w14:paraId="1B7C922B" w14:textId="77777777" w:rsidR="005B0204" w:rsidRDefault="006830BD">
    <w:pPr>
      <w:tabs>
        <w:tab w:val="center" w:pos="4513"/>
        <w:tab w:val="right" w:pos="9026"/>
      </w:tabs>
      <w:spacing w:after="0"/>
      <w:ind w:left="0"/>
      <w:jc w:val="left"/>
      <w:rPr>
        <w:sz w:val="20"/>
        <w:szCs w:val="20"/>
      </w:rPr>
    </w:pPr>
    <w:r>
      <w:rPr>
        <w:sz w:val="20"/>
        <w:szCs w:val="20"/>
      </w:rPr>
      <w:t>Crown Copyright 2021</w:t>
    </w:r>
  </w:p>
  <w:p w14:paraId="150042E2" w14:textId="77777777" w:rsidR="005B0204" w:rsidRDefault="005B0204">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6638" w14:textId="77777777" w:rsidR="00955967" w:rsidRDefault="00955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57D6"/>
    <w:multiLevelType w:val="multilevel"/>
    <w:tmpl w:val="D28AA1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AC56F89"/>
    <w:multiLevelType w:val="multilevel"/>
    <w:tmpl w:val="66A4FC7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31567F3F"/>
    <w:multiLevelType w:val="multilevel"/>
    <w:tmpl w:val="E1F615CE"/>
    <w:lvl w:ilvl="0">
      <w:start w:val="1"/>
      <w:numFmt w:val="decimal"/>
      <w:pStyle w:val="ScheduleText1"/>
      <w:lvlText w:val="%1."/>
      <w:lvlJc w:val="left"/>
      <w:pPr>
        <w:ind w:left="720" w:hanging="720"/>
      </w:pPr>
      <w:rPr>
        <w:smallCaps w:val="0"/>
        <w:strike w:val="0"/>
        <w:color w:val="000000"/>
        <w:u w:val="none"/>
        <w:vertAlign w:val="baseline"/>
      </w:rPr>
    </w:lvl>
    <w:lvl w:ilvl="1">
      <w:start w:val="1"/>
      <w:numFmt w:val="decimal"/>
      <w:pStyle w:val="ScheduleText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ScheduleText3"/>
      <w:lvlText w:val="%1.%2.%3"/>
      <w:lvlJc w:val="left"/>
      <w:pPr>
        <w:ind w:left="1440" w:hanging="720"/>
      </w:pPr>
      <w:rPr>
        <w:i w:val="0"/>
        <w:smallCaps w:val="0"/>
        <w:strike w:val="0"/>
        <w:color w:val="000000"/>
        <w:u w:val="none"/>
        <w:vertAlign w:val="baseline"/>
      </w:rPr>
    </w:lvl>
    <w:lvl w:ilvl="3">
      <w:start w:val="1"/>
      <w:numFmt w:val="lowerLetter"/>
      <w:pStyle w:val="ScheduleText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ScheduleText5"/>
      <w:lvlText w:val="(%5)"/>
      <w:lvlJc w:val="left"/>
      <w:pPr>
        <w:ind w:left="3207" w:hanging="1080"/>
      </w:pPr>
      <w:rPr>
        <w:b w:val="0"/>
        <w:i w:val="0"/>
        <w:smallCaps w:val="0"/>
        <w:strike w:val="0"/>
        <w:color w:val="000000"/>
        <w:u w:val="none"/>
        <w:vertAlign w:val="baseline"/>
      </w:rPr>
    </w:lvl>
    <w:lvl w:ilvl="5">
      <w:start w:val="1"/>
      <w:numFmt w:val="upperLetter"/>
      <w:pStyle w:val="ScheduleText6"/>
      <w:lvlText w:val="(%6)"/>
      <w:lvlJc w:val="left"/>
      <w:pPr>
        <w:ind w:left="1298" w:hanging="1080"/>
      </w:pPr>
      <w:rPr>
        <w:b w:val="0"/>
        <w:i w:val="0"/>
        <w:smallCaps w:val="0"/>
        <w:strike w:val="0"/>
        <w:color w:val="000000"/>
        <w:u w:val="none"/>
        <w:vertAlign w:val="baseline"/>
      </w:rPr>
    </w:lvl>
    <w:lvl w:ilvl="6">
      <w:start w:val="1"/>
      <w:numFmt w:val="decimal"/>
      <w:pStyle w:val="ScheduleText7"/>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32604A83"/>
    <w:multiLevelType w:val="multilevel"/>
    <w:tmpl w:val="94A8820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48C441E6"/>
    <w:multiLevelType w:val="multilevel"/>
    <w:tmpl w:val="A3D0FA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E1F3C37"/>
    <w:multiLevelType w:val="multilevel"/>
    <w:tmpl w:val="A754D24E"/>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54FE547E"/>
    <w:multiLevelType w:val="multilevel"/>
    <w:tmpl w:val="584A83C4"/>
    <w:lvl w:ilvl="0">
      <w:start w:val="1"/>
      <w:numFmt w:val="decimal"/>
      <w:pStyle w:val="GPSL1CLAUSEHEADING"/>
      <w:lvlText w:val="%1."/>
      <w:lvlJc w:val="left"/>
      <w:pPr>
        <w:ind w:left="720" w:hanging="720"/>
      </w:pPr>
    </w:lvl>
    <w:lvl w:ilvl="1">
      <w:start w:val="1"/>
      <w:numFmt w:val="decimal"/>
      <w:pStyle w:val="GPSL2numberedclause"/>
      <w:lvlText w:val="%1.%2"/>
      <w:lvlJc w:val="left"/>
      <w:pPr>
        <w:ind w:left="720" w:hanging="720"/>
      </w:pPr>
    </w:lvl>
    <w:lvl w:ilvl="2">
      <w:start w:val="1"/>
      <w:numFmt w:val="decimal"/>
      <w:pStyle w:val="GPSL3numberedclause"/>
      <w:lvlText w:val="%1.%2.%3"/>
      <w:lvlJc w:val="left"/>
      <w:pPr>
        <w:ind w:left="1803" w:hanging="1083"/>
      </w:pPr>
    </w:lvl>
    <w:lvl w:ilvl="3">
      <w:start w:val="1"/>
      <w:numFmt w:val="lowerLetter"/>
      <w:pStyle w:val="GPSL4numberedclause"/>
      <w:lvlText w:val="(%4)"/>
      <w:lvlJc w:val="left"/>
      <w:pPr>
        <w:ind w:left="1803" w:hanging="1083"/>
      </w:pPr>
    </w:lvl>
    <w:lvl w:ilvl="4">
      <w:start w:val="1"/>
      <w:numFmt w:val="lowerRoman"/>
      <w:pStyle w:val="GPSL5numberedclause"/>
      <w:lvlText w:val="(%5)"/>
      <w:lvlJc w:val="left"/>
      <w:pPr>
        <w:ind w:left="2523" w:hanging="720"/>
      </w:pPr>
    </w:lvl>
    <w:lvl w:ilvl="5">
      <w:start w:val="1"/>
      <w:numFmt w:val="decimal"/>
      <w:pStyle w:val="GPSL6numbered"/>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 w15:restartNumberingAfterBreak="0">
    <w:nsid w:val="5F7E4206"/>
    <w:multiLevelType w:val="multilevel"/>
    <w:tmpl w:val="5CE42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8C7DB6"/>
    <w:multiLevelType w:val="multilevel"/>
    <w:tmpl w:val="ECB44C48"/>
    <w:lvl w:ilvl="0">
      <w:start w:val="1"/>
      <w:numFmt w:val="decimal"/>
      <w:pStyle w:val="BulletsBody"/>
      <w:lvlText w:val="%1."/>
      <w:lvlJc w:val="left"/>
      <w:pPr>
        <w:ind w:left="720" w:hanging="720"/>
      </w:pPr>
      <w:rPr>
        <w:smallCaps w:val="0"/>
        <w:strike w:val="0"/>
        <w:color w:val="000000"/>
        <w:u w:val="none"/>
        <w:vertAlign w:val="baseline"/>
      </w:rPr>
    </w:lvl>
    <w:lvl w:ilvl="1">
      <w:start w:val="1"/>
      <w:numFmt w:val="decimal"/>
      <w:pStyle w:val="BulletsLevel1"/>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BulletsLevel2"/>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04"/>
    <w:rsid w:val="005B0204"/>
    <w:rsid w:val="006830BD"/>
    <w:rsid w:val="0095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E3AA85"/>
  <w15:docId w15:val="{499D2ED5-6C01-4251-9499-6446D0AB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9"/>
      </w:numPr>
    </w:pPr>
  </w:style>
  <w:style w:type="paragraph" w:customStyle="1" w:styleId="AppendixText5">
    <w:name w:val="Appendix Text 5"/>
    <w:basedOn w:val="Normal"/>
    <w:rsid w:val="00666034"/>
    <w:pPr>
      <w:numPr>
        <w:ilvl w:val="4"/>
        <w:numId w:val="9"/>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wpZC65Hy0Op5t6Psg2KVko+ilA==">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6243</Words>
  <Characters>35591</Characters>
  <Application>Microsoft Office Word</Application>
  <DocSecurity>0</DocSecurity>
  <Lines>296</Lines>
  <Paragraphs>83</Paragraphs>
  <ScaleCrop>false</ScaleCrop>
  <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Suzan Shaw</cp:lastModifiedBy>
  <cp:revision>2</cp:revision>
  <dcterms:created xsi:type="dcterms:W3CDTF">2026-03-23T14:07:00Z</dcterms:created>
  <dcterms:modified xsi:type="dcterms:W3CDTF">2026-03-23T14:07:00Z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