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463" w:rsidRDefault="00D35463">
      <w:pPr>
        <w:keepNext/>
        <w:pBdr>
          <w:top w:val="nil"/>
          <w:left w:val="nil"/>
          <w:bottom w:val="nil"/>
          <w:right w:val="nil"/>
          <w:between w:val="nil"/>
        </w:pBdr>
        <w:spacing w:after="240" w:line="240" w:lineRule="auto"/>
        <w:rPr>
          <w:rFonts w:ascii="Arial" w:eastAsia="Arial" w:hAnsi="Arial" w:cs="Arial"/>
          <w:b/>
          <w:color w:val="000000"/>
          <w:sz w:val="36"/>
          <w:szCs w:val="36"/>
        </w:rPr>
      </w:pPr>
    </w:p>
    <w:p w:rsidR="00D35463" w:rsidRDefault="005030B5">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14 (Service Levels)</w:t>
      </w:r>
    </w:p>
    <w:p w:rsidR="00D35463" w:rsidRDefault="005030B5">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D35463" w:rsidRDefault="005030B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363" w:type="dxa"/>
        <w:tblInd w:w="959" w:type="dxa"/>
        <w:tblLayout w:type="fixed"/>
        <w:tblLook w:val="0400" w:firstRow="0" w:lastRow="0" w:firstColumn="0" w:lastColumn="0" w:noHBand="0" w:noVBand="1"/>
      </w:tblPr>
      <w:tblGrid>
        <w:gridCol w:w="2410"/>
        <w:gridCol w:w="5953"/>
      </w:tblGrid>
      <w:tr w:rsidR="00D35463">
        <w:tc>
          <w:tcPr>
            <w:tcW w:w="2410" w:type="dxa"/>
            <w:shd w:val="clear" w:color="auto" w:fill="auto"/>
          </w:tcPr>
          <w:p w:rsidR="00D35463" w:rsidRDefault="00D35463">
            <w:pPr>
              <w:pBdr>
                <w:top w:val="nil"/>
                <w:left w:val="nil"/>
                <w:bottom w:val="nil"/>
                <w:right w:val="nil"/>
                <w:between w:val="nil"/>
              </w:pBdr>
              <w:spacing w:after="120" w:line="240" w:lineRule="auto"/>
              <w:ind w:left="-108"/>
              <w:rPr>
                <w:rFonts w:ascii="Arial" w:eastAsia="Arial" w:hAnsi="Arial" w:cs="Arial"/>
                <w:b/>
                <w:color w:val="000000"/>
                <w:sz w:val="24"/>
                <w:szCs w:val="24"/>
              </w:rPr>
            </w:pPr>
          </w:p>
          <w:p w:rsidR="00D35463" w:rsidRDefault="005030B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rsidR="00D35463" w:rsidRDefault="00D35463">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rsidR="00D35463" w:rsidRDefault="00D35463">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p>
          <w:p w:rsidR="00D35463" w:rsidRDefault="005030B5">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D35463">
        <w:tc>
          <w:tcPr>
            <w:tcW w:w="2410" w:type="dxa"/>
            <w:shd w:val="clear" w:color="auto" w:fill="auto"/>
          </w:tcPr>
          <w:p w:rsidR="00D35463" w:rsidRDefault="005030B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rsidR="00D35463" w:rsidRDefault="005030B5">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D35463">
        <w:trPr>
          <w:trHeight w:val="359"/>
        </w:trPr>
        <w:tc>
          <w:tcPr>
            <w:tcW w:w="2410" w:type="dxa"/>
            <w:shd w:val="clear" w:color="auto" w:fill="auto"/>
          </w:tcPr>
          <w:p w:rsidR="00D35463" w:rsidRDefault="005030B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rsidR="00D35463" w:rsidRDefault="005030B5">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D35463">
        <w:tc>
          <w:tcPr>
            <w:tcW w:w="2410" w:type="dxa"/>
            <w:shd w:val="clear" w:color="auto" w:fill="auto"/>
          </w:tcPr>
          <w:p w:rsidR="00D35463" w:rsidRDefault="00D35463">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rsidR="00D35463" w:rsidRDefault="00D35463">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p>
        </w:tc>
      </w:tr>
      <w:tr w:rsidR="00D35463">
        <w:tc>
          <w:tcPr>
            <w:tcW w:w="2410" w:type="dxa"/>
            <w:shd w:val="clear" w:color="auto" w:fill="auto"/>
          </w:tcPr>
          <w:p w:rsidR="00D35463" w:rsidRDefault="005030B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rsidR="00D35463" w:rsidRDefault="005030B5">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D35463">
        <w:tc>
          <w:tcPr>
            <w:tcW w:w="2410" w:type="dxa"/>
            <w:shd w:val="clear" w:color="auto" w:fill="auto"/>
          </w:tcPr>
          <w:p w:rsidR="00D35463" w:rsidRDefault="005030B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rsidR="00D35463" w:rsidRDefault="005030B5">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D35463">
        <w:tc>
          <w:tcPr>
            <w:tcW w:w="2410" w:type="dxa"/>
            <w:shd w:val="clear" w:color="auto" w:fill="auto"/>
          </w:tcPr>
          <w:p w:rsidR="00D35463" w:rsidRDefault="005030B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rsidR="00D35463" w:rsidRDefault="005030B5">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shall</w:t>
            </w:r>
            <w:proofErr w:type="gramEnd"/>
            <w:r>
              <w:rPr>
                <w:rFonts w:ascii="Arial" w:eastAsia="Arial" w:hAnsi="Arial" w:cs="Arial"/>
                <w:color w:val="000000"/>
                <w:sz w:val="24"/>
                <w:szCs w:val="24"/>
              </w:rPr>
              <w:t xml:space="preserve"> be as set out against the relevant Service Level in the Annex to Part A of this Schedule.</w:t>
            </w:r>
          </w:p>
        </w:tc>
      </w:tr>
    </w:tbl>
    <w:p w:rsidR="00D35463" w:rsidRDefault="005030B5">
      <w:pPr>
        <w:numPr>
          <w:ilvl w:val="0"/>
          <w:numId w:val="2"/>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don’t meet the Service Levels</w:t>
      </w:r>
    </w:p>
    <w:p w:rsidR="00D35463" w:rsidRDefault="005030B5">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shall at all times provide the Deliverables to meet or exceed the Service Level Performance Measure for each Service Level.</w:t>
      </w:r>
    </w:p>
    <w:p w:rsidR="00D35463" w:rsidRDefault="005030B5">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rsidR="00D35463" w:rsidRDefault="005030B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rsidR="00D35463" w:rsidRDefault="005030B5">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 Service Credit shall be the Buyer’s exclusive financial remedy for a Service Level Failure except where:</w:t>
      </w:r>
    </w:p>
    <w:p w:rsidR="00D35463" w:rsidRDefault="005030B5">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has over the previous (twelve) 12 Month period exceeded the Service Credit Cap; and/or</w:t>
      </w:r>
    </w:p>
    <w:p w:rsidR="00D35463" w:rsidRDefault="005030B5">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Level Failure:</w:t>
      </w:r>
    </w:p>
    <w:p w:rsidR="00D35463" w:rsidRDefault="005030B5">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0" w:name="_GoBack"/>
      <w:bookmarkEnd w:id="0"/>
      <w:r>
        <w:rPr>
          <w:rFonts w:ascii="Arial" w:eastAsia="Arial" w:hAnsi="Arial" w:cs="Arial"/>
          <w:color w:val="000000"/>
          <w:sz w:val="24"/>
          <w:szCs w:val="24"/>
        </w:rPr>
        <w:t>exceeds the relevant Service Level Threshold;</w:t>
      </w:r>
    </w:p>
    <w:p w:rsidR="00D35463" w:rsidRDefault="005030B5">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rsidR="00D35463" w:rsidRDefault="005030B5">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rsidR="00D35463" w:rsidRDefault="005030B5">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rsidR="00D35463" w:rsidRDefault="005030B5">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Buyer is entitled to or does terminate this Contract pursuant to Clause 10.4 (CCS and Buyer Termination Rights).</w:t>
      </w:r>
    </w:p>
    <w:p w:rsidR="00D35463" w:rsidRDefault="005030B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D35463" w:rsidRDefault="005030B5">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rsidR="00D35463" w:rsidRDefault="005030B5">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rsidR="00D35463" w:rsidRDefault="005030B5">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there</w:t>
      </w:r>
      <w:proofErr w:type="gramEnd"/>
      <w:r>
        <w:rPr>
          <w:rFonts w:ascii="Arial" w:eastAsia="Arial" w:hAnsi="Arial" w:cs="Arial"/>
          <w:color w:val="000000"/>
          <w:sz w:val="24"/>
          <w:szCs w:val="24"/>
        </w:rPr>
        <w:t xml:space="preserve"> is no change to the Service Credit Cap.</w:t>
      </w:r>
    </w:p>
    <w:p w:rsidR="00D35463" w:rsidRDefault="005030B5">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rsidR="00D35463" w:rsidRDefault="005030B5">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rsidR="00D35463" w:rsidRDefault="005030B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rsidR="00D35463" w:rsidRDefault="005030B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rsidR="00D35463" w:rsidRDefault="005030B5">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proofErr w:type="gramStart"/>
      <w:r>
        <w:rPr>
          <w:rFonts w:ascii="Arial" w:eastAsia="Arial" w:hAnsi="Arial" w:cs="Arial"/>
          <w:color w:val="000000"/>
          <w:sz w:val="24"/>
          <w:szCs w:val="24"/>
        </w:rPr>
        <w:t>provided</w:t>
      </w:r>
      <w:proofErr w:type="gramEnd"/>
      <w:r>
        <w:rPr>
          <w:rFonts w:ascii="Arial" w:eastAsia="Arial" w:hAnsi="Arial" w:cs="Arial"/>
          <w:color w:val="000000"/>
          <w:sz w:val="24"/>
          <w:szCs w:val="24"/>
        </w:rPr>
        <w:t xml:space="preserve"> that the operation of this paragraph 3 shall be without prejudice to the right of the Buyer to terminate this Contract and/or to claim damages from the Supplier for material Default.</w:t>
      </w:r>
    </w:p>
    <w:p w:rsidR="00D35463" w:rsidRDefault="00D35463">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rsidR="00D35463" w:rsidRDefault="005030B5">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rsidR="00D35463" w:rsidRDefault="005030B5">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rsidR="00D35463" w:rsidRDefault="005030B5">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rsidR="00D35463" w:rsidRDefault="005030B5">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rsidR="00D35463" w:rsidRDefault="005030B5">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rsidR="00D35463" w:rsidRDefault="005030B5">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Supplier shall immediately notify the Buyer in writing and the Buyer, in its absolute discretion and without limiting any other of its rights, may:</w:t>
      </w:r>
    </w:p>
    <w:p w:rsidR="00D35463" w:rsidRDefault="005030B5">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rsidR="00D35463" w:rsidRDefault="005030B5">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rsidR="00D35463" w:rsidRDefault="005030B5">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rsidR="00D35463" w:rsidRDefault="005030B5">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if</w:t>
      </w:r>
      <w:proofErr w:type="gramEnd"/>
      <w:r>
        <w:rPr>
          <w:rFonts w:ascii="Arial" w:eastAsia="Arial" w:hAnsi="Arial" w:cs="Arial"/>
          <w:color w:val="000000"/>
          <w:sz w:val="24"/>
          <w:szCs w:val="24"/>
        </w:rPr>
        <w:t xml:space="preserve"> a Critical Service Level Failure has occurred, exercise its right to Compensation for Critical Service Level Failure (including the right to terminate for material Default).</w:t>
      </w:r>
    </w:p>
    <w:p w:rsidR="00D35463" w:rsidRDefault="00D35463">
      <w:pPr>
        <w:pBdr>
          <w:top w:val="nil"/>
          <w:left w:val="nil"/>
          <w:bottom w:val="nil"/>
          <w:right w:val="nil"/>
          <w:between w:val="nil"/>
        </w:pBdr>
        <w:tabs>
          <w:tab w:val="left" w:pos="1134"/>
        </w:tabs>
        <w:spacing w:before="120" w:after="120" w:line="240" w:lineRule="auto"/>
        <w:ind w:left="567"/>
        <w:jc w:val="both"/>
        <w:rPr>
          <w:color w:val="000000"/>
        </w:rPr>
      </w:pPr>
    </w:p>
    <w:p w:rsidR="00D35463" w:rsidRDefault="00D35463">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p>
    <w:p w:rsidR="00D35463" w:rsidRDefault="005030B5">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rsidR="00D35463" w:rsidRDefault="005030B5">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rsidR="00D35463" w:rsidRDefault="005030B5">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D35463" w:rsidRDefault="00D35463">
      <w:pPr>
        <w:pBdr>
          <w:top w:val="nil"/>
          <w:left w:val="nil"/>
          <w:bottom w:val="nil"/>
          <w:right w:val="nil"/>
          <w:between w:val="nil"/>
        </w:pBdr>
        <w:tabs>
          <w:tab w:val="left" w:pos="1134"/>
        </w:tabs>
        <w:spacing w:before="120" w:after="120" w:line="240" w:lineRule="auto"/>
        <w:ind w:left="567"/>
        <w:jc w:val="both"/>
        <w:rPr>
          <w:color w:val="000000"/>
        </w:rPr>
      </w:pPr>
    </w:p>
    <w:p w:rsidR="00D35463" w:rsidRDefault="005030B5">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lastRenderedPageBreak/>
        <w:t xml:space="preserve">Annex A to Part </w:t>
      </w:r>
      <w:proofErr w:type="gramStart"/>
      <w:r>
        <w:rPr>
          <w:rFonts w:ascii="Arial Bold" w:eastAsia="Arial Bold" w:hAnsi="Arial Bold" w:cs="Arial Bold"/>
          <w:b/>
          <w:color w:val="000000"/>
          <w:sz w:val="36"/>
          <w:szCs w:val="36"/>
        </w:rPr>
        <w:t>A</w:t>
      </w:r>
      <w:proofErr w:type="gramEnd"/>
      <w:r>
        <w:rPr>
          <w:rFonts w:ascii="Arial Bold" w:eastAsia="Arial Bold" w:hAnsi="Arial Bold" w:cs="Arial Bold"/>
          <w:b/>
          <w:color w:val="000000"/>
          <w:sz w:val="36"/>
          <w:szCs w:val="36"/>
        </w:rPr>
        <w:t>: Services Levels and Service Credits Table</w:t>
      </w:r>
    </w:p>
    <w:p w:rsidR="00D35463" w:rsidRDefault="005030B5">
      <w:pPr>
        <w:ind w:left="709"/>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 xml:space="preserve">Guidance Note: </w:t>
      </w:r>
      <w:r>
        <w:rPr>
          <w:rFonts w:ascii="Arial" w:eastAsia="Arial" w:hAnsi="Arial" w:cs="Arial"/>
          <w:sz w:val="24"/>
          <w:szCs w:val="24"/>
        </w:rPr>
        <w:t>The following are included by way of example only. Procurement-specific Service Levels should be incorporated]</w:t>
      </w:r>
    </w:p>
    <w:tbl>
      <w:tblPr>
        <w:tblStyle w:val="a0"/>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tblGrid>
      <w:tr w:rsidR="00D35463">
        <w:trPr>
          <w:trHeight w:val="1213"/>
          <w:jc w:val="center"/>
        </w:trPr>
        <w:tc>
          <w:tcPr>
            <w:tcW w:w="6403" w:type="dxa"/>
            <w:gridSpan w:val="4"/>
            <w:shd w:val="clear" w:color="auto" w:fill="D9D9D9"/>
          </w:tcPr>
          <w:p w:rsidR="00D35463" w:rsidRDefault="005030B5">
            <w:pPr>
              <w:ind w:left="95"/>
              <w:rPr>
                <w:rFonts w:ascii="Arial" w:eastAsia="Arial" w:hAnsi="Arial" w:cs="Arial"/>
                <w:sz w:val="24"/>
                <w:szCs w:val="24"/>
              </w:rPr>
            </w:pPr>
            <w:r>
              <w:rPr>
                <w:rFonts w:ascii="Arial" w:eastAsia="Arial" w:hAnsi="Arial" w:cs="Arial"/>
                <w:sz w:val="24"/>
                <w:szCs w:val="24"/>
              </w:rPr>
              <w:t>Service Levels</w:t>
            </w:r>
          </w:p>
        </w:tc>
        <w:tc>
          <w:tcPr>
            <w:tcW w:w="2102" w:type="dxa"/>
            <w:vMerge w:val="restart"/>
            <w:shd w:val="clear" w:color="auto" w:fill="D9D9D9"/>
            <w:vAlign w:val="center"/>
          </w:tcPr>
          <w:p w:rsidR="00D35463" w:rsidRDefault="005030B5">
            <w:pPr>
              <w:ind w:left="95"/>
              <w:rPr>
                <w:rFonts w:ascii="Arial" w:eastAsia="Arial" w:hAnsi="Arial" w:cs="Arial"/>
                <w:sz w:val="24"/>
                <w:szCs w:val="24"/>
              </w:rPr>
            </w:pPr>
            <w:r>
              <w:rPr>
                <w:rFonts w:ascii="Arial" w:eastAsia="Arial" w:hAnsi="Arial" w:cs="Arial"/>
                <w:sz w:val="24"/>
                <w:szCs w:val="24"/>
              </w:rPr>
              <w:t>Service Credit for each Service Period</w:t>
            </w:r>
          </w:p>
          <w:p w:rsidR="00D35463" w:rsidRDefault="00D35463">
            <w:pPr>
              <w:ind w:left="95"/>
              <w:rPr>
                <w:rFonts w:ascii="Arial" w:eastAsia="Arial" w:hAnsi="Arial" w:cs="Arial"/>
                <w:sz w:val="24"/>
                <w:szCs w:val="24"/>
              </w:rPr>
            </w:pPr>
          </w:p>
        </w:tc>
      </w:tr>
      <w:tr w:rsidR="00D35463">
        <w:trPr>
          <w:trHeight w:val="1213"/>
          <w:jc w:val="center"/>
        </w:trPr>
        <w:tc>
          <w:tcPr>
            <w:tcW w:w="1713" w:type="dxa"/>
            <w:shd w:val="clear" w:color="auto" w:fill="D9D9D9"/>
            <w:vAlign w:val="center"/>
          </w:tcPr>
          <w:p w:rsidR="00D35463" w:rsidRDefault="005030B5">
            <w:pPr>
              <w:ind w:left="61"/>
              <w:rPr>
                <w:rFonts w:ascii="Arial" w:eastAsia="Arial" w:hAnsi="Arial" w:cs="Arial"/>
                <w:sz w:val="24"/>
                <w:szCs w:val="24"/>
              </w:rPr>
            </w:pPr>
            <w:r>
              <w:rPr>
                <w:rFonts w:ascii="Arial" w:eastAsia="Arial" w:hAnsi="Arial" w:cs="Arial"/>
                <w:sz w:val="24"/>
                <w:szCs w:val="24"/>
              </w:rPr>
              <w:t>Service Level Performance Criterion</w:t>
            </w:r>
          </w:p>
        </w:tc>
        <w:tc>
          <w:tcPr>
            <w:tcW w:w="1571" w:type="dxa"/>
            <w:shd w:val="clear" w:color="auto" w:fill="D9D9D9"/>
            <w:vAlign w:val="center"/>
          </w:tcPr>
          <w:p w:rsidR="00D35463" w:rsidRDefault="005030B5">
            <w:pPr>
              <w:ind w:left="95"/>
              <w:rPr>
                <w:rFonts w:ascii="Arial" w:eastAsia="Arial" w:hAnsi="Arial" w:cs="Arial"/>
                <w:sz w:val="24"/>
                <w:szCs w:val="24"/>
              </w:rPr>
            </w:pPr>
            <w:r>
              <w:rPr>
                <w:rFonts w:ascii="Arial" w:eastAsia="Arial" w:hAnsi="Arial" w:cs="Arial"/>
                <w:sz w:val="24"/>
                <w:szCs w:val="24"/>
              </w:rPr>
              <w:t>Key Indicator</w:t>
            </w:r>
          </w:p>
        </w:tc>
        <w:tc>
          <w:tcPr>
            <w:tcW w:w="1701" w:type="dxa"/>
            <w:shd w:val="clear" w:color="auto" w:fill="D9D9D9"/>
            <w:vAlign w:val="center"/>
          </w:tcPr>
          <w:p w:rsidR="00D35463" w:rsidRDefault="005030B5">
            <w:pPr>
              <w:rPr>
                <w:rFonts w:ascii="Arial" w:eastAsia="Arial" w:hAnsi="Arial" w:cs="Arial"/>
                <w:sz w:val="24"/>
                <w:szCs w:val="24"/>
              </w:rPr>
            </w:pPr>
            <w:r>
              <w:rPr>
                <w:rFonts w:ascii="Arial" w:eastAsia="Arial" w:hAnsi="Arial" w:cs="Arial"/>
                <w:sz w:val="24"/>
                <w:szCs w:val="24"/>
              </w:rPr>
              <w:t>Service Level Performance Measure</w:t>
            </w:r>
          </w:p>
        </w:tc>
        <w:tc>
          <w:tcPr>
            <w:tcW w:w="1418" w:type="dxa"/>
            <w:shd w:val="clear" w:color="auto" w:fill="D9D9D9"/>
          </w:tcPr>
          <w:p w:rsidR="00D35463" w:rsidRDefault="005030B5">
            <w:pPr>
              <w:ind w:left="95"/>
              <w:rPr>
                <w:rFonts w:ascii="Arial" w:eastAsia="Arial" w:hAnsi="Arial" w:cs="Arial"/>
                <w:sz w:val="24"/>
                <w:szCs w:val="24"/>
              </w:rPr>
            </w:pPr>
            <w:r>
              <w:rPr>
                <w:rFonts w:ascii="Arial" w:eastAsia="Arial" w:hAnsi="Arial" w:cs="Arial"/>
                <w:sz w:val="24"/>
                <w:szCs w:val="24"/>
              </w:rPr>
              <w:t>Service Level Threshold</w:t>
            </w:r>
          </w:p>
        </w:tc>
        <w:tc>
          <w:tcPr>
            <w:tcW w:w="2102" w:type="dxa"/>
            <w:vMerge/>
            <w:shd w:val="clear" w:color="auto" w:fill="D9D9D9"/>
            <w:vAlign w:val="center"/>
          </w:tcPr>
          <w:p w:rsidR="00D35463" w:rsidRDefault="00D35463">
            <w:pPr>
              <w:widowControl w:val="0"/>
              <w:pBdr>
                <w:top w:val="nil"/>
                <w:left w:val="nil"/>
                <w:bottom w:val="nil"/>
                <w:right w:val="nil"/>
                <w:between w:val="nil"/>
              </w:pBdr>
              <w:spacing w:after="0"/>
              <w:rPr>
                <w:rFonts w:ascii="Arial" w:eastAsia="Arial" w:hAnsi="Arial" w:cs="Arial"/>
                <w:sz w:val="24"/>
                <w:szCs w:val="24"/>
              </w:rPr>
            </w:pPr>
          </w:p>
        </w:tc>
      </w:tr>
      <w:tr w:rsidR="00D35463">
        <w:trPr>
          <w:trHeight w:val="1474"/>
          <w:jc w:val="center"/>
        </w:trPr>
        <w:tc>
          <w:tcPr>
            <w:tcW w:w="1713" w:type="dxa"/>
          </w:tcPr>
          <w:p w:rsidR="00D35463" w:rsidRDefault="005030B5">
            <w:pPr>
              <w:spacing w:after="120"/>
              <w:ind w:left="61"/>
              <w:rPr>
                <w:rFonts w:ascii="Tahoma" w:eastAsia="Tahoma" w:hAnsi="Tahoma" w:cs="Tahoma"/>
                <w:highlight w:val="yellow"/>
              </w:rPr>
            </w:pPr>
            <w:r>
              <w:rPr>
                <w:rFonts w:ascii="Tahoma" w:eastAsia="Tahoma" w:hAnsi="Tahoma" w:cs="Tahoma"/>
                <w:highlight w:val="yellow"/>
              </w:rPr>
              <w:t>Complaints Handling</w:t>
            </w:r>
          </w:p>
          <w:p w:rsidR="00D35463" w:rsidRDefault="00D35463">
            <w:pPr>
              <w:spacing w:after="120"/>
              <w:ind w:left="61"/>
              <w:rPr>
                <w:rFonts w:ascii="Tahoma" w:eastAsia="Tahoma" w:hAnsi="Tahoma" w:cs="Tahoma"/>
                <w:highlight w:val="yellow"/>
              </w:rPr>
            </w:pPr>
          </w:p>
          <w:p w:rsidR="00D35463" w:rsidRDefault="00D35463">
            <w:pPr>
              <w:spacing w:after="120"/>
              <w:ind w:left="61"/>
              <w:rPr>
                <w:rFonts w:ascii="Arial" w:eastAsia="Arial" w:hAnsi="Arial" w:cs="Arial"/>
                <w:b/>
                <w:sz w:val="24"/>
                <w:szCs w:val="24"/>
              </w:rPr>
            </w:pPr>
          </w:p>
        </w:tc>
        <w:tc>
          <w:tcPr>
            <w:tcW w:w="1571" w:type="dxa"/>
          </w:tcPr>
          <w:p w:rsidR="00D35463" w:rsidRDefault="005030B5">
            <w:pPr>
              <w:spacing w:after="120"/>
              <w:ind w:left="95"/>
              <w:rPr>
                <w:rFonts w:ascii="Tahoma" w:eastAsia="Tahoma" w:hAnsi="Tahoma" w:cs="Tahoma"/>
                <w:highlight w:val="yellow"/>
              </w:rPr>
            </w:pPr>
            <w:r>
              <w:rPr>
                <w:rFonts w:ascii="Tahoma" w:eastAsia="Tahoma" w:hAnsi="Tahoma" w:cs="Tahoma"/>
                <w:highlight w:val="yellow"/>
              </w:rPr>
              <w:t>Availability/Timelines</w:t>
            </w:r>
          </w:p>
          <w:p w:rsidR="00D35463" w:rsidRDefault="00D35463">
            <w:pPr>
              <w:spacing w:after="120"/>
              <w:rPr>
                <w:rFonts w:ascii="Arial" w:eastAsia="Arial" w:hAnsi="Arial" w:cs="Arial"/>
                <w:sz w:val="24"/>
                <w:szCs w:val="24"/>
              </w:rPr>
            </w:pPr>
          </w:p>
        </w:tc>
        <w:tc>
          <w:tcPr>
            <w:tcW w:w="1701" w:type="dxa"/>
          </w:tcPr>
          <w:p w:rsidR="00D35463" w:rsidRDefault="005030B5">
            <w:pPr>
              <w:spacing w:after="120"/>
              <w:rPr>
                <w:rFonts w:ascii="Tahoma" w:eastAsia="Tahoma" w:hAnsi="Tahoma" w:cs="Tahoma"/>
                <w:highlight w:val="yellow"/>
              </w:rPr>
            </w:pPr>
            <w:r>
              <w:rPr>
                <w:rFonts w:ascii="Tahoma" w:eastAsia="Tahoma" w:hAnsi="Tahoma" w:cs="Tahoma"/>
                <w:highlight w:val="yellow"/>
              </w:rPr>
              <w:t>At least 98% at all times</w:t>
            </w:r>
          </w:p>
          <w:p w:rsidR="00D35463" w:rsidRDefault="00D35463">
            <w:pPr>
              <w:spacing w:after="120"/>
              <w:rPr>
                <w:rFonts w:ascii="Arial" w:eastAsia="Arial" w:hAnsi="Arial" w:cs="Arial"/>
                <w:sz w:val="24"/>
                <w:szCs w:val="24"/>
              </w:rPr>
            </w:pPr>
          </w:p>
        </w:tc>
        <w:tc>
          <w:tcPr>
            <w:tcW w:w="1418" w:type="dxa"/>
          </w:tcPr>
          <w:p w:rsidR="00D35463" w:rsidRDefault="005030B5">
            <w:pPr>
              <w:spacing w:after="120"/>
              <w:ind w:left="95"/>
              <w:rPr>
                <w:rFonts w:ascii="Arial" w:eastAsia="Arial" w:hAnsi="Arial" w:cs="Arial"/>
                <w:sz w:val="24"/>
                <w:szCs w:val="24"/>
              </w:rPr>
            </w:pPr>
            <w:r>
              <w:rPr>
                <w:rFonts w:ascii="Arial" w:eastAsia="Arial" w:hAnsi="Arial" w:cs="Arial"/>
                <w:sz w:val="24"/>
                <w:szCs w:val="24"/>
              </w:rPr>
              <w:t>[   ]</w:t>
            </w:r>
          </w:p>
        </w:tc>
        <w:tc>
          <w:tcPr>
            <w:tcW w:w="2102" w:type="dxa"/>
          </w:tcPr>
          <w:p w:rsidR="00D35463" w:rsidRDefault="005030B5">
            <w:pPr>
              <w:spacing w:after="120"/>
              <w:ind w:left="95"/>
              <w:rPr>
                <w:rFonts w:ascii="Arial" w:eastAsia="Arial" w:hAnsi="Arial" w:cs="Arial"/>
                <w:sz w:val="24"/>
                <w:szCs w:val="24"/>
              </w:rPr>
            </w:pPr>
            <w:r>
              <w:rPr>
                <w:rFonts w:ascii="Tahoma" w:eastAsia="Tahoma" w:hAnsi="Tahoma" w:cs="Tahoma"/>
                <w:highlight w:val="yellow"/>
              </w:rPr>
              <w:t>0.5% Service Credit gained for each percentage under the specified Service Level Performance Measure</w:t>
            </w:r>
          </w:p>
        </w:tc>
      </w:tr>
      <w:tr w:rsidR="00D35463">
        <w:trPr>
          <w:trHeight w:val="1474"/>
          <w:jc w:val="center"/>
        </w:trPr>
        <w:tc>
          <w:tcPr>
            <w:tcW w:w="1713" w:type="dxa"/>
          </w:tcPr>
          <w:p w:rsidR="00D35463" w:rsidRDefault="005030B5">
            <w:pPr>
              <w:spacing w:after="120"/>
              <w:ind w:left="61"/>
              <w:rPr>
                <w:rFonts w:ascii="Tahoma" w:eastAsia="Tahoma" w:hAnsi="Tahoma" w:cs="Tahoma"/>
                <w:highlight w:val="yellow"/>
              </w:rPr>
            </w:pPr>
            <w:r>
              <w:rPr>
                <w:rFonts w:ascii="Tahoma" w:eastAsia="Tahoma" w:hAnsi="Tahoma" w:cs="Tahoma"/>
                <w:highlight w:val="yellow"/>
              </w:rPr>
              <w:t>provision of specific Goods and/or Services</w:t>
            </w:r>
          </w:p>
          <w:p w:rsidR="00D35463" w:rsidRDefault="00D35463">
            <w:pPr>
              <w:spacing w:after="120"/>
              <w:ind w:left="61"/>
              <w:rPr>
                <w:rFonts w:ascii="Arial" w:eastAsia="Arial" w:hAnsi="Arial" w:cs="Arial"/>
                <w:b/>
                <w:sz w:val="24"/>
                <w:szCs w:val="24"/>
              </w:rPr>
            </w:pPr>
          </w:p>
        </w:tc>
        <w:tc>
          <w:tcPr>
            <w:tcW w:w="1571" w:type="dxa"/>
          </w:tcPr>
          <w:p w:rsidR="00D35463" w:rsidRDefault="005030B5">
            <w:pPr>
              <w:spacing w:after="120"/>
              <w:ind w:left="95"/>
              <w:rPr>
                <w:rFonts w:ascii="Tahoma" w:eastAsia="Tahoma" w:hAnsi="Tahoma" w:cs="Tahoma"/>
                <w:highlight w:val="yellow"/>
              </w:rPr>
            </w:pPr>
            <w:r>
              <w:rPr>
                <w:rFonts w:ascii="Tahoma" w:eastAsia="Tahoma" w:hAnsi="Tahoma" w:cs="Tahoma"/>
                <w:highlight w:val="yellow"/>
              </w:rPr>
              <w:t>Quality</w:t>
            </w:r>
          </w:p>
          <w:p w:rsidR="00D35463" w:rsidRDefault="00D35463">
            <w:pPr>
              <w:spacing w:after="120"/>
              <w:ind w:left="95"/>
              <w:rPr>
                <w:rFonts w:ascii="Tahoma" w:eastAsia="Tahoma" w:hAnsi="Tahoma" w:cs="Tahoma"/>
                <w:highlight w:val="yellow"/>
              </w:rPr>
            </w:pPr>
          </w:p>
          <w:p w:rsidR="00D35463" w:rsidRDefault="00D35463">
            <w:pPr>
              <w:spacing w:after="120"/>
              <w:rPr>
                <w:rFonts w:ascii="Arial" w:eastAsia="Arial" w:hAnsi="Arial" w:cs="Arial"/>
                <w:sz w:val="24"/>
                <w:szCs w:val="24"/>
              </w:rPr>
            </w:pPr>
          </w:p>
        </w:tc>
        <w:tc>
          <w:tcPr>
            <w:tcW w:w="1701" w:type="dxa"/>
          </w:tcPr>
          <w:p w:rsidR="00D35463" w:rsidRDefault="005030B5">
            <w:pPr>
              <w:spacing w:after="120"/>
              <w:rPr>
                <w:rFonts w:ascii="Tahoma" w:eastAsia="Tahoma" w:hAnsi="Tahoma" w:cs="Tahoma"/>
                <w:highlight w:val="yellow"/>
              </w:rPr>
            </w:pPr>
            <w:r>
              <w:rPr>
                <w:rFonts w:ascii="Tahoma" w:eastAsia="Tahoma" w:hAnsi="Tahoma" w:cs="Tahoma"/>
                <w:highlight w:val="yellow"/>
              </w:rPr>
              <w:t>at least 98% at all times</w:t>
            </w:r>
          </w:p>
          <w:p w:rsidR="00D35463" w:rsidRDefault="00D35463">
            <w:pPr>
              <w:spacing w:after="120"/>
              <w:rPr>
                <w:rFonts w:ascii="Arial" w:eastAsia="Arial" w:hAnsi="Arial" w:cs="Arial"/>
                <w:sz w:val="24"/>
                <w:szCs w:val="24"/>
              </w:rPr>
            </w:pPr>
          </w:p>
        </w:tc>
        <w:tc>
          <w:tcPr>
            <w:tcW w:w="1418" w:type="dxa"/>
          </w:tcPr>
          <w:p w:rsidR="00D35463" w:rsidRDefault="005030B5">
            <w:pPr>
              <w:spacing w:after="120"/>
              <w:ind w:left="95"/>
              <w:rPr>
                <w:rFonts w:ascii="Arial" w:eastAsia="Arial" w:hAnsi="Arial" w:cs="Arial"/>
                <w:sz w:val="24"/>
                <w:szCs w:val="24"/>
              </w:rPr>
            </w:pPr>
            <w:r>
              <w:rPr>
                <w:rFonts w:ascii="Arial" w:eastAsia="Arial" w:hAnsi="Arial" w:cs="Arial"/>
                <w:sz w:val="24"/>
                <w:szCs w:val="24"/>
              </w:rPr>
              <w:t>[   ]</w:t>
            </w:r>
          </w:p>
        </w:tc>
        <w:tc>
          <w:tcPr>
            <w:tcW w:w="2102" w:type="dxa"/>
          </w:tcPr>
          <w:p w:rsidR="00D35463" w:rsidRDefault="005030B5">
            <w:pPr>
              <w:spacing w:after="120"/>
              <w:ind w:left="95"/>
              <w:rPr>
                <w:rFonts w:ascii="Arial" w:eastAsia="Arial" w:hAnsi="Arial" w:cs="Arial"/>
                <w:sz w:val="24"/>
                <w:szCs w:val="24"/>
              </w:rPr>
            </w:pPr>
            <w:r>
              <w:rPr>
                <w:rFonts w:ascii="Tahoma" w:eastAsia="Tahoma" w:hAnsi="Tahoma" w:cs="Tahoma"/>
                <w:highlight w:val="yellow"/>
              </w:rPr>
              <w:t>2% Service Credit gained for each percentage under the specified Service Level Performance Measure</w:t>
            </w:r>
          </w:p>
        </w:tc>
      </w:tr>
      <w:tr w:rsidR="00D35463">
        <w:trPr>
          <w:trHeight w:val="1474"/>
          <w:jc w:val="center"/>
        </w:trPr>
        <w:tc>
          <w:tcPr>
            <w:tcW w:w="1713" w:type="dxa"/>
          </w:tcPr>
          <w:p w:rsidR="00D35463" w:rsidRDefault="005030B5">
            <w:pPr>
              <w:spacing w:after="120"/>
              <w:ind w:left="61"/>
              <w:rPr>
                <w:rFonts w:ascii="Arial" w:eastAsia="Arial" w:hAnsi="Arial" w:cs="Arial"/>
                <w:b/>
                <w:sz w:val="24"/>
                <w:szCs w:val="24"/>
              </w:rPr>
            </w:pPr>
            <w:r>
              <w:rPr>
                <w:rFonts w:ascii="Tahoma" w:eastAsia="Tahoma" w:hAnsi="Tahoma" w:cs="Tahoma"/>
                <w:highlight w:val="yellow"/>
              </w:rPr>
              <w:t xml:space="preserve">Timely </w:t>
            </w:r>
            <w:proofErr w:type="gramStart"/>
            <w:r>
              <w:rPr>
                <w:rFonts w:ascii="Tahoma" w:eastAsia="Tahoma" w:hAnsi="Tahoma" w:cs="Tahoma"/>
                <w:highlight w:val="yellow"/>
              </w:rPr>
              <w:t>provision  of</w:t>
            </w:r>
            <w:proofErr w:type="gramEnd"/>
            <w:r>
              <w:rPr>
                <w:rFonts w:ascii="Tahoma" w:eastAsia="Tahoma" w:hAnsi="Tahoma" w:cs="Tahoma"/>
                <w:highlight w:val="yellow"/>
              </w:rPr>
              <w:t xml:space="preserve"> the Goods and/or Services [** hours a day, ** days a week.]</w:t>
            </w:r>
          </w:p>
        </w:tc>
        <w:tc>
          <w:tcPr>
            <w:tcW w:w="1571" w:type="dxa"/>
          </w:tcPr>
          <w:p w:rsidR="00D35463" w:rsidRDefault="005030B5">
            <w:pPr>
              <w:spacing w:after="120"/>
              <w:ind w:left="95"/>
              <w:rPr>
                <w:rFonts w:ascii="Tahoma" w:eastAsia="Tahoma" w:hAnsi="Tahoma" w:cs="Tahoma"/>
                <w:highlight w:val="yellow"/>
              </w:rPr>
            </w:pPr>
            <w:r>
              <w:rPr>
                <w:rFonts w:ascii="Tahoma" w:eastAsia="Tahoma" w:hAnsi="Tahoma" w:cs="Tahoma"/>
                <w:highlight w:val="yellow"/>
              </w:rPr>
              <w:t>Goods and/or Services Availability</w:t>
            </w:r>
          </w:p>
          <w:p w:rsidR="00D35463" w:rsidRDefault="00D35463">
            <w:pPr>
              <w:spacing w:after="120"/>
              <w:rPr>
                <w:rFonts w:ascii="Arial" w:eastAsia="Arial" w:hAnsi="Arial" w:cs="Arial"/>
                <w:sz w:val="24"/>
                <w:szCs w:val="24"/>
              </w:rPr>
            </w:pPr>
          </w:p>
        </w:tc>
        <w:tc>
          <w:tcPr>
            <w:tcW w:w="1701" w:type="dxa"/>
          </w:tcPr>
          <w:p w:rsidR="00D35463" w:rsidRDefault="005030B5">
            <w:pPr>
              <w:spacing w:after="120"/>
              <w:rPr>
                <w:rFonts w:ascii="Tahoma" w:eastAsia="Tahoma" w:hAnsi="Tahoma" w:cs="Tahoma"/>
                <w:highlight w:val="yellow"/>
              </w:rPr>
            </w:pPr>
            <w:r>
              <w:rPr>
                <w:rFonts w:ascii="Tahoma" w:eastAsia="Tahoma" w:hAnsi="Tahoma" w:cs="Tahoma"/>
                <w:highlight w:val="yellow"/>
              </w:rPr>
              <w:t>at least 98% at all times</w:t>
            </w:r>
          </w:p>
          <w:p w:rsidR="00D35463" w:rsidRDefault="00D35463">
            <w:pPr>
              <w:spacing w:after="120"/>
              <w:rPr>
                <w:rFonts w:ascii="Arial" w:eastAsia="Arial" w:hAnsi="Arial" w:cs="Arial"/>
                <w:sz w:val="24"/>
                <w:szCs w:val="24"/>
              </w:rPr>
            </w:pPr>
          </w:p>
        </w:tc>
        <w:tc>
          <w:tcPr>
            <w:tcW w:w="1418" w:type="dxa"/>
          </w:tcPr>
          <w:p w:rsidR="00D35463" w:rsidRDefault="005030B5">
            <w:pPr>
              <w:spacing w:after="120"/>
              <w:ind w:left="95"/>
              <w:rPr>
                <w:rFonts w:ascii="Arial" w:eastAsia="Arial" w:hAnsi="Arial" w:cs="Arial"/>
                <w:sz w:val="24"/>
                <w:szCs w:val="24"/>
              </w:rPr>
            </w:pPr>
            <w:r>
              <w:rPr>
                <w:rFonts w:ascii="Arial" w:eastAsia="Arial" w:hAnsi="Arial" w:cs="Arial"/>
                <w:sz w:val="24"/>
                <w:szCs w:val="24"/>
              </w:rPr>
              <w:t>[   ]</w:t>
            </w:r>
          </w:p>
        </w:tc>
        <w:tc>
          <w:tcPr>
            <w:tcW w:w="2102" w:type="dxa"/>
          </w:tcPr>
          <w:p w:rsidR="00D35463" w:rsidRDefault="005030B5">
            <w:pPr>
              <w:spacing w:after="120"/>
              <w:ind w:left="95"/>
              <w:rPr>
                <w:rFonts w:ascii="Arial" w:eastAsia="Arial" w:hAnsi="Arial" w:cs="Arial"/>
                <w:sz w:val="24"/>
                <w:szCs w:val="24"/>
              </w:rPr>
            </w:pPr>
            <w:r>
              <w:rPr>
                <w:rFonts w:ascii="Tahoma" w:eastAsia="Tahoma" w:hAnsi="Tahoma" w:cs="Tahoma"/>
                <w:highlight w:val="yellow"/>
              </w:rPr>
              <w:t>2% Service Credit gained for each percentage under the specified Service Level Performance Measure</w:t>
            </w:r>
            <w:r>
              <w:rPr>
                <w:rFonts w:ascii="Tahoma" w:eastAsia="Tahoma" w:hAnsi="Tahoma" w:cs="Tahoma"/>
                <w:b/>
                <w:highlight w:val="yellow"/>
              </w:rPr>
              <w:t>]</w:t>
            </w:r>
          </w:p>
        </w:tc>
      </w:tr>
      <w:tr w:rsidR="00D35463">
        <w:trPr>
          <w:trHeight w:val="1474"/>
          <w:jc w:val="center"/>
        </w:trPr>
        <w:tc>
          <w:tcPr>
            <w:tcW w:w="1713" w:type="dxa"/>
          </w:tcPr>
          <w:p w:rsidR="00D35463" w:rsidRDefault="005030B5">
            <w:pPr>
              <w:spacing w:after="120"/>
              <w:ind w:left="61"/>
              <w:rPr>
                <w:rFonts w:ascii="Arial" w:eastAsia="Arial" w:hAnsi="Arial" w:cs="Arial"/>
                <w:sz w:val="24"/>
                <w:szCs w:val="24"/>
              </w:rPr>
            </w:pPr>
            <w:r>
              <w:rPr>
                <w:rFonts w:ascii="Arial" w:eastAsia="Arial" w:hAnsi="Arial" w:cs="Arial"/>
                <w:b/>
                <w:sz w:val="24"/>
                <w:szCs w:val="24"/>
              </w:rPr>
              <w:lastRenderedPageBreak/>
              <w:t>[</w:t>
            </w:r>
            <w:r>
              <w:rPr>
                <w:rFonts w:ascii="Arial" w:eastAsia="Arial" w:hAnsi="Arial" w:cs="Arial"/>
                <w:sz w:val="24"/>
                <w:szCs w:val="24"/>
              </w:rPr>
              <w:t>Accurate and timely billing of Buyer invoices</w:t>
            </w:r>
          </w:p>
          <w:p w:rsidR="00D35463" w:rsidRDefault="00D35463">
            <w:pPr>
              <w:spacing w:after="120"/>
              <w:ind w:left="61"/>
              <w:rPr>
                <w:rFonts w:ascii="Arial" w:eastAsia="Arial" w:hAnsi="Arial" w:cs="Arial"/>
                <w:sz w:val="24"/>
                <w:szCs w:val="24"/>
              </w:rPr>
            </w:pPr>
          </w:p>
        </w:tc>
        <w:tc>
          <w:tcPr>
            <w:tcW w:w="1571" w:type="dxa"/>
          </w:tcPr>
          <w:p w:rsidR="00D35463" w:rsidRDefault="005030B5">
            <w:pPr>
              <w:spacing w:after="120"/>
              <w:ind w:left="95"/>
              <w:rPr>
                <w:rFonts w:ascii="Arial" w:eastAsia="Arial" w:hAnsi="Arial" w:cs="Arial"/>
                <w:sz w:val="24"/>
                <w:szCs w:val="24"/>
              </w:rPr>
            </w:pPr>
            <w:r>
              <w:rPr>
                <w:rFonts w:ascii="Arial" w:eastAsia="Arial" w:hAnsi="Arial" w:cs="Arial"/>
                <w:sz w:val="24"/>
                <w:szCs w:val="24"/>
              </w:rPr>
              <w:t>Accuracy /Timelines</w:t>
            </w:r>
          </w:p>
          <w:p w:rsidR="00D35463" w:rsidRDefault="00D35463">
            <w:pPr>
              <w:spacing w:after="120"/>
              <w:ind w:left="95"/>
              <w:rPr>
                <w:rFonts w:ascii="Arial" w:eastAsia="Arial" w:hAnsi="Arial" w:cs="Arial"/>
                <w:sz w:val="24"/>
                <w:szCs w:val="24"/>
              </w:rPr>
            </w:pPr>
          </w:p>
        </w:tc>
        <w:tc>
          <w:tcPr>
            <w:tcW w:w="1701" w:type="dxa"/>
          </w:tcPr>
          <w:p w:rsidR="00D35463" w:rsidRDefault="005030B5">
            <w:pPr>
              <w:spacing w:after="120"/>
              <w:rPr>
                <w:rFonts w:ascii="Arial" w:eastAsia="Arial" w:hAnsi="Arial" w:cs="Arial"/>
                <w:sz w:val="24"/>
                <w:szCs w:val="24"/>
              </w:rPr>
            </w:pPr>
            <w:r>
              <w:rPr>
                <w:rFonts w:ascii="Arial" w:eastAsia="Arial" w:hAnsi="Arial" w:cs="Arial"/>
                <w:sz w:val="24"/>
                <w:szCs w:val="24"/>
              </w:rPr>
              <w:t>at least 98% at all times</w:t>
            </w:r>
          </w:p>
          <w:p w:rsidR="00D35463" w:rsidRDefault="00D35463">
            <w:pPr>
              <w:spacing w:after="120"/>
              <w:rPr>
                <w:rFonts w:ascii="Arial" w:eastAsia="Arial" w:hAnsi="Arial" w:cs="Arial"/>
                <w:sz w:val="24"/>
                <w:szCs w:val="24"/>
              </w:rPr>
            </w:pPr>
          </w:p>
        </w:tc>
        <w:tc>
          <w:tcPr>
            <w:tcW w:w="1418" w:type="dxa"/>
          </w:tcPr>
          <w:p w:rsidR="00D35463" w:rsidRDefault="005030B5">
            <w:pPr>
              <w:spacing w:after="120"/>
              <w:ind w:left="95"/>
              <w:rPr>
                <w:rFonts w:ascii="Arial" w:eastAsia="Arial" w:hAnsi="Arial" w:cs="Arial"/>
                <w:sz w:val="24"/>
                <w:szCs w:val="24"/>
              </w:rPr>
            </w:pPr>
            <w:r>
              <w:rPr>
                <w:rFonts w:ascii="Arial" w:eastAsia="Arial" w:hAnsi="Arial" w:cs="Arial"/>
                <w:sz w:val="24"/>
                <w:szCs w:val="24"/>
              </w:rPr>
              <w:t>[   ]</w:t>
            </w:r>
          </w:p>
        </w:tc>
        <w:tc>
          <w:tcPr>
            <w:tcW w:w="2102" w:type="dxa"/>
          </w:tcPr>
          <w:p w:rsidR="00D35463" w:rsidRDefault="005030B5">
            <w:pPr>
              <w:spacing w:after="120"/>
              <w:ind w:left="95"/>
              <w:rPr>
                <w:rFonts w:ascii="Arial" w:eastAsia="Arial" w:hAnsi="Arial" w:cs="Arial"/>
                <w:sz w:val="24"/>
                <w:szCs w:val="24"/>
              </w:rPr>
            </w:pPr>
            <w:r>
              <w:rPr>
                <w:rFonts w:ascii="Arial" w:eastAsia="Arial" w:hAnsi="Arial" w:cs="Arial"/>
                <w:sz w:val="24"/>
                <w:szCs w:val="24"/>
              </w:rPr>
              <w:t>0.5% Service Credit gained for each percentage under the specified Service Level Performance Measure</w:t>
            </w:r>
          </w:p>
        </w:tc>
      </w:tr>
      <w:tr w:rsidR="00D35463">
        <w:trPr>
          <w:trHeight w:val="1474"/>
          <w:jc w:val="center"/>
        </w:trPr>
        <w:tc>
          <w:tcPr>
            <w:tcW w:w="1713" w:type="dxa"/>
          </w:tcPr>
          <w:p w:rsidR="00D35463" w:rsidRDefault="005030B5">
            <w:pPr>
              <w:spacing w:after="120"/>
              <w:ind w:left="61"/>
              <w:rPr>
                <w:rFonts w:ascii="Arial" w:eastAsia="Arial" w:hAnsi="Arial" w:cs="Arial"/>
                <w:sz w:val="24"/>
                <w:szCs w:val="24"/>
              </w:rPr>
            </w:pPr>
            <w:r>
              <w:rPr>
                <w:rFonts w:ascii="Arial" w:eastAsia="Arial" w:hAnsi="Arial" w:cs="Arial"/>
                <w:sz w:val="24"/>
                <w:szCs w:val="24"/>
              </w:rPr>
              <w:t>Access to Buyer support</w:t>
            </w:r>
          </w:p>
          <w:p w:rsidR="00D35463" w:rsidRDefault="00D35463">
            <w:pPr>
              <w:spacing w:after="120"/>
              <w:ind w:left="61"/>
              <w:rPr>
                <w:rFonts w:ascii="Arial" w:eastAsia="Arial" w:hAnsi="Arial" w:cs="Arial"/>
                <w:sz w:val="24"/>
                <w:szCs w:val="24"/>
              </w:rPr>
            </w:pPr>
          </w:p>
        </w:tc>
        <w:tc>
          <w:tcPr>
            <w:tcW w:w="1571" w:type="dxa"/>
          </w:tcPr>
          <w:p w:rsidR="00D35463" w:rsidRDefault="005030B5">
            <w:pPr>
              <w:spacing w:after="120"/>
              <w:ind w:left="95"/>
              <w:rPr>
                <w:rFonts w:ascii="Arial" w:eastAsia="Arial" w:hAnsi="Arial" w:cs="Arial"/>
                <w:sz w:val="24"/>
                <w:szCs w:val="24"/>
              </w:rPr>
            </w:pPr>
            <w:r>
              <w:rPr>
                <w:rFonts w:ascii="Arial" w:eastAsia="Arial" w:hAnsi="Arial" w:cs="Arial"/>
                <w:sz w:val="24"/>
                <w:szCs w:val="24"/>
              </w:rPr>
              <w:t>Availability</w:t>
            </w:r>
          </w:p>
          <w:p w:rsidR="00D35463" w:rsidRDefault="00D35463">
            <w:pPr>
              <w:spacing w:after="120"/>
              <w:ind w:left="95"/>
              <w:rPr>
                <w:rFonts w:ascii="Arial" w:eastAsia="Arial" w:hAnsi="Arial" w:cs="Arial"/>
                <w:sz w:val="24"/>
                <w:szCs w:val="24"/>
              </w:rPr>
            </w:pPr>
          </w:p>
          <w:p w:rsidR="00D35463" w:rsidRDefault="00D35463">
            <w:pPr>
              <w:spacing w:after="120"/>
              <w:ind w:left="95"/>
              <w:rPr>
                <w:rFonts w:ascii="Arial" w:eastAsia="Arial" w:hAnsi="Arial" w:cs="Arial"/>
                <w:sz w:val="24"/>
                <w:szCs w:val="24"/>
              </w:rPr>
            </w:pPr>
          </w:p>
        </w:tc>
        <w:tc>
          <w:tcPr>
            <w:tcW w:w="1701" w:type="dxa"/>
          </w:tcPr>
          <w:p w:rsidR="00D35463" w:rsidRDefault="005030B5">
            <w:pPr>
              <w:spacing w:after="120"/>
              <w:rPr>
                <w:rFonts w:ascii="Arial" w:eastAsia="Arial" w:hAnsi="Arial" w:cs="Arial"/>
                <w:sz w:val="24"/>
                <w:szCs w:val="24"/>
              </w:rPr>
            </w:pPr>
            <w:r>
              <w:rPr>
                <w:rFonts w:ascii="Arial" w:eastAsia="Arial" w:hAnsi="Arial" w:cs="Arial"/>
                <w:sz w:val="24"/>
                <w:szCs w:val="24"/>
              </w:rPr>
              <w:t>at least 98% at all times</w:t>
            </w:r>
          </w:p>
          <w:p w:rsidR="00D35463" w:rsidRDefault="00D35463">
            <w:pPr>
              <w:spacing w:after="120"/>
              <w:rPr>
                <w:rFonts w:ascii="Arial" w:eastAsia="Arial" w:hAnsi="Arial" w:cs="Arial"/>
                <w:sz w:val="24"/>
                <w:szCs w:val="24"/>
              </w:rPr>
            </w:pPr>
          </w:p>
        </w:tc>
        <w:tc>
          <w:tcPr>
            <w:tcW w:w="1418" w:type="dxa"/>
          </w:tcPr>
          <w:p w:rsidR="00D35463" w:rsidRDefault="005030B5">
            <w:pPr>
              <w:spacing w:after="120"/>
              <w:ind w:left="95"/>
              <w:rPr>
                <w:rFonts w:ascii="Arial" w:eastAsia="Arial" w:hAnsi="Arial" w:cs="Arial"/>
                <w:sz w:val="24"/>
                <w:szCs w:val="24"/>
              </w:rPr>
            </w:pPr>
            <w:r>
              <w:rPr>
                <w:rFonts w:ascii="Arial" w:eastAsia="Arial" w:hAnsi="Arial" w:cs="Arial"/>
                <w:sz w:val="24"/>
                <w:szCs w:val="24"/>
              </w:rPr>
              <w:t>[   ]</w:t>
            </w:r>
          </w:p>
        </w:tc>
        <w:tc>
          <w:tcPr>
            <w:tcW w:w="2102" w:type="dxa"/>
          </w:tcPr>
          <w:p w:rsidR="00D35463" w:rsidRDefault="005030B5">
            <w:pPr>
              <w:spacing w:after="120"/>
              <w:ind w:left="95"/>
              <w:rPr>
                <w:rFonts w:ascii="Arial" w:eastAsia="Arial" w:hAnsi="Arial" w:cs="Arial"/>
                <w:sz w:val="24"/>
                <w:szCs w:val="24"/>
              </w:rPr>
            </w:pPr>
            <w:r>
              <w:rPr>
                <w:rFonts w:ascii="Arial" w:eastAsia="Arial" w:hAnsi="Arial" w:cs="Arial"/>
                <w:sz w:val="24"/>
                <w:szCs w:val="24"/>
              </w:rPr>
              <w:t>0.5% Service Credit gained for each percentage under the specified Service Level Performance Measure</w:t>
            </w:r>
          </w:p>
        </w:tc>
      </w:tr>
    </w:tbl>
    <w:p w:rsidR="00D35463" w:rsidRDefault="00D35463">
      <w:pPr>
        <w:ind w:left="709"/>
        <w:rPr>
          <w:rFonts w:ascii="Arial" w:eastAsia="Arial" w:hAnsi="Arial" w:cs="Arial"/>
          <w:sz w:val="24"/>
          <w:szCs w:val="24"/>
          <w:highlight w:val="green"/>
        </w:rPr>
      </w:pPr>
    </w:p>
    <w:p w:rsidR="00D35463" w:rsidRDefault="005030B5">
      <w:pPr>
        <w:ind w:left="709"/>
        <w:rPr>
          <w:rFonts w:ascii="Arial" w:eastAsia="Arial" w:hAnsi="Arial" w:cs="Arial"/>
          <w:sz w:val="24"/>
          <w:szCs w:val="24"/>
        </w:rPr>
      </w:pPr>
      <w:r>
        <w:rPr>
          <w:rFonts w:ascii="Arial" w:eastAsia="Arial" w:hAnsi="Arial" w:cs="Arial"/>
          <w:sz w:val="24"/>
          <w:szCs w:val="24"/>
        </w:rPr>
        <w:t>The Service Credits shall be calculated on the basis of the following formula:</w:t>
      </w:r>
    </w:p>
    <w:p w:rsidR="00D35463" w:rsidRDefault="005030B5">
      <w:pPr>
        <w:ind w:left="709"/>
        <w:rPr>
          <w:rFonts w:ascii="Arial" w:eastAsia="Arial" w:hAnsi="Arial" w:cs="Arial"/>
          <w:sz w:val="24"/>
          <w:szCs w:val="24"/>
          <w:highlight w:val="yellow"/>
        </w:rPr>
      </w:pPr>
      <w:r>
        <w:rPr>
          <w:rFonts w:ascii="Arial" w:eastAsia="Arial" w:hAnsi="Arial" w:cs="Arial"/>
          <w:sz w:val="24"/>
          <w:szCs w:val="24"/>
          <w:highlight w:val="yellow"/>
        </w:rPr>
        <w:t>[Example:</w:t>
      </w:r>
    </w:p>
    <w:tbl>
      <w:tblPr>
        <w:tblStyle w:val="a1"/>
        <w:tblW w:w="9242" w:type="dxa"/>
        <w:tblLayout w:type="fixed"/>
        <w:tblLook w:val="0000" w:firstRow="0" w:lastRow="0" w:firstColumn="0" w:lastColumn="0" w:noHBand="0" w:noVBand="0"/>
      </w:tblPr>
      <w:tblGrid>
        <w:gridCol w:w="4470"/>
        <w:gridCol w:w="690"/>
        <w:gridCol w:w="4082"/>
      </w:tblGrid>
      <w:tr w:rsidR="00D35463">
        <w:tc>
          <w:tcPr>
            <w:tcW w:w="4470" w:type="dxa"/>
          </w:tcPr>
          <w:p w:rsidR="00D35463" w:rsidRDefault="005030B5">
            <w:pPr>
              <w:ind w:left="567"/>
              <w:rPr>
                <w:rFonts w:ascii="Arial" w:eastAsia="Arial" w:hAnsi="Arial" w:cs="Arial"/>
                <w:sz w:val="24"/>
                <w:szCs w:val="24"/>
              </w:rPr>
            </w:pPr>
            <w:r>
              <w:rPr>
                <w:rFonts w:ascii="Arial" w:eastAsia="Arial" w:hAnsi="Arial" w:cs="Arial"/>
                <w:sz w:val="24"/>
                <w:szCs w:val="24"/>
              </w:rPr>
              <w:t xml:space="preserve">Formula: x% (Service Level Performance Measure) - x% (actual Service Level performance)  </w:t>
            </w:r>
          </w:p>
        </w:tc>
        <w:tc>
          <w:tcPr>
            <w:tcW w:w="690" w:type="dxa"/>
          </w:tcPr>
          <w:p w:rsidR="00D35463" w:rsidRDefault="005030B5">
            <w:pPr>
              <w:ind w:left="211"/>
              <w:rPr>
                <w:rFonts w:ascii="Arial" w:eastAsia="Arial" w:hAnsi="Arial" w:cs="Arial"/>
                <w:sz w:val="24"/>
                <w:szCs w:val="24"/>
              </w:rPr>
            </w:pPr>
            <w:r>
              <w:rPr>
                <w:rFonts w:ascii="Arial" w:eastAsia="Arial" w:hAnsi="Arial" w:cs="Arial"/>
                <w:sz w:val="24"/>
                <w:szCs w:val="24"/>
              </w:rPr>
              <w:t>=</w:t>
            </w:r>
          </w:p>
        </w:tc>
        <w:tc>
          <w:tcPr>
            <w:tcW w:w="4082" w:type="dxa"/>
          </w:tcPr>
          <w:p w:rsidR="00D35463" w:rsidRDefault="005030B5">
            <w:pPr>
              <w:ind w:left="145"/>
              <w:rPr>
                <w:rFonts w:ascii="Arial" w:eastAsia="Arial" w:hAnsi="Arial" w:cs="Arial"/>
                <w:sz w:val="24"/>
                <w:szCs w:val="24"/>
              </w:rPr>
            </w:pPr>
            <w:r>
              <w:rPr>
                <w:rFonts w:ascii="Arial" w:eastAsia="Arial" w:hAnsi="Arial" w:cs="Arial"/>
                <w:sz w:val="24"/>
                <w:szCs w:val="24"/>
              </w:rPr>
              <w:t>x% of the Charges payable to the Buyer as Service Credits to be deducted from the next Invoice payable by the Buyer</w:t>
            </w:r>
          </w:p>
        </w:tc>
      </w:tr>
      <w:tr w:rsidR="00D35463">
        <w:tc>
          <w:tcPr>
            <w:tcW w:w="4470" w:type="dxa"/>
          </w:tcPr>
          <w:p w:rsidR="00D35463" w:rsidRDefault="005030B5">
            <w:pPr>
              <w:ind w:left="567"/>
              <w:rPr>
                <w:rFonts w:ascii="Arial" w:eastAsia="Arial" w:hAnsi="Arial" w:cs="Arial"/>
                <w:sz w:val="24"/>
                <w:szCs w:val="24"/>
              </w:rPr>
            </w:pPr>
            <w:r>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rsidR="00D35463" w:rsidRDefault="00D35463">
            <w:pPr>
              <w:ind w:left="567"/>
              <w:rPr>
                <w:rFonts w:ascii="Arial" w:eastAsia="Arial" w:hAnsi="Arial" w:cs="Arial"/>
                <w:sz w:val="24"/>
                <w:szCs w:val="24"/>
              </w:rPr>
            </w:pPr>
          </w:p>
        </w:tc>
        <w:tc>
          <w:tcPr>
            <w:tcW w:w="690" w:type="dxa"/>
          </w:tcPr>
          <w:p w:rsidR="00D35463" w:rsidRDefault="005030B5">
            <w:pPr>
              <w:ind w:left="211"/>
              <w:rPr>
                <w:rFonts w:ascii="Arial" w:eastAsia="Arial" w:hAnsi="Arial" w:cs="Arial"/>
                <w:sz w:val="24"/>
                <w:szCs w:val="24"/>
              </w:rPr>
            </w:pPr>
            <w:r>
              <w:rPr>
                <w:rFonts w:ascii="Arial" w:eastAsia="Arial" w:hAnsi="Arial" w:cs="Arial"/>
                <w:sz w:val="24"/>
                <w:szCs w:val="24"/>
              </w:rPr>
              <w:t>=</w:t>
            </w:r>
          </w:p>
        </w:tc>
        <w:tc>
          <w:tcPr>
            <w:tcW w:w="4082" w:type="dxa"/>
          </w:tcPr>
          <w:p w:rsidR="00D35463" w:rsidRDefault="005030B5">
            <w:pPr>
              <w:ind w:left="145"/>
              <w:rPr>
                <w:rFonts w:ascii="Arial" w:eastAsia="Arial" w:hAnsi="Arial" w:cs="Arial"/>
                <w:sz w:val="24"/>
                <w:szCs w:val="24"/>
              </w:rPr>
            </w:pPr>
            <w:r>
              <w:rPr>
                <w:rFonts w:ascii="Arial" w:eastAsia="Arial" w:hAnsi="Arial" w:cs="Arial"/>
                <w:sz w:val="24"/>
                <w:szCs w:val="24"/>
              </w:rPr>
              <w:t>23% of the Charges payable to the Buyer as Service Credits to be deducted from the next Invoice payable by the Buyer]</w:t>
            </w:r>
          </w:p>
          <w:p w:rsidR="00D35463" w:rsidRDefault="00D35463">
            <w:pPr>
              <w:ind w:left="145"/>
              <w:rPr>
                <w:rFonts w:ascii="Arial" w:eastAsia="Arial" w:hAnsi="Arial" w:cs="Arial"/>
                <w:sz w:val="24"/>
                <w:szCs w:val="24"/>
              </w:rPr>
            </w:pPr>
          </w:p>
        </w:tc>
      </w:tr>
    </w:tbl>
    <w:p w:rsidR="00D35463" w:rsidRDefault="005030B5">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B: Performance Monitoring </w:t>
      </w:r>
    </w:p>
    <w:p w:rsidR="00D35463" w:rsidRDefault="005030B5">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rsidR="00D35463" w:rsidRDefault="005030B5">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D35463" w:rsidRDefault="00D35463">
      <w:pPr>
        <w:pBdr>
          <w:top w:val="nil"/>
          <w:left w:val="nil"/>
          <w:bottom w:val="nil"/>
          <w:right w:val="nil"/>
          <w:between w:val="nil"/>
        </w:pBdr>
        <w:tabs>
          <w:tab w:val="left" w:pos="1134"/>
        </w:tabs>
        <w:spacing w:before="120" w:after="120" w:line="240" w:lineRule="auto"/>
        <w:jc w:val="both"/>
        <w:rPr>
          <w:color w:val="000000"/>
        </w:rPr>
      </w:pPr>
    </w:p>
    <w:p w:rsidR="00D35463" w:rsidRDefault="00D35463">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rsidR="00D35463" w:rsidRDefault="005030B5">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rsidR="00D35463" w:rsidRDefault="005030B5">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rsidR="00D35463" w:rsidRDefault="005030B5">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rsidR="00D35463" w:rsidRDefault="005030B5">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rsidR="00D35463" w:rsidRDefault="005030B5">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any repeat failures, actions taken to resolve the underlying cause and prevent recurrence;</w:t>
      </w:r>
    </w:p>
    <w:p w:rsidR="00D35463" w:rsidRDefault="005030B5">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rsidR="00D35463" w:rsidRDefault="005030B5">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such</w:t>
      </w:r>
      <w:proofErr w:type="gramEnd"/>
      <w:r>
        <w:rPr>
          <w:rFonts w:ascii="Arial" w:eastAsia="Arial" w:hAnsi="Arial" w:cs="Arial"/>
          <w:color w:val="000000"/>
          <w:sz w:val="24"/>
          <w:szCs w:val="24"/>
        </w:rPr>
        <w:t xml:space="preserve"> other details as the Buyer may reasonably require from time to time.</w:t>
      </w:r>
    </w:p>
    <w:p w:rsidR="00D35463" w:rsidRDefault="005030B5">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rsidR="00D35463" w:rsidRDefault="005030B5">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rsidR="00D35463" w:rsidRDefault="005030B5">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rsidR="00D35463" w:rsidRDefault="005030B5">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and also to the Buyer’s Representative and any other recipients agreed at the relevant meeting.  </w:t>
      </w:r>
    </w:p>
    <w:p w:rsidR="00D35463" w:rsidRDefault="005030B5">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rsidR="00D35463" w:rsidRDefault="005030B5">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rsidR="00D35463" w:rsidRDefault="00D35463">
      <w:pPr>
        <w:pBdr>
          <w:top w:val="nil"/>
          <w:left w:val="nil"/>
          <w:bottom w:val="nil"/>
          <w:right w:val="nil"/>
          <w:between w:val="nil"/>
        </w:pBdr>
        <w:tabs>
          <w:tab w:val="left" w:pos="1134"/>
        </w:tabs>
        <w:spacing w:before="120" w:after="120" w:line="240" w:lineRule="auto"/>
        <w:ind w:left="1134" w:hanging="567"/>
        <w:jc w:val="both"/>
        <w:rPr>
          <w:color w:val="000000"/>
        </w:rPr>
      </w:pPr>
    </w:p>
    <w:p w:rsidR="00D35463" w:rsidRDefault="00D35463">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bookmarkStart w:id="1" w:name="_gjdgxs" w:colFirst="0" w:colLast="0"/>
      <w:bookmarkEnd w:id="1"/>
    </w:p>
    <w:p w:rsidR="00D35463" w:rsidRDefault="005030B5">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rsidR="00D35463" w:rsidRDefault="005030B5">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D35463" w:rsidRDefault="00D35463">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bookmarkStart w:id="2" w:name="_30j0zll" w:colFirst="0" w:colLast="0"/>
      <w:bookmarkEnd w:id="2"/>
    </w:p>
    <w:sectPr w:rsidR="00D35463">
      <w:headerReference w:type="default" r:id="rId7"/>
      <w:footerReference w:type="default" r:id="rId8"/>
      <w:footerReference w:type="firs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6AC" w:rsidRDefault="006276AC">
      <w:pPr>
        <w:spacing w:after="0" w:line="240" w:lineRule="auto"/>
      </w:pPr>
      <w:r>
        <w:separator/>
      </w:r>
    </w:p>
  </w:endnote>
  <w:endnote w:type="continuationSeparator" w:id="0">
    <w:p w:rsidR="006276AC" w:rsidRDefault="00627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63" w:rsidRDefault="00D35463">
    <w:pPr>
      <w:tabs>
        <w:tab w:val="center" w:pos="4513"/>
        <w:tab w:val="right" w:pos="9026"/>
      </w:tabs>
      <w:spacing w:after="0" w:line="240" w:lineRule="auto"/>
      <w:jc w:val="both"/>
    </w:pPr>
  </w:p>
  <w:p w:rsidR="00D35463" w:rsidRDefault="005030B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sidR="008626C1">
      <w:rPr>
        <w:rFonts w:ascii="Arial" w:eastAsia="Arial" w:hAnsi="Arial" w:cs="Arial"/>
        <w:color w:val="000000"/>
        <w:sz w:val="20"/>
        <w:szCs w:val="20"/>
      </w:rPr>
      <w:t>6175</w:t>
    </w:r>
  </w:p>
  <w:p w:rsidR="00D35463" w:rsidRDefault="005030B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626C1">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D35463" w:rsidRDefault="005030B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63" w:rsidRDefault="00D35463">
    <w:pPr>
      <w:tabs>
        <w:tab w:val="center" w:pos="4513"/>
        <w:tab w:val="right" w:pos="9026"/>
      </w:tabs>
      <w:spacing w:after="0" w:line="240" w:lineRule="auto"/>
      <w:jc w:val="both"/>
    </w:pPr>
  </w:p>
  <w:p w:rsidR="00D35463" w:rsidRDefault="005030B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rsidR="00D35463" w:rsidRDefault="005030B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D35463" w:rsidRDefault="005030B5">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v2.9</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6AC" w:rsidRDefault="006276AC">
      <w:pPr>
        <w:spacing w:after="0" w:line="240" w:lineRule="auto"/>
      </w:pPr>
      <w:r>
        <w:separator/>
      </w:r>
    </w:p>
  </w:footnote>
  <w:footnote w:type="continuationSeparator" w:id="0">
    <w:p w:rsidR="006276AC" w:rsidRDefault="00627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63" w:rsidRDefault="005030B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rsidR="00D35463" w:rsidRDefault="005030B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rsidR="00D35463" w:rsidRDefault="008626C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2020</w:t>
    </w:r>
  </w:p>
  <w:p w:rsidR="00D35463" w:rsidRDefault="00D3546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F47C4"/>
    <w:multiLevelType w:val="multilevel"/>
    <w:tmpl w:val="D32A6FB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DBD1706"/>
    <w:multiLevelType w:val="multilevel"/>
    <w:tmpl w:val="CD920EF0"/>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8F25043"/>
    <w:multiLevelType w:val="multilevel"/>
    <w:tmpl w:val="BD064508"/>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AD62947"/>
    <w:multiLevelType w:val="multilevel"/>
    <w:tmpl w:val="62BAE5C2"/>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463"/>
    <w:rsid w:val="0042245B"/>
    <w:rsid w:val="005030B5"/>
    <w:rsid w:val="006276AC"/>
    <w:rsid w:val="008626C1"/>
    <w:rsid w:val="00D35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A465"/>
  <w15:docId w15:val="{96FC77F6-AD63-4FCE-B39E-780DCFFB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45B"/>
    <w:rPr>
      <w:rFonts w:ascii="Segoe UI" w:hAnsi="Segoe UI" w:cs="Segoe UI"/>
      <w:sz w:val="18"/>
      <w:szCs w:val="18"/>
    </w:rPr>
  </w:style>
  <w:style w:type="paragraph" w:styleId="Header">
    <w:name w:val="header"/>
    <w:basedOn w:val="Normal"/>
    <w:link w:val="HeaderChar"/>
    <w:uiPriority w:val="99"/>
    <w:unhideWhenUsed/>
    <w:rsid w:val="00862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6C1"/>
  </w:style>
  <w:style w:type="paragraph" w:styleId="Footer">
    <w:name w:val="footer"/>
    <w:basedOn w:val="Normal"/>
    <w:link w:val="FooterChar"/>
    <w:uiPriority w:val="99"/>
    <w:unhideWhenUsed/>
    <w:rsid w:val="00862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Christine Connolly</cp:lastModifiedBy>
  <cp:revision>3</cp:revision>
  <dcterms:created xsi:type="dcterms:W3CDTF">2020-11-03T20:26:00Z</dcterms:created>
  <dcterms:modified xsi:type="dcterms:W3CDTF">2020-11-04T13:06:00Z</dcterms:modified>
</cp:coreProperties>
</file>