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B8C" w:rsidRDefault="00117745">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Framework Schedule 7 (Call-Off Award Procedure</w:t>
      </w:r>
      <w:bookmarkStart w:id="0" w:name="gjdgxs" w:colFirst="0" w:colLast="0"/>
      <w:bookmarkEnd w:id="0"/>
      <w:r>
        <w:rPr>
          <w:rFonts w:ascii="Arial" w:eastAsia="Arial" w:hAnsi="Arial" w:cs="Arial"/>
          <w:b/>
          <w:color w:val="000000"/>
          <w:sz w:val="36"/>
          <w:szCs w:val="36"/>
        </w:rPr>
        <w:t xml:space="preserve">) </w:t>
      </w:r>
    </w:p>
    <w:p w:rsidR="00585B8C" w:rsidRDefault="00117745">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rsidR="00585B8C" w:rsidRDefault="00117745">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 w:name="_30j0zll" w:colFirst="0" w:colLast="0"/>
      <w:bookmarkEnd w:id="1"/>
      <w:r>
        <w:rPr>
          <w:rFonts w:ascii="Arial" w:eastAsia="Arial" w:hAnsi="Arial" w:cs="Arial"/>
          <w:color w:val="000000"/>
          <w:sz w:val="24"/>
          <w:szCs w:val="24"/>
        </w:rPr>
        <w:t>If a potential Buyer decides to source Deliverables through this Contract then it will award its Deliverables in accordance with the procedure in this Schedule and the requirements of the Regulations.</w:t>
      </w:r>
    </w:p>
    <w:p w:rsidR="00585B8C" w:rsidRDefault="0011774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2" w:name="_1fob9te" w:colFirst="0" w:colLast="0"/>
      <w:bookmarkEnd w:id="2"/>
      <w:r>
        <w:rPr>
          <w:rFonts w:ascii="Arial" w:eastAsia="Arial" w:hAnsi="Arial" w:cs="Arial"/>
          <w:color w:val="000000"/>
          <w:sz w:val="24"/>
          <w:szCs w:val="24"/>
        </w:rPr>
        <w:t>If the potential Buyer can determine that:</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down in this Contract and do not require amendment or any supplementary terms and conditions;</w:t>
      </w:r>
    </w:p>
    <w:p w:rsidR="00585B8C" w:rsidRDefault="00117745">
      <w:pPr>
        <w:widowControl/>
        <w:pBdr>
          <w:top w:val="nil"/>
          <w:left w:val="nil"/>
          <w:bottom w:val="nil"/>
          <w:right w:val="nil"/>
          <w:between w:val="nil"/>
        </w:pBdr>
        <w:tabs>
          <w:tab w:val="left" w:pos="4536"/>
        </w:tabs>
        <w:spacing w:after="220"/>
        <w:ind w:left="936"/>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rsidR="00585B8C" w:rsidRDefault="0011774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all of the terms of the proposed Call-Off Contract are not laid down in this Contract and the potential Buyer:</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requires the Supplier to develop proposals or a solution in respect of such Deliverables; and/or</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 permitted by and in accordance with the Regulations;</w:t>
      </w:r>
    </w:p>
    <w:p w:rsidR="00585B8C" w:rsidRDefault="00117745">
      <w:pPr>
        <w:widowControl/>
        <w:pBdr>
          <w:top w:val="nil"/>
          <w:left w:val="nil"/>
          <w:bottom w:val="nil"/>
          <w:right w:val="nil"/>
          <w:between w:val="nil"/>
        </w:pBdr>
        <w:tabs>
          <w:tab w:val="left" w:pos="4536"/>
        </w:tabs>
        <w:spacing w:after="220"/>
        <w:ind w:left="900"/>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Further Competition Procedure set out in Paragraph 3 below.</w:t>
      </w:r>
    </w:p>
    <w:p w:rsidR="00585B8C" w:rsidRDefault="00117745">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direct award works</w:t>
      </w:r>
    </w:p>
    <w:p w:rsidR="00585B8C" w:rsidRDefault="0011774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1.2 above the Buyer awarding a Call-Off Contract under this Contract without holding a further competition shall:</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develop a clear Statement of Requirements;</w:t>
      </w:r>
    </w:p>
    <w:p w:rsidR="00585B8C" w:rsidRPr="003A0EC0"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sidRPr="003A0EC0">
        <w:rPr>
          <w:rFonts w:ascii="Arial" w:eastAsia="Arial" w:hAnsi="Arial" w:cs="Arial"/>
          <w:b/>
          <w:sz w:val="24"/>
          <w:szCs w:val="24"/>
        </w:rPr>
        <w:t>Lot 1, 3 and 4</w:t>
      </w:r>
      <w:r w:rsidRPr="003A0EC0">
        <w:rPr>
          <w:rFonts w:ascii="Arial" w:eastAsia="Arial" w:hAnsi="Arial" w:cs="Arial"/>
          <w:sz w:val="24"/>
          <w:szCs w:val="24"/>
        </w:rPr>
        <w:t xml:space="preserve"> - </w:t>
      </w:r>
      <w:r w:rsidRPr="003A0EC0">
        <w:rPr>
          <w:rFonts w:ascii="Arial" w:eastAsia="Arial" w:hAnsi="Arial" w:cs="Arial"/>
          <w:color w:val="000000"/>
          <w:sz w:val="24"/>
          <w:szCs w:val="24"/>
        </w:rPr>
        <w:t>apply the</w:t>
      </w:r>
      <w:r>
        <w:rPr>
          <w:rFonts w:ascii="Arial" w:eastAsia="Arial" w:hAnsi="Arial" w:cs="Arial"/>
          <w:color w:val="000000"/>
          <w:sz w:val="24"/>
          <w:szCs w:val="24"/>
        </w:rPr>
        <w:t xml:space="preserve"> direct award criteria to the Suppliers’ catalogues and description of the Deliverables as set out in Framework Schedule 1 (Specification) and Framework Schedule 2 (Framework Tender) for all Suppliers capable of meeting the Statement of Requirements in order to establish which Supplier provides </w:t>
      </w:r>
      <w:r w:rsidRPr="003A0EC0">
        <w:rPr>
          <w:rFonts w:ascii="Arial" w:eastAsia="Arial" w:hAnsi="Arial" w:cs="Arial"/>
          <w:color w:val="000000"/>
          <w:sz w:val="24"/>
          <w:szCs w:val="24"/>
        </w:rPr>
        <w:t xml:space="preserve">the most economically advantageous solution; </w:t>
      </w:r>
    </w:p>
    <w:p w:rsidR="00585B8C" w:rsidRPr="003A0EC0"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sidRPr="003A0EC0">
        <w:rPr>
          <w:rFonts w:ascii="Arial" w:eastAsia="Arial" w:hAnsi="Arial" w:cs="Arial"/>
          <w:b/>
          <w:sz w:val="24"/>
          <w:szCs w:val="24"/>
        </w:rPr>
        <w:t>Lot 2 and 5</w:t>
      </w:r>
      <w:r w:rsidRPr="003A0EC0">
        <w:rPr>
          <w:rFonts w:ascii="Arial" w:eastAsia="Arial" w:hAnsi="Arial" w:cs="Arial"/>
          <w:sz w:val="24"/>
          <w:szCs w:val="24"/>
        </w:rPr>
        <w:t xml:space="preserve"> - Buyer’s wanting to conduct a direct award under Lots 2 and 5 will be required to send an Expression Of Interest (EOI) to all Suppliers requesting the best price.  </w:t>
      </w:r>
      <w:r w:rsidRPr="003A0EC0">
        <w:rPr>
          <w:rFonts w:ascii="Arial" w:eastAsia="Arial" w:hAnsi="Arial" w:cs="Arial"/>
          <w:sz w:val="24"/>
          <w:szCs w:val="24"/>
        </w:rPr>
        <w:lastRenderedPageBreak/>
        <w:t>The contract will be awarded on the lowest price.  Buyers must also refer to Part 2 Award Criteria below for further information on pricing for Lots 2 and 5; and</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basis set out above, award the Call-Off Contract with the successful Supplier in accordance with Paragraph 6 below.</w:t>
      </w:r>
    </w:p>
    <w:p w:rsidR="00585B8C" w:rsidRDefault="00585B8C">
      <w:pPr>
        <w:widowControl/>
        <w:pBdr>
          <w:top w:val="nil"/>
          <w:left w:val="nil"/>
          <w:bottom w:val="nil"/>
          <w:right w:val="nil"/>
          <w:between w:val="nil"/>
        </w:pBdr>
        <w:tabs>
          <w:tab w:val="left" w:pos="3641"/>
        </w:tabs>
        <w:spacing w:before="120" w:after="120"/>
        <w:rPr>
          <w:rFonts w:ascii="Arial" w:eastAsia="Arial" w:hAnsi="Arial" w:cs="Arial"/>
          <w:sz w:val="24"/>
          <w:szCs w:val="24"/>
        </w:rPr>
      </w:pPr>
    </w:p>
    <w:p w:rsidR="00585B8C" w:rsidRDefault="00585B8C">
      <w:pPr>
        <w:widowControl/>
        <w:pBdr>
          <w:top w:val="nil"/>
          <w:left w:val="nil"/>
          <w:bottom w:val="nil"/>
          <w:right w:val="nil"/>
          <w:between w:val="nil"/>
        </w:pBdr>
        <w:tabs>
          <w:tab w:val="left" w:pos="3641"/>
        </w:tabs>
        <w:spacing w:before="120" w:after="120"/>
        <w:ind w:left="1985"/>
        <w:rPr>
          <w:rFonts w:ascii="Arial" w:eastAsia="Arial" w:hAnsi="Arial" w:cs="Arial"/>
          <w:color w:val="000000"/>
          <w:sz w:val="24"/>
          <w:szCs w:val="24"/>
        </w:rPr>
      </w:pPr>
    </w:p>
    <w:p w:rsidR="00585B8C" w:rsidRDefault="00117745">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p>
    <w:p w:rsidR="00585B8C" w:rsidRDefault="00117745">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rsidR="00585B8C" w:rsidRDefault="00117745">
      <w:pPr>
        <w:widowControl/>
        <w:numPr>
          <w:ilvl w:val="1"/>
          <w:numId w:val="2"/>
        </w:numPr>
        <w:pBdr>
          <w:top w:val="nil"/>
          <w:left w:val="nil"/>
          <w:bottom w:val="nil"/>
          <w:right w:val="nil"/>
          <w:between w:val="nil"/>
        </w:pBdr>
        <w:spacing w:before="120" w:after="280" w:line="259" w:lineRule="auto"/>
        <w:jc w:val="both"/>
        <w:rPr>
          <w:sz w:val="26"/>
          <w:szCs w:val="26"/>
        </w:rPr>
      </w:pPr>
      <w:r>
        <w:rPr>
          <w:rFonts w:ascii="Arial" w:eastAsia="Arial" w:hAnsi="Arial" w:cs="Arial"/>
          <w:color w:val="000000"/>
          <w:sz w:val="24"/>
          <w:szCs w:val="24"/>
        </w:rPr>
        <w:t xml:space="preserve">If applicable, the Buyer may use the following procedure to shortlist Suppliers before entering into a Further Competition Procedure: </w:t>
      </w:r>
    </w:p>
    <w:p w:rsidR="00585B8C" w:rsidRDefault="00117745">
      <w:pPr>
        <w:widowControl/>
        <w:numPr>
          <w:ilvl w:val="2"/>
          <w:numId w:val="2"/>
        </w:numPr>
        <w:pBdr>
          <w:top w:val="nil"/>
          <w:left w:val="nil"/>
          <w:bottom w:val="nil"/>
          <w:right w:val="nil"/>
          <w:between w:val="nil"/>
        </w:pBdr>
        <w:spacing w:before="120" w:after="280" w:line="259" w:lineRule="auto"/>
        <w:rPr>
          <w:sz w:val="26"/>
          <w:szCs w:val="26"/>
        </w:rPr>
      </w:pPr>
      <w:r>
        <w:rPr>
          <w:rFonts w:ascii="Arial" w:eastAsia="Arial" w:hAnsi="Arial" w:cs="Arial"/>
          <w:color w:val="000000"/>
          <w:sz w:val="24"/>
          <w:szCs w:val="24"/>
        </w:rPr>
        <w:t xml:space="preserve">Service Filters – The Buyer will produce a Supplier shortlist based on the Service Filters. </w:t>
      </w:r>
    </w:p>
    <w:p w:rsidR="00585B8C" w:rsidRDefault="00117745">
      <w:pPr>
        <w:widowControl/>
        <w:numPr>
          <w:ilvl w:val="2"/>
          <w:numId w:val="2"/>
        </w:numPr>
        <w:pBdr>
          <w:top w:val="nil"/>
          <w:left w:val="nil"/>
          <w:bottom w:val="nil"/>
          <w:right w:val="nil"/>
          <w:between w:val="nil"/>
        </w:pBdr>
        <w:spacing w:before="120" w:after="280" w:line="259" w:lineRule="auto"/>
        <w:rPr>
          <w:sz w:val="26"/>
          <w:szCs w:val="26"/>
        </w:rPr>
      </w:pPr>
      <w:r>
        <w:rPr>
          <w:rFonts w:ascii="Arial" w:eastAsia="Arial" w:hAnsi="Arial" w:cs="Arial"/>
          <w:color w:val="000000"/>
          <w:sz w:val="24"/>
          <w:szCs w:val="24"/>
        </w:rPr>
        <w:t xml:space="preserve">Expression Of Interest (EOI) – The Buyer may use an EOI process to produce a Supplier shortlist. The EOI may contain the following details but is not limited to: scope, scale, timescales, incumbent supplier, grades, payment terms, capacity and/or budget. </w:t>
      </w:r>
    </w:p>
    <w:p w:rsidR="00585B8C" w:rsidRDefault="00117745">
      <w:pPr>
        <w:widowControl/>
        <w:numPr>
          <w:ilvl w:val="2"/>
          <w:numId w:val="2"/>
        </w:numPr>
        <w:pBdr>
          <w:top w:val="nil"/>
          <w:left w:val="nil"/>
          <w:bottom w:val="nil"/>
          <w:right w:val="nil"/>
          <w:between w:val="nil"/>
        </w:pBdr>
        <w:spacing w:before="120" w:after="280" w:line="259" w:lineRule="auto"/>
        <w:rPr>
          <w:sz w:val="26"/>
          <w:szCs w:val="26"/>
        </w:rPr>
      </w:pPr>
      <w:r>
        <w:rPr>
          <w:rFonts w:ascii="Arial" w:eastAsia="Arial" w:hAnsi="Arial" w:cs="Arial"/>
          <w:color w:val="000000"/>
          <w:sz w:val="24"/>
          <w:szCs w:val="24"/>
        </w:rPr>
        <w:t xml:space="preserve">Service Filters and Expression of Interest – The Buyer may use both of the procedures detailed in paragraph 3.1.2 and 3.1.3. </w:t>
      </w:r>
    </w:p>
    <w:p w:rsidR="00585B8C" w:rsidRDefault="00117745">
      <w:pPr>
        <w:widowControl/>
        <w:numPr>
          <w:ilvl w:val="2"/>
          <w:numId w:val="2"/>
        </w:numPr>
        <w:pBdr>
          <w:top w:val="nil"/>
          <w:left w:val="nil"/>
          <w:bottom w:val="nil"/>
          <w:right w:val="nil"/>
          <w:between w:val="nil"/>
        </w:pBdr>
        <w:spacing w:before="120" w:after="280" w:line="259" w:lineRule="auto"/>
        <w:rPr>
          <w:sz w:val="26"/>
          <w:szCs w:val="26"/>
        </w:rPr>
      </w:pPr>
      <w:r>
        <w:rPr>
          <w:rFonts w:ascii="Arial" w:eastAsia="Arial" w:hAnsi="Arial" w:cs="Arial"/>
          <w:color w:val="000000"/>
          <w:sz w:val="24"/>
          <w:szCs w:val="24"/>
        </w:rPr>
        <w:t xml:space="preserve">Conference call – The Buyer may use this after the EOI. The Buyer will provide further information on its requirement and Suppliers may have the opportunity to raise queries. </w:t>
      </w:r>
    </w:p>
    <w:p w:rsidR="00585B8C" w:rsidRDefault="00117745">
      <w:pPr>
        <w:widowControl/>
        <w:numPr>
          <w:ilvl w:val="2"/>
          <w:numId w:val="2"/>
        </w:numPr>
        <w:pBdr>
          <w:top w:val="nil"/>
          <w:left w:val="nil"/>
          <w:bottom w:val="nil"/>
          <w:right w:val="nil"/>
          <w:between w:val="nil"/>
        </w:pBdr>
        <w:spacing w:before="120" w:after="280" w:line="259" w:lineRule="auto"/>
        <w:rPr>
          <w:sz w:val="26"/>
          <w:szCs w:val="26"/>
        </w:rPr>
      </w:pPr>
      <w:r>
        <w:rPr>
          <w:rFonts w:ascii="Arial" w:eastAsia="Arial" w:hAnsi="Arial" w:cs="Arial"/>
          <w:color w:val="000000"/>
          <w:sz w:val="24"/>
          <w:szCs w:val="24"/>
        </w:rPr>
        <w:t xml:space="preserve">Suppliers can deselect themselves through the process after the Service Filters and/or EOI and/or conference call. </w:t>
      </w:r>
    </w:p>
    <w:p w:rsidR="00585B8C" w:rsidRDefault="00117745">
      <w:pPr>
        <w:widowControl/>
        <w:numPr>
          <w:ilvl w:val="1"/>
          <w:numId w:val="2"/>
        </w:numPr>
        <w:pBdr>
          <w:top w:val="nil"/>
          <w:left w:val="nil"/>
          <w:bottom w:val="nil"/>
          <w:right w:val="nil"/>
          <w:between w:val="nil"/>
        </w:pBdr>
        <w:spacing w:before="120" w:after="280" w:line="259" w:lineRule="auto"/>
        <w:jc w:val="both"/>
        <w:rPr>
          <w:sz w:val="26"/>
          <w:szCs w:val="26"/>
        </w:rPr>
      </w:pPr>
      <w:r>
        <w:rPr>
          <w:rFonts w:ascii="Arial" w:eastAsia="Arial" w:hAnsi="Arial" w:cs="Arial"/>
          <w:color w:val="000000"/>
          <w:sz w:val="24"/>
          <w:szCs w:val="24"/>
        </w:rPr>
        <w:t xml:space="preserve">If the Supplier does not respond to the EOI in accordance with any stated timescales they will not be invited to participate in the Further Competition Procedure. </w:t>
      </w:r>
    </w:p>
    <w:p w:rsidR="00585B8C" w:rsidRDefault="00117745">
      <w:pPr>
        <w:widowControl/>
        <w:numPr>
          <w:ilvl w:val="1"/>
          <w:numId w:val="2"/>
        </w:numPr>
        <w:pBdr>
          <w:top w:val="nil"/>
          <w:left w:val="nil"/>
          <w:bottom w:val="nil"/>
          <w:right w:val="nil"/>
          <w:between w:val="nil"/>
        </w:pBdr>
        <w:spacing w:before="120" w:after="280" w:line="259" w:lineRule="auto"/>
        <w:jc w:val="both"/>
        <w:rPr>
          <w:sz w:val="26"/>
          <w:szCs w:val="26"/>
        </w:rPr>
      </w:pPr>
      <w:r>
        <w:rPr>
          <w:rFonts w:ascii="Arial" w:eastAsia="Arial" w:hAnsi="Arial" w:cs="Arial"/>
          <w:color w:val="000000"/>
          <w:sz w:val="24"/>
          <w:szCs w:val="24"/>
        </w:rPr>
        <w:t xml:space="preserve">If the Supplier is invited to the conference call and they do not attend they may not be invited to participate in the Further Competition Procedure. </w:t>
      </w:r>
    </w:p>
    <w:p w:rsidR="00585B8C" w:rsidRDefault="00117745">
      <w:pPr>
        <w:widowControl/>
        <w:numPr>
          <w:ilvl w:val="1"/>
          <w:numId w:val="2"/>
        </w:numPr>
        <w:pBdr>
          <w:top w:val="nil"/>
          <w:left w:val="nil"/>
          <w:bottom w:val="nil"/>
          <w:right w:val="nil"/>
          <w:between w:val="nil"/>
        </w:pBdr>
        <w:spacing w:before="120" w:after="280" w:line="259" w:lineRule="auto"/>
        <w:jc w:val="both"/>
        <w:rPr>
          <w:sz w:val="26"/>
          <w:szCs w:val="26"/>
        </w:rPr>
      </w:pPr>
      <w:r>
        <w:rPr>
          <w:rFonts w:ascii="Arial" w:eastAsia="Arial" w:hAnsi="Arial" w:cs="Arial"/>
          <w:color w:val="000000"/>
          <w:sz w:val="24"/>
          <w:szCs w:val="24"/>
        </w:rPr>
        <w:t xml:space="preserve">CCS reserves the right to add or change the Services Filters and the EOI template throughout the lifetime of the Framework Agreement. </w:t>
      </w:r>
    </w:p>
    <w:p w:rsidR="00585B8C" w:rsidRDefault="00117745">
      <w:pPr>
        <w:widowControl/>
        <w:numPr>
          <w:ilvl w:val="1"/>
          <w:numId w:val="2"/>
        </w:numPr>
        <w:pBdr>
          <w:top w:val="nil"/>
          <w:left w:val="nil"/>
          <w:bottom w:val="nil"/>
          <w:right w:val="nil"/>
          <w:between w:val="nil"/>
        </w:pBdr>
        <w:spacing w:before="120" w:after="280" w:line="259" w:lineRule="auto"/>
        <w:jc w:val="both"/>
        <w:rPr>
          <w:sz w:val="26"/>
          <w:szCs w:val="26"/>
        </w:rPr>
      </w:pPr>
      <w:r>
        <w:rPr>
          <w:rFonts w:ascii="Arial" w:eastAsia="Arial" w:hAnsi="Arial" w:cs="Arial"/>
          <w:color w:val="000000"/>
          <w:sz w:val="24"/>
          <w:szCs w:val="24"/>
        </w:rPr>
        <w:t xml:space="preserve">The Supplier may update their Service Filters during the lifetime of the Framework Agreement subject to you providing a customer reference. </w:t>
      </w:r>
    </w:p>
    <w:p w:rsidR="00585B8C" w:rsidRDefault="0011774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The Buyer awarding a Call-Off Contract under this Contract through a Further Competition Procedure shall:</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3" w:name="_3znysh7" w:colFirst="0" w:colLast="0"/>
      <w:bookmarkEnd w:id="3"/>
      <w:r>
        <w:rPr>
          <w:rFonts w:ascii="Arial" w:eastAsia="Arial" w:hAnsi="Arial" w:cs="Arial"/>
          <w:color w:val="000000"/>
          <w:sz w:val="24"/>
          <w:szCs w:val="24"/>
        </w:rPr>
        <w:t>develop a Statement of Requirements setting out its requirements for the Deliverables and identify the Suppliers capable of supplying the them;</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4" w:name="_2et92p0" w:colFirst="0" w:colLast="0"/>
      <w:bookmarkEnd w:id="4"/>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rsidR="00585B8C" w:rsidRDefault="00117745">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5" w:name="_tyjcwt" w:colFirst="0" w:colLast="0"/>
      <w:bookmarkEnd w:id="5"/>
      <w:r>
        <w:rPr>
          <w:rFonts w:ascii="Arial" w:eastAsia="Arial" w:hAnsi="Arial" w:cs="Arial"/>
          <w:color w:val="000000"/>
          <w:sz w:val="24"/>
          <w:szCs w:val="24"/>
        </w:rPr>
        <w:t>invite tenders by conducting a Further Competition Procedure for its Deliverables in accordance with the Regulations and in particular:</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585B8C" w:rsidRDefault="00117745">
      <w:pPr>
        <w:keepNext/>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is not used, the Buyer shall:</w:t>
      </w:r>
    </w:p>
    <w:p w:rsidR="00585B8C" w:rsidRDefault="0011774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invite the Suppliers identified in accordance with Paragraph 3.1.1 to submit a tender in writing for each proposed Call-Off Contract to be awarded by giving written notice by email to the relevant Supplier Representative of each Supplier;</w:t>
      </w:r>
    </w:p>
    <w:p w:rsidR="00585B8C" w:rsidRDefault="0011774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set a time limit for the receipt by it of the tenders which takes into account factors such as the complexity of the subject matter of the proposed Call-Off Contract and the time needed to submit tenders; and</w:t>
      </w:r>
    </w:p>
    <w:p w:rsidR="00585B8C" w:rsidRDefault="0011774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keep each tender confidential until the time limit set out for the return of tenders has expired.</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rsidR="00585B8C" w:rsidRDefault="00117745">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basis set out above, award its Call-Off Contract to the successful Supplier in accordance with Paragraph 6. The Call-Off Contract shall:</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Deliverables;</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Charges payable for the Deliverables in accordance with the tender submitted by the successful Supplier; and</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incorporate the terms [of the Order Form and Contract] (as may be amended or refined by the Buyer in accordance with Paragraph 3.1.2. above) applicable to the Deliverables,</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provide unsuccessful Suppliers with written feedback in relation to the reasons why their tenders were unsuccessful.</w:t>
      </w:r>
    </w:p>
    <w:p w:rsidR="00585B8C" w:rsidRDefault="00117745">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rsidR="00585B8C" w:rsidRDefault="0011774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3.1.3 above, provide CCS and the Buyer with either:</w:t>
      </w:r>
    </w:p>
    <w:p w:rsidR="00585B8C" w:rsidRDefault="00585B8C">
      <w:pPr>
        <w:widowControl/>
        <w:pBdr>
          <w:top w:val="nil"/>
          <w:left w:val="nil"/>
          <w:bottom w:val="nil"/>
          <w:right w:val="nil"/>
          <w:between w:val="nil"/>
        </w:pBdr>
        <w:tabs>
          <w:tab w:val="left" w:pos="3641"/>
        </w:tabs>
        <w:spacing w:before="120" w:after="120"/>
        <w:rPr>
          <w:rFonts w:ascii="Arial" w:eastAsia="Arial" w:hAnsi="Arial" w:cs="Arial"/>
          <w:color w:val="000000"/>
          <w:sz w:val="24"/>
          <w:szCs w:val="24"/>
        </w:rPr>
      </w:pP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statement to the effect that it does not wish to tender in relation to the Deliverables; or</w:t>
      </w:r>
    </w:p>
    <w:p w:rsidR="00585B8C" w:rsidRDefault="00117745">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Statement of Requirements;</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proposal covering the Deliverables;</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CVs of key staff – as a minimum any lead consultant, with others, as considered appropriate along with required staff levels (if necessary); and</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confirmation of discounts applicable to the Deliverables, as referenced in Framework Schedule 3 (Framework Prices) (if applicable).</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585B8C" w:rsidRDefault="00117745">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agrees that:</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585B8C" w:rsidRDefault="0011774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585B8C" w:rsidRDefault="0011774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lastRenderedPageBreak/>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585B8C" w:rsidRDefault="0011774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rsidR="00585B8C" w:rsidRDefault="00117745">
      <w:pPr>
        <w:keepNext/>
        <w:widowControl/>
        <w:numPr>
          <w:ilvl w:val="0"/>
          <w:numId w:val="2"/>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585B8C" w:rsidRDefault="00117745">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Who is responsible for the award</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performance or non-performance of any Call-Off Contracts between the Supplier and Buyer entered into pursuant to this Contract.</w:t>
      </w:r>
    </w:p>
    <w:p w:rsidR="00585B8C" w:rsidRDefault="00117745">
      <w:pPr>
        <w:keepNext/>
        <w:widowControl/>
        <w:numPr>
          <w:ilvl w:val="0"/>
          <w:numId w:val="2"/>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6" w:name="_3dy6vkm" w:colFirst="0" w:colLast="0"/>
      <w:bookmarkEnd w:id="6"/>
      <w:r>
        <w:rPr>
          <w:rFonts w:ascii="Arial" w:eastAsia="Arial" w:hAnsi="Arial" w:cs="Arial"/>
          <w:color w:val="000000"/>
          <w:sz w:val="24"/>
          <w:szCs w:val="24"/>
        </w:rPr>
        <w:t>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7" w:name="_1t3h5sf" w:colFirst="0" w:colLast="0"/>
      <w:bookmarkEnd w:id="7"/>
      <w:r>
        <w:rPr>
          <w:rFonts w:ascii="Arial" w:eastAsia="Arial" w:hAnsi="Arial" w:cs="Arial"/>
          <w:color w:val="000000"/>
          <w:sz w:val="24"/>
          <w:szCs w:val="24"/>
        </w:rPr>
        <w:t>On receipt of an order form as described in Paragraph 6.1 from a Buyer the Supplier shall accept the Call-Off Contract by promptly signing and returning (including by electronic means) a copy of the order form to the Buyer concerned.</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585B8C" w:rsidRDefault="00117745">
      <w:pPr>
        <w:keepNext/>
        <w:widowControl/>
        <w:numPr>
          <w:ilvl w:val="0"/>
          <w:numId w:val="2"/>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w:eastAsia="Arial" w:hAnsi="Arial" w:cs="Arial"/>
          <w:color w:val="000000"/>
          <w:sz w:val="24"/>
          <w:szCs w:val="24"/>
        </w:rPr>
        <w:lastRenderedPageBreak/>
        <w:t xml:space="preserve"> </w:t>
      </w:r>
      <w:r>
        <w:rPr>
          <w:rFonts w:ascii="Arial Bold" w:eastAsia="Arial Bold" w:hAnsi="Arial Bold" w:cs="Arial Bold"/>
          <w:b/>
          <w:color w:val="000000"/>
          <w:sz w:val="24"/>
          <w:szCs w:val="24"/>
        </w:rPr>
        <w:t>How e-auctions work</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shall be entitled to include a reverse auction in the Further Competition Procedure in accordance with the rules laid down by the Buyer and the Regulations.</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8" w:name="_4d34og8" w:colFirst="0" w:colLast="0"/>
      <w:bookmarkEnd w:id="8"/>
      <w:r>
        <w:rPr>
          <w:rFonts w:ascii="Arial" w:eastAsia="Arial" w:hAnsi="Arial" w:cs="Arial"/>
          <w:color w:val="000000"/>
          <w:sz w:val="24"/>
          <w:szCs w:val="24"/>
        </w:rPr>
        <w:t>Where the Buyer wishes to undertake an electronic reverse auction, where Suppliers compete in real time by bidding as the auction unfolds (</w:t>
      </w:r>
      <w:r>
        <w:rPr>
          <w:rFonts w:ascii="Arial" w:eastAsia="Arial" w:hAnsi="Arial" w:cs="Arial"/>
          <w:b/>
          <w:color w:val="000000"/>
          <w:sz w:val="24"/>
          <w:szCs w:val="24"/>
        </w:rPr>
        <w:t>"Electronic Reverse Auction"</w:t>
      </w:r>
      <w:r>
        <w:rPr>
          <w:rFonts w:ascii="Arial" w:eastAsia="Arial" w:hAnsi="Arial" w:cs="Arial"/>
          <w:color w:val="000000"/>
          <w:sz w:val="24"/>
          <w:szCs w:val="24"/>
        </w:rPr>
        <w:t>)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p>
    <w:p w:rsidR="00585B8C" w:rsidRDefault="0011774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will inform the Suppliers of the specification for the Electronic Reverse Auction which shall include:</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information to be provided at auction, which must be expressed in figures or percentages of the specified quantifiable features;</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mathematical formula to be used to determine automatic ranking of bids on the basis of new prices and/or new values submitted;  </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any limits on the values which may be submitted;</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description of any information which will be made available to Suppliers in the course of the Electronic Reverse Auction, and when it will be made available to them;</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9" w:name="_2s8eyo1" w:colFirst="0" w:colLast="0"/>
      <w:bookmarkEnd w:id="9"/>
      <w:r>
        <w:rPr>
          <w:rFonts w:ascii="Arial" w:eastAsia="Arial" w:hAnsi="Arial" w:cs="Arial"/>
          <w:color w:val="000000"/>
          <w:sz w:val="24"/>
          <w:szCs w:val="24"/>
        </w:rPr>
        <w:t>the conditions under which Suppliers will be able to bid and, in particular, the minimum differences which will, where appropriate, be required when bidding;</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relevant information concerning the electronic equipment used and the arrangements and technical specification for connection;</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7.5, the date and time of the start of the Electronic Reverse Auction; and</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details of when and how the Electronic Reverse Auction will close.</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0" w:name="_17dp8vu" w:colFirst="0" w:colLast="0"/>
      <w:bookmarkEnd w:id="10"/>
      <w:r>
        <w:rPr>
          <w:rFonts w:ascii="Arial" w:eastAsia="Arial" w:hAnsi="Arial" w:cs="Arial"/>
          <w:color w:val="000000"/>
          <w:sz w:val="24"/>
          <w:szCs w:val="24"/>
        </w:rPr>
        <w:t>The Electronic Reverse Auction may not start sooner than two (2) Working Days after the date on which the specification for the Electronic Reverse Auction has been issued.</w:t>
      </w:r>
    </w:p>
    <w:p w:rsidR="00585B8C" w:rsidRDefault="0011774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Throughout each phase of the Electronic Reverse Auction the Buyer will communicate to all Suppliers sufficient information to enable them to ascertain their relative ranking.</w:t>
      </w:r>
    </w:p>
    <w:p w:rsidR="00585B8C" w:rsidRDefault="0011774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The Supplier acknowledges and agrees that:</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Buyer and its officers, servants, agents, group companies, assignees and customers (including CCS) do not guarantee that its access to the Electronic Reverse Auction will be uninterrupted or error-free;</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access to the Electronic Reverse Auction may occasionally be restricted to allow for repairs or maintenance; and</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 will comply with all such rules that may be imposed by the Buyer in relation to the operation of the Electronic Reverse Auction.</w:t>
      </w:r>
    </w:p>
    <w:p w:rsidR="00585B8C" w:rsidRDefault="0011774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will close the Electronic Reverse Auction on the basis of:</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date and time fixed in advance;</w:t>
      </w:r>
    </w:p>
    <w:p w:rsidR="00585B8C" w:rsidRDefault="00117745">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when no new prices or values meeting the minimum differences required pursuant to Paragraph 7.3 have been received within the prescribed elapsed time period; or</w:t>
      </w:r>
    </w:p>
    <w:p w:rsidR="00585B8C" w:rsidRDefault="0011774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when all the phases have been completed.]</w:t>
      </w:r>
    </w:p>
    <w:p w:rsidR="00585B8C" w:rsidRDefault="00117745">
      <w:pPr>
        <w:rPr>
          <w:rFonts w:ascii="Arial" w:eastAsia="Arial" w:hAnsi="Arial" w:cs="Arial"/>
          <w:sz w:val="24"/>
          <w:szCs w:val="24"/>
        </w:rPr>
      </w:pPr>
      <w:r>
        <w:br w:type="page"/>
      </w:r>
    </w:p>
    <w:p w:rsidR="00585B8C" w:rsidRDefault="00585B8C">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bookmarkStart w:id="11" w:name="_3rdcrjn" w:colFirst="0" w:colLast="0"/>
      <w:bookmarkEnd w:id="11"/>
    </w:p>
    <w:p w:rsidR="00585B8C" w:rsidRDefault="00117745">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t>Part 2: Award Criteria</w:t>
      </w:r>
    </w:p>
    <w:p w:rsidR="00585B8C" w:rsidRDefault="00117745">
      <w:pPr>
        <w:widowControl/>
        <w:numPr>
          <w:ilvl w:val="0"/>
          <w:numId w:val="4"/>
        </w:numPr>
        <w:pBdr>
          <w:top w:val="nil"/>
          <w:left w:val="nil"/>
          <w:bottom w:val="nil"/>
          <w:right w:val="nil"/>
          <w:between w:val="nil"/>
        </w:pBdr>
        <w:tabs>
          <w:tab w:val="left" w:pos="3054"/>
        </w:tabs>
        <w:spacing w:before="120" w:after="120"/>
        <w:rPr>
          <w:rFonts w:ascii="Arial" w:eastAsia="Arial" w:hAnsi="Arial" w:cs="Arial"/>
          <w:color w:val="000000"/>
        </w:rPr>
      </w:pPr>
      <w:r>
        <w:rPr>
          <w:rFonts w:ascii="Arial" w:eastAsia="Arial" w:hAnsi="Arial" w:cs="Arial"/>
          <w:color w:val="000000"/>
          <w:sz w:val="24"/>
          <w:szCs w:val="24"/>
        </w:rPr>
        <w:t>This Part 2 lays out award criteria for direct award (Annex A) and for further competition (Annex B) in accordance with the Call-Off Procedure.</w:t>
      </w:r>
    </w:p>
    <w:p w:rsidR="00585B8C" w:rsidRPr="003A0EC0" w:rsidRDefault="00117745">
      <w:pPr>
        <w:widowControl/>
        <w:numPr>
          <w:ilvl w:val="0"/>
          <w:numId w:val="4"/>
        </w:numPr>
        <w:pBdr>
          <w:top w:val="nil"/>
          <w:left w:val="nil"/>
          <w:bottom w:val="nil"/>
          <w:right w:val="nil"/>
          <w:between w:val="nil"/>
        </w:pBdr>
        <w:tabs>
          <w:tab w:val="left" w:pos="3054"/>
        </w:tabs>
        <w:spacing w:before="120" w:after="120"/>
        <w:rPr>
          <w:rFonts w:ascii="Arial" w:eastAsia="Arial" w:hAnsi="Arial" w:cs="Arial"/>
          <w:color w:val="000000"/>
        </w:rPr>
      </w:pPr>
      <w:r w:rsidRPr="003A0EC0">
        <w:rPr>
          <w:rFonts w:ascii="Arial" w:eastAsia="Arial" w:hAnsi="Arial" w:cs="Arial"/>
          <w:color w:val="000000"/>
          <w:sz w:val="24"/>
          <w:szCs w:val="24"/>
        </w:rPr>
        <w:t>A Call-Off Contract may be awarded on the basis of most economically advantageous tender ("MEAT").</w:t>
      </w:r>
    </w:p>
    <w:p w:rsidR="00585B8C" w:rsidRPr="003A0EC0" w:rsidRDefault="00117745">
      <w:pPr>
        <w:widowControl/>
        <w:numPr>
          <w:ilvl w:val="0"/>
          <w:numId w:val="4"/>
        </w:numPr>
        <w:tabs>
          <w:tab w:val="left" w:pos="3641"/>
        </w:tabs>
        <w:spacing w:before="120" w:after="120"/>
        <w:rPr>
          <w:rFonts w:ascii="Arial" w:eastAsia="Arial" w:hAnsi="Arial" w:cs="Arial"/>
        </w:rPr>
      </w:pPr>
      <w:r w:rsidRPr="003A0EC0">
        <w:rPr>
          <w:rFonts w:ascii="Arial" w:eastAsia="Arial" w:hAnsi="Arial" w:cs="Arial"/>
          <w:sz w:val="24"/>
          <w:szCs w:val="24"/>
        </w:rPr>
        <w:t xml:space="preserve">At tender stage pricing for </w:t>
      </w:r>
      <w:r w:rsidRPr="003A0EC0">
        <w:rPr>
          <w:rFonts w:ascii="Arial" w:eastAsia="Arial" w:hAnsi="Arial" w:cs="Arial"/>
          <w:b/>
          <w:sz w:val="24"/>
          <w:szCs w:val="24"/>
        </w:rPr>
        <w:t>Lots 2</w:t>
      </w:r>
      <w:r w:rsidRPr="003A0EC0">
        <w:rPr>
          <w:rFonts w:ascii="Arial" w:eastAsia="Arial" w:hAnsi="Arial" w:cs="Arial"/>
          <w:sz w:val="24"/>
          <w:szCs w:val="24"/>
        </w:rPr>
        <w:t xml:space="preserve"> and </w:t>
      </w:r>
      <w:r w:rsidRPr="003A0EC0">
        <w:rPr>
          <w:rFonts w:ascii="Arial" w:eastAsia="Arial" w:hAnsi="Arial" w:cs="Arial"/>
          <w:b/>
          <w:sz w:val="24"/>
          <w:szCs w:val="24"/>
        </w:rPr>
        <w:t>5</w:t>
      </w:r>
      <w:r w:rsidRPr="003A0EC0">
        <w:rPr>
          <w:rFonts w:ascii="Arial" w:eastAsia="Arial" w:hAnsi="Arial" w:cs="Arial"/>
          <w:sz w:val="24"/>
          <w:szCs w:val="24"/>
        </w:rPr>
        <w:t xml:space="preserve"> the quality element was tested based on a technical scenario.  Suppliers then priced against the technical scenario using an </w:t>
      </w:r>
      <w:r w:rsidR="003A0EC0" w:rsidRPr="003A0EC0">
        <w:rPr>
          <w:rFonts w:ascii="Arial" w:eastAsia="Arial" w:hAnsi="Arial" w:cs="Arial"/>
          <w:sz w:val="24"/>
          <w:szCs w:val="24"/>
        </w:rPr>
        <w:t>all-inclusive</w:t>
      </w:r>
      <w:r w:rsidRPr="003A0EC0">
        <w:rPr>
          <w:rFonts w:ascii="Arial" w:eastAsia="Arial" w:hAnsi="Arial" w:cs="Arial"/>
          <w:sz w:val="24"/>
          <w:szCs w:val="24"/>
        </w:rPr>
        <w:t xml:space="preserve"> subscription charge and the Interim Technical Resources.  </w:t>
      </w:r>
    </w:p>
    <w:p w:rsidR="00585B8C" w:rsidRPr="003A0EC0" w:rsidRDefault="00117745">
      <w:pPr>
        <w:widowControl/>
        <w:tabs>
          <w:tab w:val="left" w:pos="3641"/>
        </w:tabs>
        <w:spacing w:before="120" w:after="120"/>
        <w:ind w:left="1080"/>
        <w:rPr>
          <w:rFonts w:ascii="Arial" w:eastAsia="Arial" w:hAnsi="Arial" w:cs="Arial"/>
          <w:sz w:val="24"/>
          <w:szCs w:val="24"/>
        </w:rPr>
      </w:pPr>
      <w:r w:rsidRPr="003A0EC0">
        <w:rPr>
          <w:rFonts w:ascii="Arial" w:eastAsia="Arial" w:hAnsi="Arial" w:cs="Arial"/>
          <w:b/>
          <w:sz w:val="24"/>
          <w:szCs w:val="24"/>
        </w:rPr>
        <w:t>For the avoidance of doubt</w:t>
      </w:r>
      <w:r w:rsidRPr="003A0EC0">
        <w:rPr>
          <w:rFonts w:ascii="Arial" w:eastAsia="Arial" w:hAnsi="Arial" w:cs="Arial"/>
          <w:sz w:val="24"/>
          <w:szCs w:val="24"/>
        </w:rPr>
        <w:t xml:space="preserve">, the subscription charge priced for at tender stage will </w:t>
      </w:r>
      <w:r w:rsidRPr="003A0EC0">
        <w:rPr>
          <w:rFonts w:ascii="Arial" w:eastAsia="Arial" w:hAnsi="Arial" w:cs="Arial"/>
          <w:b/>
          <w:sz w:val="24"/>
          <w:szCs w:val="24"/>
        </w:rPr>
        <w:t>not be carried forward into the final Framework pricing rate card</w:t>
      </w:r>
      <w:r w:rsidRPr="003A0EC0">
        <w:rPr>
          <w:rFonts w:ascii="Arial" w:eastAsia="Arial" w:hAnsi="Arial" w:cs="Arial"/>
          <w:sz w:val="24"/>
          <w:szCs w:val="24"/>
        </w:rPr>
        <w:t xml:space="preserve">, due to it being scenario pricing and therefore unable to be maximum Framework prices.   </w:t>
      </w:r>
    </w:p>
    <w:p w:rsidR="00585B8C" w:rsidRPr="003A0EC0" w:rsidRDefault="00117745">
      <w:pPr>
        <w:widowControl/>
        <w:tabs>
          <w:tab w:val="left" w:pos="3641"/>
        </w:tabs>
        <w:spacing w:before="120" w:after="120"/>
        <w:ind w:left="1080"/>
        <w:rPr>
          <w:rFonts w:ascii="Arial" w:eastAsia="Arial" w:hAnsi="Arial" w:cs="Arial"/>
          <w:sz w:val="24"/>
          <w:szCs w:val="24"/>
        </w:rPr>
      </w:pPr>
      <w:r w:rsidRPr="003A0EC0">
        <w:rPr>
          <w:rFonts w:ascii="Arial" w:eastAsia="Arial" w:hAnsi="Arial" w:cs="Arial"/>
          <w:sz w:val="24"/>
          <w:szCs w:val="24"/>
        </w:rPr>
        <w:t xml:space="preserve">The Interim Technical Resource rates will be part of the Framework pricing and available in the form of half and/or /full day rates.  </w:t>
      </w:r>
    </w:p>
    <w:p w:rsidR="00585B8C" w:rsidRDefault="00117745">
      <w:pPr>
        <w:rPr>
          <w:rFonts w:ascii="Arial" w:eastAsia="Arial" w:hAnsi="Arial" w:cs="Arial"/>
          <w:b/>
          <w:smallCaps/>
          <w:sz w:val="24"/>
          <w:szCs w:val="24"/>
        </w:rPr>
      </w:pPr>
      <w:r>
        <w:br w:type="page"/>
      </w:r>
    </w:p>
    <w:p w:rsidR="00585B8C" w:rsidRDefault="00117745">
      <w:pPr>
        <w:keepNext/>
        <w:widowControl/>
        <w:pBdr>
          <w:top w:val="nil"/>
          <w:left w:val="nil"/>
          <w:bottom w:val="nil"/>
          <w:right w:val="nil"/>
          <w:between w:val="nil"/>
        </w:pBdr>
        <w:spacing w:before="240" w:after="240"/>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Direct award criteria</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For all Lots the following criteria and weightings shall apply to the evaluation for direct award of each Call-Off.</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Pr>
          <w:rFonts w:ascii="Arial" w:eastAsia="Arial" w:hAnsi="Arial" w:cs="Arial"/>
          <w:b/>
          <w:color w:val="000000"/>
          <w:sz w:val="24"/>
          <w:szCs w:val="24"/>
        </w:rPr>
        <w:t>Lots 1, 2, 3, 4 &amp; 5</w:t>
      </w:r>
    </w:p>
    <w:tbl>
      <w:tblPr>
        <w:tblStyle w:val="a"/>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670"/>
      </w:tblGrid>
      <w:tr w:rsidR="00585B8C">
        <w:tc>
          <w:tcPr>
            <w:tcW w:w="3544" w:type="dxa"/>
            <w:shd w:val="clear" w:color="auto" w:fill="E7E6E6"/>
          </w:tcPr>
          <w:p w:rsidR="00585B8C" w:rsidRDefault="00117745">
            <w:pPr>
              <w:keepNext/>
              <w:widowControl/>
              <w:pBdr>
                <w:top w:val="nil"/>
                <w:left w:val="nil"/>
                <w:bottom w:val="nil"/>
                <w:right w:val="nil"/>
                <w:between w:val="nil"/>
              </w:pBdr>
              <w:spacing w:before="120" w:after="120"/>
              <w:ind w:left="142"/>
              <w:jc w:val="both"/>
              <w:rPr>
                <w:rFonts w:ascii="Arial" w:eastAsia="Arial" w:hAnsi="Arial" w:cs="Arial"/>
                <w:b/>
                <w:color w:val="000000"/>
                <w:sz w:val="24"/>
                <w:szCs w:val="24"/>
              </w:rPr>
            </w:pPr>
            <w:r>
              <w:rPr>
                <w:rFonts w:ascii="Arial" w:eastAsia="Arial" w:hAnsi="Arial" w:cs="Arial"/>
                <w:b/>
                <w:color w:val="000000"/>
                <w:sz w:val="24"/>
                <w:szCs w:val="24"/>
              </w:rPr>
              <w:t xml:space="preserve">Criteria </w:t>
            </w:r>
          </w:p>
        </w:tc>
        <w:tc>
          <w:tcPr>
            <w:tcW w:w="5670" w:type="dxa"/>
            <w:shd w:val="clear" w:color="auto" w:fill="E7E6E6"/>
          </w:tcPr>
          <w:p w:rsidR="00585B8C" w:rsidRDefault="00117745">
            <w:pPr>
              <w:widowControl/>
              <w:spacing w:before="120" w:after="200" w:line="276" w:lineRule="auto"/>
              <w:rPr>
                <w:rFonts w:ascii="Arial" w:eastAsia="Arial" w:hAnsi="Arial" w:cs="Arial"/>
                <w:b/>
                <w:sz w:val="24"/>
                <w:szCs w:val="24"/>
              </w:rPr>
            </w:pPr>
            <w:r>
              <w:rPr>
                <w:rFonts w:ascii="Arial" w:eastAsia="Arial" w:hAnsi="Arial" w:cs="Arial"/>
                <w:b/>
                <w:sz w:val="24"/>
                <w:szCs w:val="24"/>
              </w:rPr>
              <w:t xml:space="preserve">Relative weighting percentage </w:t>
            </w:r>
          </w:p>
          <w:p w:rsidR="00585B8C" w:rsidRDefault="00117745">
            <w:pPr>
              <w:widowControl/>
              <w:spacing w:after="200" w:line="276" w:lineRule="auto"/>
              <w:rPr>
                <w:rFonts w:ascii="Arial" w:eastAsia="Arial" w:hAnsi="Arial" w:cs="Arial"/>
                <w:b/>
                <w:sz w:val="24"/>
                <w:szCs w:val="24"/>
              </w:rPr>
            </w:pPr>
            <w:r>
              <w:rPr>
                <w:rFonts w:ascii="Arial" w:eastAsia="Arial" w:hAnsi="Arial" w:cs="Arial"/>
                <w:sz w:val="24"/>
                <w:szCs w:val="24"/>
              </w:rPr>
              <w:t>[</w:t>
            </w:r>
            <w:r>
              <w:rPr>
                <w:rFonts w:ascii="Arial" w:eastAsia="Arial" w:hAnsi="Arial" w:cs="Arial"/>
                <w:b/>
                <w:sz w:val="24"/>
                <w:szCs w:val="24"/>
                <w:highlight w:val="yellow"/>
              </w:rPr>
              <w:t>Guidance:</w:t>
            </w:r>
            <w:r>
              <w:rPr>
                <w:rFonts w:ascii="Arial" w:eastAsia="Arial" w:hAnsi="Arial" w:cs="Arial"/>
                <w:sz w:val="24"/>
                <w:szCs w:val="24"/>
              </w:rPr>
              <w:t xml:space="preserve"> where weighting is not possible for objective reasons, list the criteria in decreasing order of importance, amend the column heading to read 'Rank order of importance where 1 = most important, 2 = second most important etc.'. The figure 1 must be in the top row, running down to the least important in the bottom row.]</w:t>
            </w:r>
          </w:p>
        </w:tc>
      </w:tr>
      <w:tr w:rsidR="00585B8C">
        <w:tc>
          <w:tcPr>
            <w:tcW w:w="9214" w:type="dxa"/>
            <w:gridSpan w:val="2"/>
          </w:tcPr>
          <w:p w:rsidR="00585B8C" w:rsidRDefault="00585B8C">
            <w:pPr>
              <w:keepNext/>
              <w:widowControl/>
              <w:pBdr>
                <w:top w:val="nil"/>
                <w:left w:val="nil"/>
                <w:bottom w:val="nil"/>
                <w:right w:val="nil"/>
                <w:between w:val="nil"/>
              </w:pBdr>
              <w:spacing w:before="240" w:after="120"/>
              <w:ind w:left="142"/>
              <w:jc w:val="both"/>
              <w:rPr>
                <w:rFonts w:ascii="Arial" w:eastAsia="Arial" w:hAnsi="Arial" w:cs="Arial"/>
                <w:color w:val="000000"/>
                <w:sz w:val="24"/>
                <w:szCs w:val="24"/>
              </w:rPr>
            </w:pPr>
          </w:p>
          <w:p w:rsidR="00585B8C" w:rsidRDefault="00117745">
            <w:pPr>
              <w:widowControl/>
              <w:pBdr>
                <w:top w:val="nil"/>
                <w:left w:val="nil"/>
                <w:bottom w:val="nil"/>
                <w:right w:val="nil"/>
                <w:between w:val="nil"/>
              </w:pBdr>
              <w:spacing w:before="120" w:after="280" w:line="259" w:lineRule="auto"/>
              <w:ind w:left="176" w:hanging="34"/>
              <w:rPr>
                <w:rFonts w:ascii="Arial" w:eastAsia="Arial" w:hAnsi="Arial" w:cs="Arial"/>
                <w:color w:val="000000"/>
                <w:sz w:val="24"/>
                <w:szCs w:val="24"/>
                <w:highlight w:val="white"/>
              </w:rPr>
            </w:pPr>
            <w:r>
              <w:rPr>
                <w:rFonts w:ascii="Arial" w:eastAsia="Arial" w:hAnsi="Arial" w:cs="Arial"/>
                <w:highlight w:val="white"/>
              </w:rPr>
              <w:t xml:space="preserve"> </w:t>
            </w:r>
            <w:r>
              <w:rPr>
                <w:rFonts w:ascii="Arial" w:eastAsia="Arial" w:hAnsi="Arial" w:cs="Arial"/>
                <w:color w:val="000000"/>
                <w:sz w:val="24"/>
                <w:szCs w:val="24"/>
                <w:highlight w:val="white"/>
              </w:rPr>
              <w:t>Value for money: e.g. the Buyer believes that the Supplier provides</w:t>
            </w:r>
            <w:r>
              <w:rPr>
                <w:rFonts w:ascii="Arial" w:eastAsia="Arial" w:hAnsi="Arial" w:cs="Arial"/>
                <w:color w:val="000000"/>
                <w:sz w:val="24"/>
                <w:szCs w:val="24"/>
              </w:rPr>
              <w:t xml:space="preserve"> </w:t>
            </w:r>
            <w:r>
              <w:rPr>
                <w:rFonts w:ascii="Arial" w:eastAsia="Arial" w:hAnsi="Arial" w:cs="Arial"/>
                <w:color w:val="000000"/>
                <w:sz w:val="24"/>
                <w:szCs w:val="24"/>
                <w:highlight w:val="white"/>
              </w:rPr>
              <w:t>demonstrable value for money, which may include but is not limited to:</w:t>
            </w:r>
          </w:p>
          <w:p w:rsidR="00585B8C" w:rsidRDefault="00117745">
            <w:pPr>
              <w:widowControl/>
              <w:pBdr>
                <w:top w:val="nil"/>
                <w:left w:val="nil"/>
                <w:bottom w:val="nil"/>
                <w:right w:val="nil"/>
                <w:between w:val="nil"/>
              </w:pBdr>
              <w:ind w:left="141"/>
              <w:rPr>
                <w:rFonts w:ascii="Arial" w:eastAsia="Arial" w:hAnsi="Arial" w:cs="Arial"/>
                <w:color w:val="000000"/>
                <w:sz w:val="24"/>
                <w:szCs w:val="24"/>
                <w:highlight w:val="white"/>
              </w:rPr>
            </w:pPr>
            <w:r>
              <w:rPr>
                <w:rFonts w:ascii="Arial" w:eastAsia="Arial" w:hAnsi="Arial" w:cs="Arial"/>
                <w:color w:val="000000"/>
                <w:sz w:val="24"/>
                <w:szCs w:val="24"/>
                <w:highlight w:val="white"/>
              </w:rPr>
              <w:t>● Cost effectiveness;</w:t>
            </w:r>
          </w:p>
          <w:p w:rsidR="00585B8C" w:rsidRDefault="00117745">
            <w:pPr>
              <w:widowControl/>
              <w:pBdr>
                <w:top w:val="nil"/>
                <w:left w:val="nil"/>
                <w:bottom w:val="nil"/>
                <w:right w:val="nil"/>
                <w:between w:val="nil"/>
              </w:pBdr>
              <w:ind w:left="176" w:hanging="34"/>
              <w:rPr>
                <w:rFonts w:ascii="Arial" w:eastAsia="Arial" w:hAnsi="Arial" w:cs="Arial"/>
                <w:color w:val="000000"/>
                <w:sz w:val="24"/>
                <w:szCs w:val="24"/>
                <w:highlight w:val="white"/>
              </w:rPr>
            </w:pPr>
            <w:r>
              <w:rPr>
                <w:rFonts w:ascii="Arial" w:eastAsia="Arial" w:hAnsi="Arial" w:cs="Arial"/>
                <w:color w:val="000000"/>
                <w:sz w:val="24"/>
                <w:szCs w:val="24"/>
                <w:highlight w:val="white"/>
              </w:rPr>
              <w:t>● Price; and</w:t>
            </w:r>
            <w:r>
              <w:rPr>
                <w:rFonts w:ascii="Arial" w:eastAsia="Arial" w:hAnsi="Arial" w:cs="Arial"/>
                <w:color w:val="000000"/>
                <w:sz w:val="24"/>
                <w:szCs w:val="24"/>
              </w:rPr>
              <w:br/>
            </w:r>
            <w:r>
              <w:rPr>
                <w:rFonts w:ascii="Arial" w:eastAsia="Arial" w:hAnsi="Arial" w:cs="Arial"/>
                <w:color w:val="000000"/>
                <w:sz w:val="24"/>
                <w:szCs w:val="24"/>
                <w:highlight w:val="white"/>
              </w:rPr>
              <w:t>● Quality.</w:t>
            </w:r>
          </w:p>
        </w:tc>
      </w:tr>
    </w:tbl>
    <w:p w:rsidR="00585B8C" w:rsidRDefault="00585B8C">
      <w:pPr>
        <w:widowControl/>
        <w:pBdr>
          <w:top w:val="nil"/>
          <w:left w:val="nil"/>
          <w:bottom w:val="nil"/>
          <w:right w:val="nil"/>
          <w:between w:val="nil"/>
        </w:pBdr>
        <w:jc w:val="both"/>
        <w:rPr>
          <w:rFonts w:ascii="Arial" w:eastAsia="Arial" w:hAnsi="Arial" w:cs="Arial"/>
          <w:color w:val="FFFFFF"/>
          <w:sz w:val="24"/>
          <w:szCs w:val="24"/>
        </w:rPr>
      </w:pPr>
    </w:p>
    <w:p w:rsidR="00585B8C" w:rsidRDefault="00117745">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B: Further Competition Award Criteria</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For Lot 1, 3 &amp; 4 the following criteria and weightings shall apply to the evaluation for further competition of each Call-Off.</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Pr>
          <w:rFonts w:ascii="Arial" w:eastAsia="Arial" w:hAnsi="Arial" w:cs="Arial"/>
          <w:b/>
          <w:color w:val="000000"/>
          <w:sz w:val="24"/>
          <w:szCs w:val="24"/>
        </w:rPr>
        <w:t>Lots 1, 3 &amp; 4</w:t>
      </w:r>
    </w:p>
    <w:tbl>
      <w:tblPr>
        <w:tblStyle w:val="a0"/>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4512"/>
      </w:tblGrid>
      <w:tr w:rsidR="00585B8C">
        <w:tc>
          <w:tcPr>
            <w:tcW w:w="1271" w:type="dxa"/>
            <w:shd w:val="clear" w:color="auto" w:fill="E7E6E6"/>
          </w:tcPr>
          <w:p w:rsidR="00585B8C" w:rsidRDefault="00117745">
            <w:pPr>
              <w:widowControl/>
              <w:pBdr>
                <w:top w:val="nil"/>
                <w:left w:val="nil"/>
                <w:bottom w:val="nil"/>
                <w:right w:val="nil"/>
                <w:between w:val="nil"/>
              </w:pBdr>
              <w:tabs>
                <w:tab w:val="left" w:pos="851"/>
              </w:tabs>
              <w:spacing w:before="120" w:after="120"/>
              <w:jc w:val="both"/>
              <w:rPr>
                <w:rFonts w:ascii="Arial" w:eastAsia="Arial" w:hAnsi="Arial" w:cs="Arial"/>
                <w:color w:val="000000"/>
              </w:rPr>
            </w:pPr>
            <w:r>
              <w:rPr>
                <w:rFonts w:ascii="Arial" w:eastAsia="Arial" w:hAnsi="Arial" w:cs="Arial"/>
                <w:b/>
                <w:color w:val="000000"/>
              </w:rPr>
              <w:t>Criteria</w:t>
            </w:r>
          </w:p>
        </w:tc>
        <w:tc>
          <w:tcPr>
            <w:tcW w:w="2693" w:type="dxa"/>
            <w:shd w:val="clear" w:color="auto" w:fill="E7E6E6"/>
          </w:tcPr>
          <w:p w:rsidR="00585B8C" w:rsidRDefault="00117745">
            <w:pPr>
              <w:widowControl/>
              <w:pBdr>
                <w:top w:val="nil"/>
                <w:left w:val="nil"/>
                <w:bottom w:val="nil"/>
                <w:right w:val="nil"/>
                <w:between w:val="nil"/>
              </w:pBdr>
              <w:tabs>
                <w:tab w:val="left" w:pos="851"/>
              </w:tabs>
              <w:spacing w:before="120" w:after="120"/>
              <w:rPr>
                <w:rFonts w:ascii="Arial" w:eastAsia="Arial" w:hAnsi="Arial" w:cs="Arial"/>
                <w:b/>
                <w:color w:val="000000"/>
              </w:rPr>
            </w:pPr>
            <w:r>
              <w:rPr>
                <w:rFonts w:ascii="Arial" w:eastAsia="Arial" w:hAnsi="Arial" w:cs="Arial"/>
                <w:b/>
                <w:color w:val="000000"/>
              </w:rPr>
              <w:t>Percentage Weightings (or rank order of importance where applicable) - to be set by the Customer conducting the Further Competition Procedure</w:t>
            </w:r>
          </w:p>
        </w:tc>
        <w:tc>
          <w:tcPr>
            <w:tcW w:w="4512" w:type="dxa"/>
            <w:shd w:val="clear" w:color="auto" w:fill="E7E6E6"/>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b/>
                <w:color w:val="000000"/>
              </w:rPr>
            </w:pPr>
            <w:r>
              <w:rPr>
                <w:rFonts w:ascii="Arial" w:eastAsia="Arial" w:hAnsi="Arial" w:cs="Arial"/>
                <w:b/>
                <w:color w:val="000000"/>
              </w:rPr>
              <w:t xml:space="preserve">Allowable Variance </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b/>
                <w:color w:val="000000"/>
              </w:rPr>
              <w:t>(This may be modified by the Customer within the range below)</w:t>
            </w:r>
            <w:r>
              <w:rPr>
                <w:color w:val="000000"/>
              </w:rPr>
              <w:t xml:space="preserve"> </w:t>
            </w:r>
          </w:p>
        </w:tc>
      </w:tr>
      <w:tr w:rsidR="00585B8C">
        <w:tc>
          <w:tcPr>
            <w:tcW w:w="1271"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 xml:space="preserve">Quality </w:t>
            </w:r>
          </w:p>
        </w:tc>
        <w:tc>
          <w:tcPr>
            <w:tcW w:w="2693"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50%</w:t>
            </w:r>
          </w:p>
        </w:tc>
        <w:tc>
          <w:tcPr>
            <w:tcW w:w="4512"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Buyers can modify the percentage weighting to meet their requirements using a variance level of:</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 xml:space="preserve">+/- 30% (80% to 20%) </w:t>
            </w:r>
          </w:p>
        </w:tc>
      </w:tr>
      <w:tr w:rsidR="00585B8C">
        <w:tc>
          <w:tcPr>
            <w:tcW w:w="1271"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 xml:space="preserve">Price </w:t>
            </w:r>
          </w:p>
        </w:tc>
        <w:tc>
          <w:tcPr>
            <w:tcW w:w="2693"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50%</w:t>
            </w:r>
          </w:p>
        </w:tc>
        <w:tc>
          <w:tcPr>
            <w:tcW w:w="4512"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Buyers can modify the percentage weighting to meet their requirements using a variance level of:</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+/- 30% (80% to 20%)</w:t>
            </w:r>
          </w:p>
        </w:tc>
      </w:tr>
    </w:tbl>
    <w:p w:rsidR="00585B8C" w:rsidRDefault="00585B8C">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For Lot 2 &amp; 5 the following criteria and weightings shall apply to the evaluation for further competition of each Call-Off.</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Pr>
          <w:rFonts w:ascii="Arial" w:eastAsia="Arial" w:hAnsi="Arial" w:cs="Arial"/>
          <w:b/>
          <w:color w:val="000000"/>
          <w:sz w:val="24"/>
          <w:szCs w:val="24"/>
        </w:rPr>
        <w:t>Lots 2 &amp; 5</w:t>
      </w:r>
    </w:p>
    <w:tbl>
      <w:tblPr>
        <w:tblStyle w:val="a1"/>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4512"/>
      </w:tblGrid>
      <w:tr w:rsidR="00585B8C">
        <w:tc>
          <w:tcPr>
            <w:tcW w:w="1271" w:type="dxa"/>
            <w:shd w:val="clear" w:color="auto" w:fill="E7E6E6"/>
          </w:tcPr>
          <w:p w:rsidR="00585B8C" w:rsidRDefault="00117745">
            <w:pPr>
              <w:widowControl/>
              <w:pBdr>
                <w:top w:val="nil"/>
                <w:left w:val="nil"/>
                <w:bottom w:val="nil"/>
                <w:right w:val="nil"/>
                <w:between w:val="nil"/>
              </w:pBdr>
              <w:tabs>
                <w:tab w:val="left" w:pos="851"/>
              </w:tabs>
              <w:spacing w:before="120" w:after="120"/>
              <w:jc w:val="both"/>
              <w:rPr>
                <w:rFonts w:ascii="Arial" w:eastAsia="Arial" w:hAnsi="Arial" w:cs="Arial"/>
                <w:color w:val="000000"/>
              </w:rPr>
            </w:pPr>
            <w:r>
              <w:rPr>
                <w:rFonts w:ascii="Arial" w:eastAsia="Arial" w:hAnsi="Arial" w:cs="Arial"/>
                <w:b/>
                <w:color w:val="000000"/>
              </w:rPr>
              <w:t>Criteria</w:t>
            </w:r>
          </w:p>
        </w:tc>
        <w:tc>
          <w:tcPr>
            <w:tcW w:w="2693" w:type="dxa"/>
            <w:shd w:val="clear" w:color="auto" w:fill="E7E6E6"/>
          </w:tcPr>
          <w:p w:rsidR="00585B8C" w:rsidRDefault="00117745">
            <w:pPr>
              <w:widowControl/>
              <w:pBdr>
                <w:top w:val="nil"/>
                <w:left w:val="nil"/>
                <w:bottom w:val="nil"/>
                <w:right w:val="nil"/>
                <w:between w:val="nil"/>
              </w:pBdr>
              <w:tabs>
                <w:tab w:val="left" w:pos="851"/>
              </w:tabs>
              <w:spacing w:before="120" w:after="120"/>
              <w:rPr>
                <w:rFonts w:ascii="Arial" w:eastAsia="Arial" w:hAnsi="Arial" w:cs="Arial"/>
                <w:b/>
                <w:color w:val="000000"/>
              </w:rPr>
            </w:pPr>
            <w:r>
              <w:rPr>
                <w:rFonts w:ascii="Arial" w:eastAsia="Arial" w:hAnsi="Arial" w:cs="Arial"/>
                <w:b/>
                <w:color w:val="000000"/>
              </w:rPr>
              <w:t>Percentage Weightings (or rank order of importance where applicable) - to be set by the Customer conducting the Further Competition Procedure</w:t>
            </w:r>
          </w:p>
        </w:tc>
        <w:tc>
          <w:tcPr>
            <w:tcW w:w="4512" w:type="dxa"/>
            <w:shd w:val="clear" w:color="auto" w:fill="E7E6E6"/>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b/>
                <w:color w:val="000000"/>
              </w:rPr>
            </w:pPr>
            <w:r>
              <w:rPr>
                <w:rFonts w:ascii="Arial" w:eastAsia="Arial" w:hAnsi="Arial" w:cs="Arial"/>
                <w:b/>
                <w:color w:val="000000"/>
              </w:rPr>
              <w:t xml:space="preserve">Allowable Variance </w:t>
            </w:r>
          </w:p>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b/>
                <w:color w:val="000000"/>
              </w:rPr>
              <w:t>(This may be modified by the Customer within the range below)</w:t>
            </w:r>
            <w:r>
              <w:rPr>
                <w:color w:val="000000"/>
              </w:rPr>
              <w:t xml:space="preserve"> </w:t>
            </w:r>
          </w:p>
        </w:tc>
      </w:tr>
      <w:tr w:rsidR="00585B8C">
        <w:tc>
          <w:tcPr>
            <w:tcW w:w="1271"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 xml:space="preserve">Quality </w:t>
            </w:r>
          </w:p>
        </w:tc>
        <w:tc>
          <w:tcPr>
            <w:tcW w:w="2693"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70%</w:t>
            </w:r>
          </w:p>
        </w:tc>
        <w:tc>
          <w:tcPr>
            <w:tcW w:w="4512"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Buyers can modify the percentage weighting to meet their requirements using a variance level of:</w:t>
            </w:r>
          </w:p>
          <w:p w:rsidR="00585B8C" w:rsidRDefault="003A0EC0">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+10% or - 50%</w:t>
            </w:r>
            <w:r w:rsidR="00117745">
              <w:rPr>
                <w:rFonts w:ascii="Arial" w:eastAsia="Arial" w:hAnsi="Arial" w:cs="Arial"/>
                <w:color w:val="000000"/>
              </w:rPr>
              <w:t xml:space="preserve"> (80% to 20%) </w:t>
            </w:r>
          </w:p>
        </w:tc>
      </w:tr>
      <w:tr w:rsidR="00585B8C">
        <w:tc>
          <w:tcPr>
            <w:tcW w:w="1271"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 xml:space="preserve">Price </w:t>
            </w:r>
          </w:p>
        </w:tc>
        <w:tc>
          <w:tcPr>
            <w:tcW w:w="2693"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30%</w:t>
            </w:r>
          </w:p>
        </w:tc>
        <w:tc>
          <w:tcPr>
            <w:tcW w:w="4512" w:type="dxa"/>
          </w:tcPr>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Buyers can modify the percentage weighting to meet their requirements using a variance level of:</w:t>
            </w:r>
          </w:p>
          <w:p w:rsidR="00585B8C" w:rsidRDefault="003A0EC0">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+ 50%</w:t>
            </w:r>
            <w:bookmarkStart w:id="12" w:name="_GoBack"/>
            <w:bookmarkEnd w:id="12"/>
            <w:r w:rsidR="00117745">
              <w:rPr>
                <w:rFonts w:ascii="Arial" w:eastAsia="Arial" w:hAnsi="Arial" w:cs="Arial"/>
                <w:color w:val="000000"/>
              </w:rPr>
              <w:t xml:space="preserve"> or -10%  (80% to 20%) </w:t>
            </w:r>
          </w:p>
        </w:tc>
      </w:tr>
    </w:tbl>
    <w:p w:rsidR="00585B8C" w:rsidRDefault="00585B8C">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585B8C" w:rsidRDefault="0011774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Example of Quality criteria may include but not limited to</w:t>
      </w:r>
    </w:p>
    <w:p w:rsidR="00585B8C" w:rsidRDefault="00117745">
      <w:pPr>
        <w:keepNext/>
        <w:widowControl/>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Added Value / Innovation</w:t>
      </w:r>
    </w:p>
    <w:p w:rsidR="00585B8C" w:rsidRDefault="00117745">
      <w:pPr>
        <w:keepNext/>
        <w:widowControl/>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Social Value</w:t>
      </w:r>
    </w:p>
    <w:p w:rsidR="00585B8C" w:rsidRDefault="00117745">
      <w:pPr>
        <w:keepNext/>
        <w:widowControl/>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Approach To Delivery Of The Services</w:t>
      </w:r>
    </w:p>
    <w:p w:rsidR="00585B8C" w:rsidRDefault="00117745">
      <w:pPr>
        <w:keepNext/>
        <w:widowControl/>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Implementation</w:t>
      </w:r>
    </w:p>
    <w:p w:rsidR="00585B8C" w:rsidRDefault="00117745">
      <w:pPr>
        <w:keepNext/>
        <w:widowControl/>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Use Of Supply Chain / Partners</w:t>
      </w:r>
    </w:p>
    <w:p w:rsidR="00585B8C" w:rsidRDefault="00117745">
      <w:pPr>
        <w:keepNext/>
        <w:widowControl/>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Environmental Characteristics </w:t>
      </w:r>
    </w:p>
    <w:p w:rsidR="00585B8C" w:rsidRDefault="00585B8C">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585B8C" w:rsidRDefault="00585B8C">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585B8C" w:rsidRDefault="00585B8C">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585B8C" w:rsidRDefault="00585B8C">
      <w:pPr>
        <w:widowControl/>
        <w:pBdr>
          <w:top w:val="nil"/>
          <w:left w:val="nil"/>
          <w:bottom w:val="nil"/>
          <w:right w:val="nil"/>
          <w:between w:val="nil"/>
        </w:pBdr>
        <w:jc w:val="both"/>
        <w:rPr>
          <w:rFonts w:ascii="Arial" w:eastAsia="Arial" w:hAnsi="Arial" w:cs="Arial"/>
          <w:color w:val="FFFFFF"/>
          <w:sz w:val="24"/>
          <w:szCs w:val="24"/>
        </w:rPr>
      </w:pPr>
    </w:p>
    <w:sectPr w:rsidR="00585B8C">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00B" w:rsidRDefault="00CA400B">
      <w:r>
        <w:separator/>
      </w:r>
    </w:p>
  </w:endnote>
  <w:endnote w:type="continuationSeparator" w:id="0">
    <w:p w:rsidR="00CA400B" w:rsidRDefault="00CA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8C" w:rsidRDefault="00117745">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sidR="003A0EC0">
      <w:rPr>
        <w:rFonts w:ascii="Arial" w:eastAsia="Arial" w:hAnsi="Arial" w:cs="Arial"/>
        <w:sz w:val="20"/>
        <w:szCs w:val="20"/>
      </w:rPr>
      <w:t>6175</w:t>
    </w:r>
    <w:r>
      <w:rPr>
        <w:rFonts w:ascii="Arial" w:eastAsia="Arial" w:hAnsi="Arial" w:cs="Arial"/>
        <w:sz w:val="20"/>
        <w:szCs w:val="20"/>
      </w:rPr>
      <w:tab/>
      <w:t xml:space="preserve">                                           </w:t>
    </w:r>
  </w:p>
  <w:p w:rsidR="00585B8C" w:rsidRDefault="00117745">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43D2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85B8C" w:rsidRDefault="003A0EC0">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w:t>
    </w:r>
    <w:r w:rsidR="00117745">
      <w:rPr>
        <w:rFonts w:ascii="Arial" w:eastAsia="Arial" w:hAnsi="Arial" w:cs="Arial"/>
        <w:sz w:val="20"/>
        <w:szCs w:val="20"/>
      </w:rPr>
      <w:t>: v3.1</w:t>
    </w:r>
    <w:r w:rsidR="00117745">
      <w:rPr>
        <w:rFonts w:ascii="Arial" w:eastAsia="Arial" w:hAnsi="Arial" w:cs="Arial"/>
        <w:sz w:val="20"/>
        <w:szCs w:val="20"/>
      </w:rPr>
      <w:tab/>
    </w:r>
    <w:r w:rsidR="00117745">
      <w:rPr>
        <w:rFonts w:ascii="Arial" w:eastAsia="Arial" w:hAnsi="Arial" w:cs="Arial"/>
        <w:sz w:val="20"/>
        <w:szCs w:val="20"/>
      </w:rPr>
      <w:tab/>
    </w:r>
    <w:r w:rsidR="00117745">
      <w:rPr>
        <w:rFonts w:ascii="Arial" w:eastAsia="Arial" w:hAnsi="Arial" w:cs="Arial"/>
        <w:sz w:val="20"/>
        <w:szCs w:val="20"/>
      </w:rPr>
      <w:tab/>
    </w:r>
    <w:r w:rsidR="00117745">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8C" w:rsidRDefault="00585B8C">
    <w:pPr>
      <w:widowControl/>
      <w:pBdr>
        <w:top w:val="nil"/>
        <w:left w:val="nil"/>
        <w:bottom w:val="nil"/>
        <w:right w:val="nil"/>
        <w:between w:val="nil"/>
      </w:pBdr>
      <w:tabs>
        <w:tab w:val="center" w:pos="4513"/>
        <w:tab w:val="right" w:pos="9026"/>
      </w:tabs>
      <w:jc w:val="both"/>
      <w:rPr>
        <w:color w:val="000000"/>
      </w:rPr>
    </w:pPr>
  </w:p>
  <w:p w:rsidR="00585B8C" w:rsidRDefault="00117745">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rsidR="00585B8C" w:rsidRDefault="00117745">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rsidR="00585B8C" w:rsidRDefault="00117745">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00B" w:rsidRDefault="00CA400B">
      <w:r>
        <w:separator/>
      </w:r>
    </w:p>
  </w:footnote>
  <w:footnote w:type="continuationSeparator" w:id="0">
    <w:p w:rsidR="00CA400B" w:rsidRDefault="00CA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8C" w:rsidRDefault="00117745">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585B8C" w:rsidRDefault="00A318D4">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8C" w:rsidRDefault="00117745">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rsidR="00585B8C" w:rsidRDefault="00117745">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rsidR="00585B8C" w:rsidRDefault="00585B8C">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5790"/>
    <w:multiLevelType w:val="multilevel"/>
    <w:tmpl w:val="E4D692B2"/>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 w15:restartNumberingAfterBreak="0">
    <w:nsid w:val="428361D8"/>
    <w:multiLevelType w:val="multilevel"/>
    <w:tmpl w:val="BBD43D24"/>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3FB3399"/>
    <w:multiLevelType w:val="multilevel"/>
    <w:tmpl w:val="47F4C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A255D4"/>
    <w:multiLevelType w:val="multilevel"/>
    <w:tmpl w:val="E3AE0CC4"/>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8C"/>
    <w:rsid w:val="00117745"/>
    <w:rsid w:val="003A0EC0"/>
    <w:rsid w:val="00585B8C"/>
    <w:rsid w:val="005A2030"/>
    <w:rsid w:val="00A318D4"/>
    <w:rsid w:val="00A43D24"/>
    <w:rsid w:val="00C911AF"/>
    <w:rsid w:val="00CA400B"/>
    <w:rsid w:val="00EC5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E28C"/>
  <w15:docId w15:val="{64A625F9-8C15-4DF1-8509-21FFA816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A318D4"/>
    <w:pPr>
      <w:tabs>
        <w:tab w:val="center" w:pos="4513"/>
        <w:tab w:val="right" w:pos="9026"/>
      </w:tabs>
    </w:pPr>
  </w:style>
  <w:style w:type="character" w:customStyle="1" w:styleId="HeaderChar">
    <w:name w:val="Header Char"/>
    <w:basedOn w:val="DefaultParagraphFont"/>
    <w:link w:val="Header"/>
    <w:uiPriority w:val="99"/>
    <w:rsid w:val="00A318D4"/>
  </w:style>
  <w:style w:type="paragraph" w:styleId="Footer">
    <w:name w:val="footer"/>
    <w:basedOn w:val="Normal"/>
    <w:link w:val="FooterChar"/>
    <w:uiPriority w:val="99"/>
    <w:unhideWhenUsed/>
    <w:rsid w:val="00A318D4"/>
    <w:pPr>
      <w:tabs>
        <w:tab w:val="center" w:pos="4513"/>
        <w:tab w:val="right" w:pos="9026"/>
      </w:tabs>
    </w:pPr>
  </w:style>
  <w:style w:type="character" w:customStyle="1" w:styleId="FooterChar">
    <w:name w:val="Footer Char"/>
    <w:basedOn w:val="DefaultParagraphFont"/>
    <w:link w:val="Footer"/>
    <w:uiPriority w:val="99"/>
    <w:rsid w:val="00A31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Christine Connolly</cp:lastModifiedBy>
  <cp:revision>2</cp:revision>
  <dcterms:created xsi:type="dcterms:W3CDTF">2020-11-12T14:24:00Z</dcterms:created>
  <dcterms:modified xsi:type="dcterms:W3CDTF">2020-11-12T14:24:00Z</dcterms:modified>
</cp:coreProperties>
</file>