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 (Definitions)</w:t>
      </w:r>
    </w:p>
    <w:p w:rsidR="00000000" w:rsidDel="00000000" w:rsidP="00000000" w:rsidRDefault="00000000" w:rsidRPr="00000000" w14:paraId="00000002">
      <w:pPr>
        <w:numPr>
          <w:ilvl w:val="1"/>
          <w:numId w:val="19"/>
        </w:numPr>
        <w:pBdr>
          <w:top w:space="0" w:sz="0" w:val="nil"/>
          <w:left w:space="0" w:sz="0" w:val="nil"/>
          <w:bottom w:space="0" w:sz="0" w:val="nil"/>
          <w:right w:space="0" w:sz="0" w:val="nil"/>
          <w:between w:space="0" w:sz="0" w:val="nil"/>
        </w:pBdr>
        <w:tabs>
          <w:tab w:val="left" w:pos="1134"/>
        </w:tabs>
        <w:spacing w:after="120" w:before="120" w:line="240" w:lineRule="auto"/>
        <w:ind w:left="28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t>
      </w:r>
      <w:bookmarkStart w:colFirst="0" w:colLast="0" w:name="bookmark=id.gjdgxs" w:id="0"/>
      <w:bookmarkEnd w:id="0"/>
      <w:r w:rsidDel="00000000" w:rsidR="00000000" w:rsidRPr="00000000">
        <w:rPr>
          <w:rFonts w:ascii="Arial" w:cs="Arial" w:eastAsia="Arial" w:hAnsi="Arial"/>
          <w:color w:val="000000"/>
          <w:sz w:val="24"/>
          <w:szCs w:val="24"/>
          <w:rtl w:val="0"/>
        </w:rPr>
        <w:t xml:space="preserve">each Contract, unless the context otherwise requires, capitalised expressions shall have the meanings set out in this Joint Schedule 1 (Definitions) or the relevant Schedule in which that capitalised expression appears.</w:t>
      </w:r>
    </w:p>
    <w:p w:rsidR="00000000" w:rsidDel="00000000" w:rsidP="00000000" w:rsidRDefault="00000000" w:rsidRPr="00000000" w14:paraId="00000003">
      <w:pPr>
        <w:numPr>
          <w:ilvl w:val="1"/>
          <w:numId w:val="19"/>
        </w:numPr>
        <w:pBdr>
          <w:top w:space="0" w:sz="0" w:val="nil"/>
          <w:left w:space="0" w:sz="0" w:val="nil"/>
          <w:bottom w:space="0" w:sz="0" w:val="nil"/>
          <w:right w:space="0" w:sz="0" w:val="nil"/>
          <w:between w:space="0" w:sz="0" w:val="nil"/>
        </w:pBdr>
        <w:tabs>
          <w:tab w:val="left" w:pos="1134"/>
        </w:tabs>
        <w:spacing w:after="120" w:before="120" w:line="240" w:lineRule="auto"/>
        <w:ind w:left="284" w:hanging="360"/>
        <w:jc w:val="both"/>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000000" w:rsidDel="00000000" w:rsidP="00000000" w:rsidRDefault="00000000" w:rsidRPr="00000000" w14:paraId="00000004">
      <w:pPr>
        <w:keepNext w:val="1"/>
        <w:numPr>
          <w:ilvl w:val="1"/>
          <w:numId w:val="19"/>
        </w:numPr>
        <w:pBdr>
          <w:top w:space="0" w:sz="0" w:val="nil"/>
          <w:left w:space="0" w:sz="0" w:val="nil"/>
          <w:bottom w:space="0" w:sz="0" w:val="nil"/>
          <w:right w:space="0" w:sz="0" w:val="nil"/>
          <w:between w:space="0" w:sz="0" w:val="nil"/>
        </w:pBdr>
        <w:tabs>
          <w:tab w:val="left" w:pos="1134"/>
        </w:tabs>
        <w:spacing w:after="120" w:before="120" w:line="240" w:lineRule="auto"/>
        <w:ind w:left="28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w:t>
      </w:r>
    </w:p>
    <w:p w:rsidR="00000000" w:rsidDel="00000000" w:rsidP="00000000" w:rsidRDefault="00000000" w:rsidRPr="00000000" w14:paraId="00000005">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singular includes the plural and vice versa;</w:t>
      </w:r>
    </w:p>
    <w:p w:rsidR="00000000" w:rsidDel="00000000" w:rsidP="00000000" w:rsidRDefault="00000000" w:rsidRPr="00000000" w14:paraId="00000006">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 gender includes the other gender and the neuter;</w:t>
      </w:r>
    </w:p>
    <w:p w:rsidR="00000000" w:rsidDel="00000000" w:rsidP="00000000" w:rsidRDefault="00000000" w:rsidRPr="00000000" w14:paraId="00000007">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person include an individual, company, body corporate, corporation, unincorporated association, firm, partnership or other legal entity or Central Government Body;</w:t>
      </w:r>
    </w:p>
    <w:p w:rsidR="00000000" w:rsidDel="00000000" w:rsidP="00000000" w:rsidRDefault="00000000" w:rsidRPr="00000000" w14:paraId="00000008">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reference to any Law includes a reference to that Law as amended, extended, consolidated or re-enacted from time to time;</w:t>
      </w:r>
    </w:p>
    <w:p w:rsidR="00000000" w:rsidDel="00000000" w:rsidP="00000000" w:rsidRDefault="00000000" w:rsidRPr="00000000" w14:paraId="00000009">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words "</w:t>
      </w:r>
      <w:r w:rsidDel="00000000" w:rsidR="00000000" w:rsidRPr="00000000">
        <w:rPr>
          <w:rFonts w:ascii="Arial" w:cs="Arial" w:eastAsia="Arial" w:hAnsi="Arial"/>
          <w:b w:val="1"/>
          <w:color w:val="000000"/>
          <w:sz w:val="24"/>
          <w:szCs w:val="24"/>
          <w:rtl w:val="0"/>
        </w:rPr>
        <w:t xml:space="preserve">including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other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in particular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for example</w:t>
      </w:r>
      <w:r w:rsidDel="00000000" w:rsidR="00000000" w:rsidRPr="00000000">
        <w:rPr>
          <w:rFonts w:ascii="Arial" w:cs="Arial" w:eastAsia="Arial" w:hAnsi="Arial"/>
          <w:color w:val="000000"/>
          <w:sz w:val="24"/>
          <w:szCs w:val="24"/>
          <w:rtl w:val="0"/>
        </w:rPr>
        <w:t xml:space="preserve">" and similar words shall not limit the generality of the preceding words and shall be construed as if they were immediately followed by the words "</w:t>
      </w:r>
      <w:r w:rsidDel="00000000" w:rsidR="00000000" w:rsidRPr="00000000">
        <w:rPr>
          <w:rFonts w:ascii="Arial" w:cs="Arial" w:eastAsia="Arial" w:hAnsi="Arial"/>
          <w:b w:val="1"/>
          <w:color w:val="000000"/>
          <w:sz w:val="24"/>
          <w:szCs w:val="24"/>
          <w:rtl w:val="0"/>
        </w:rPr>
        <w:t xml:space="preserve">without limitation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A">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writing</w:t>
      </w:r>
      <w:r w:rsidDel="00000000" w:rsidR="00000000" w:rsidRPr="00000000">
        <w:rPr>
          <w:rFonts w:ascii="Arial" w:cs="Arial" w:eastAsia="Arial" w:hAnsi="Arial"/>
          <w:color w:val="000000"/>
          <w:sz w:val="24"/>
          <w:szCs w:val="24"/>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000000" w:rsidDel="00000000" w:rsidP="00000000" w:rsidRDefault="00000000" w:rsidRPr="00000000" w14:paraId="0000000B">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representations</w:t>
      </w:r>
      <w:r w:rsidDel="00000000" w:rsidR="00000000" w:rsidRPr="00000000">
        <w:rPr>
          <w:rFonts w:ascii="Arial" w:cs="Arial" w:eastAsia="Arial" w:hAnsi="Arial"/>
          <w:color w:val="000000"/>
          <w:sz w:val="24"/>
          <w:szCs w:val="24"/>
          <w:rtl w:val="0"/>
        </w:rPr>
        <w:t xml:space="preserve">" shall be construed as references to present facts, to "</w:t>
      </w:r>
      <w:r w:rsidDel="00000000" w:rsidR="00000000" w:rsidRPr="00000000">
        <w:rPr>
          <w:rFonts w:ascii="Arial" w:cs="Arial" w:eastAsia="Arial" w:hAnsi="Arial"/>
          <w:b w:val="1"/>
          <w:color w:val="000000"/>
          <w:sz w:val="24"/>
          <w:szCs w:val="24"/>
          <w:rtl w:val="0"/>
        </w:rPr>
        <w:t xml:space="preserve">warranties</w:t>
      </w:r>
      <w:r w:rsidDel="00000000" w:rsidR="00000000" w:rsidRPr="00000000">
        <w:rPr>
          <w:rFonts w:ascii="Arial" w:cs="Arial" w:eastAsia="Arial" w:hAnsi="Arial"/>
          <w:color w:val="000000"/>
          <w:sz w:val="24"/>
          <w:szCs w:val="24"/>
          <w:rtl w:val="0"/>
        </w:rPr>
        <w:t xml:space="preserve">" as references to present and future facts and to "</w:t>
      </w:r>
      <w:r w:rsidDel="00000000" w:rsidR="00000000" w:rsidRPr="00000000">
        <w:rPr>
          <w:rFonts w:ascii="Arial" w:cs="Arial" w:eastAsia="Arial" w:hAnsi="Arial"/>
          <w:b w:val="1"/>
          <w:color w:val="000000"/>
          <w:sz w:val="24"/>
          <w:szCs w:val="24"/>
          <w:rtl w:val="0"/>
        </w:rPr>
        <w:t xml:space="preserve">undertakings"</w:t>
      </w:r>
      <w:r w:rsidDel="00000000" w:rsidR="00000000" w:rsidRPr="00000000">
        <w:rPr>
          <w:rFonts w:ascii="Arial" w:cs="Arial" w:eastAsia="Arial" w:hAnsi="Arial"/>
          <w:color w:val="000000"/>
          <w:sz w:val="24"/>
          <w:szCs w:val="24"/>
          <w:rtl w:val="0"/>
        </w:rPr>
        <w:t xml:space="preserve"> as references to obligations under the Contract; </w:t>
      </w:r>
    </w:p>
    <w:p w:rsidR="00000000" w:rsidDel="00000000" w:rsidP="00000000" w:rsidRDefault="00000000" w:rsidRPr="00000000" w14:paraId="0000000C">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"Clauses"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b w:val="1"/>
          <w:color w:val="000000"/>
          <w:sz w:val="24"/>
          <w:szCs w:val="24"/>
          <w:rtl w:val="0"/>
        </w:rPr>
        <w:t xml:space="preserve">"Schedules"</w:t>
      </w:r>
      <w:r w:rsidDel="00000000" w:rsidR="00000000" w:rsidRPr="00000000">
        <w:rPr>
          <w:rFonts w:ascii="Arial" w:cs="Arial" w:eastAsia="Arial" w:hAnsi="Arial"/>
          <w:color w:val="000000"/>
          <w:sz w:val="24"/>
          <w:szCs w:val="24"/>
          <w:rtl w:val="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000000" w:rsidDel="00000000" w:rsidP="00000000" w:rsidRDefault="00000000" w:rsidRPr="00000000" w14:paraId="0000000D">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"Paragraphs"</w:t>
      </w:r>
      <w:r w:rsidDel="00000000" w:rsidR="00000000" w:rsidRPr="00000000">
        <w:rPr>
          <w:rFonts w:ascii="Arial" w:cs="Arial" w:eastAsia="Arial" w:hAnsi="Arial"/>
          <w:color w:val="000000"/>
          <w:sz w:val="24"/>
          <w:szCs w:val="24"/>
          <w:rtl w:val="0"/>
        </w:rPr>
        <w:t xml:space="preserve"> are, unless otherwise provided, references to the paragraph of the appropriate Schedules unless otherwise provided; </w:t>
      </w:r>
    </w:p>
    <w:p w:rsidR="00000000" w:rsidDel="00000000" w:rsidP="00000000" w:rsidRDefault="00000000" w:rsidRPr="00000000" w14:paraId="0000000E">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series of Clauses or Paragraphs shall be inclusive of the clause numbers specified;</w:t>
      </w:r>
    </w:p>
    <w:p w:rsidR="00000000" w:rsidDel="00000000" w:rsidP="00000000" w:rsidRDefault="00000000" w:rsidRPr="00000000" w14:paraId="0000000F">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headings in each Contract are for ease of reference only and shall not affect the interpretation or construction of a Contract; </w:t>
      </w:r>
    </w:p>
    <w:p w:rsidR="00000000" w:rsidDel="00000000" w:rsidP="00000000" w:rsidRDefault="00000000" w:rsidRPr="00000000" w14:paraId="00000010">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Buyer is a Central Government Body it shall be treated as contracting with the Crown as a whole;</w:t>
      </w:r>
    </w:p>
    <w:p w:rsidR="00000000" w:rsidDel="00000000" w:rsidP="00000000" w:rsidRDefault="00000000" w:rsidRPr="00000000" w14:paraId="00000011">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reference in a Contract which immediately before Exit Day is a reference to (as it has effect from time to time):</w:t>
      </w:r>
    </w:p>
    <w:p w:rsidR="00000000" w:rsidDel="00000000" w:rsidP="00000000" w:rsidRDefault="00000000" w:rsidRPr="00000000" w14:paraId="00000012">
      <w:pPr>
        <w:numPr>
          <w:ilvl w:val="3"/>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2694"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regulation, EU decision, EU tertiary legislation or provision of the EEA agreement (“</w:t>
      </w:r>
      <w:r w:rsidDel="00000000" w:rsidR="00000000" w:rsidRPr="00000000">
        <w:rPr>
          <w:rFonts w:ascii="Arial" w:cs="Arial" w:eastAsia="Arial" w:hAnsi="Arial"/>
          <w:b w:val="1"/>
          <w:color w:val="000000"/>
          <w:sz w:val="24"/>
          <w:szCs w:val="24"/>
          <w:rtl w:val="0"/>
        </w:rPr>
        <w:t xml:space="preserve">EU References</w:t>
      </w:r>
      <w:r w:rsidDel="00000000" w:rsidR="00000000" w:rsidRPr="00000000">
        <w:rPr>
          <w:rFonts w:ascii="Arial" w:cs="Arial" w:eastAsia="Arial" w:hAnsi="Arial"/>
          <w:color w:val="000000"/>
          <w:sz w:val="24"/>
          <w:szCs w:val="24"/>
          <w:rtl w:val="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000000" w:rsidDel="00000000" w:rsidP="00000000" w:rsidRDefault="00000000" w:rsidRPr="00000000" w14:paraId="00000013">
      <w:pPr>
        <w:numPr>
          <w:ilvl w:val="3"/>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2694"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institution or EU authority or other such EU body shall be read on and after Exit Day as a reference to the UK institution, authority or body to which its functions were transferred; and</w:t>
      </w:r>
    </w:p>
    <w:p w:rsidR="00000000" w:rsidDel="00000000" w:rsidP="00000000" w:rsidRDefault="00000000" w:rsidRPr="00000000" w14:paraId="00000014">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color w:val="000000"/>
          <w:sz w:val="24"/>
          <w:szCs w:val="24"/>
          <w:rtl w:val="0"/>
        </w:rPr>
        <w:t xml:space="preserve">” shall be construed as including Exempt Buyers; and</w:t>
      </w:r>
    </w:p>
    <w:p w:rsidR="00000000" w:rsidDel="00000000" w:rsidP="00000000" w:rsidRDefault="00000000" w:rsidRPr="00000000" w14:paraId="00000015">
      <w:pPr>
        <w:numPr>
          <w:ilvl w:val="2"/>
          <w:numId w:val="19"/>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993"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Call-Off Contract</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Contract</w:t>
      </w:r>
      <w:r w:rsidDel="00000000" w:rsidR="00000000" w:rsidRPr="00000000">
        <w:rPr>
          <w:rFonts w:ascii="Arial" w:cs="Arial" w:eastAsia="Arial" w:hAnsi="Arial"/>
          <w:color w:val="000000"/>
          <w:sz w:val="24"/>
          <w:szCs w:val="24"/>
          <w:rtl w:val="0"/>
        </w:rPr>
        <w:t xml:space="preserve">” shall be construed as including Exempt Call-off Contracts.</w:t>
      </w:r>
    </w:p>
    <w:p w:rsidR="00000000" w:rsidDel="00000000" w:rsidP="00000000" w:rsidRDefault="00000000" w:rsidRPr="00000000" w14:paraId="00000016">
      <w:pPr>
        <w:keepNext w:val="1"/>
        <w:numPr>
          <w:ilvl w:val="1"/>
          <w:numId w:val="19"/>
        </w:numPr>
        <w:pBdr>
          <w:top w:space="0" w:sz="0" w:val="nil"/>
          <w:left w:space="0" w:sz="0" w:val="nil"/>
          <w:bottom w:space="0" w:sz="0" w:val="nil"/>
          <w:right w:space="0" w:sz="0" w:val="nil"/>
          <w:between w:space="0" w:sz="0" w:val="nil"/>
        </w:pBdr>
        <w:tabs>
          <w:tab w:val="left" w:pos="1134"/>
        </w:tabs>
        <w:spacing w:after="120" w:before="120" w:line="240" w:lineRule="auto"/>
        <w:ind w:left="28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 the following words shall have the following meanings:</w:t>
      </w:r>
    </w:p>
    <w:p w:rsidR="00000000" w:rsidDel="00000000" w:rsidP="00000000" w:rsidRDefault="00000000" w:rsidRPr="00000000" w14:paraId="00000017">
      <w:pPr>
        <w:keepNext w:val="1"/>
        <w:pBdr>
          <w:top w:space="0" w:sz="0" w:val="nil"/>
          <w:left w:space="0" w:sz="0" w:val="nil"/>
          <w:bottom w:space="0" w:sz="0" w:val="nil"/>
          <w:right w:space="0" w:sz="0" w:val="nil"/>
          <w:between w:space="0" w:sz="0" w:val="nil"/>
        </w:pBdr>
        <w:tabs>
          <w:tab w:val="left" w:pos="1134"/>
        </w:tabs>
        <w:spacing w:after="120" w:before="120" w:line="240" w:lineRule="auto"/>
        <w:ind w:left="567" w:hanging="567"/>
        <w:jc w:val="both"/>
        <w:rPr>
          <w:rFonts w:ascii="Arial" w:cs="Arial" w:eastAsia="Arial" w:hAnsi="Arial"/>
          <w:color w:val="000000"/>
          <w:sz w:val="24"/>
          <w:szCs w:val="24"/>
        </w:rPr>
      </w:pPr>
      <w:r w:rsidDel="00000000" w:rsidR="00000000" w:rsidRPr="00000000">
        <w:rPr>
          <w:rtl w:val="0"/>
        </w:rPr>
      </w:r>
    </w:p>
    <w:tbl>
      <w:tblPr>
        <w:tblStyle w:val="Table1"/>
        <w:tblW w:w="9747.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7342"/>
        <w:tblGridChange w:id="0">
          <w:tblGrid>
            <w:gridCol w:w="2405"/>
            <w:gridCol w:w="7342"/>
          </w:tblGrid>
        </w:tblGridChange>
      </w:tblGrid>
      <w:t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Absolute Exemption</w:t>
            </w: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if information is captured by one of these there is no obligation under the Freedom of Information Act for the Buyers to release the Sensitive information identified within the  Record and is therefore not subject to undertaking the Public  Interest Test. </w:t>
            </w:r>
            <w:r w:rsidDel="00000000" w:rsidR="00000000" w:rsidRPr="00000000">
              <w:rPr>
                <w:rtl w:val="0"/>
              </w:rPr>
            </w:r>
          </w:p>
        </w:tc>
      </w:tr>
      <w:t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Account Management</w:t>
            </w: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Supplier’s nominated person who is responsible for ensuring the successful delivery of Suppliers Record Management Service to Buyers.</w:t>
            </w:r>
            <w:r w:rsidDel="00000000" w:rsidR="00000000" w:rsidRPr="00000000">
              <w:rPr>
                <w:rtl w:val="0"/>
              </w:rPr>
            </w:r>
          </w:p>
        </w:tc>
      </w:tr>
      <w:t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bookmarkStart w:colFirst="0" w:colLast="0" w:name="_heading=h.1fob9te" w:id="2"/>
            <w:bookmarkEnd w:id="2"/>
            <w:r w:rsidDel="00000000" w:rsidR="00000000" w:rsidRPr="00000000">
              <w:rPr>
                <w:rFonts w:ascii="Arial" w:cs="Arial" w:eastAsia="Arial" w:hAnsi="Arial"/>
                <w:b w:val="1"/>
                <w:color w:val="000000"/>
                <w:sz w:val="24"/>
                <w:szCs w:val="24"/>
                <w:rtl w:val="0"/>
              </w:rPr>
              <w:t xml:space="preserve">Achieve</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 Test, to successfully pass such Test without any Test Issues and in respect of a Milestone, the issue of a Satisfaction Certificate in respect of that Milestone and "</w:t>
            </w:r>
            <w:r w:rsidDel="00000000" w:rsidR="00000000" w:rsidRPr="00000000">
              <w:rPr>
                <w:rFonts w:ascii="Arial" w:cs="Arial" w:eastAsia="Arial" w:hAnsi="Arial"/>
                <w:b w:val="1"/>
                <w:color w:val="000000"/>
                <w:sz w:val="24"/>
                <w:szCs w:val="24"/>
                <w:rtl w:val="0"/>
              </w:rPr>
              <w:t xml:space="preserve">Achieved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Achieving</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Achievement</w:t>
            </w:r>
            <w:r w:rsidDel="00000000" w:rsidR="00000000" w:rsidRPr="00000000">
              <w:rPr>
                <w:rFonts w:ascii="Arial" w:cs="Arial" w:eastAsia="Arial" w:hAnsi="Arial"/>
                <w:color w:val="000000"/>
                <w:sz w:val="24"/>
                <w:szCs w:val="24"/>
                <w:rtl w:val="0"/>
              </w:rPr>
              <w:t xml:space="preserve">" shall be construed accordingly;</w:t>
            </w:r>
          </w:p>
        </w:tc>
      </w:tr>
      <w:t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Action Plan</w:t>
            </w: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document that lists what steps must be taken in order to achieve a specific goal. The purpose of an Action Plan is to clarify what resources are required to reach the goal, formulate a timeline for when specific tasks need to be completed and determine what resources are require.</w:t>
            </w:r>
            <w:r w:rsidDel="00000000" w:rsidR="00000000" w:rsidRPr="00000000">
              <w:rPr>
                <w:rtl w:val="0"/>
              </w:rPr>
            </w:r>
          </w:p>
        </w:tc>
      </w:tr>
      <w:t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bookmarkStart w:colFirst="0" w:colLast="0" w:name="_heading=h.gjdgxs" w:id="3"/>
            <w:bookmarkEnd w:id="3"/>
            <w:r w:rsidDel="00000000" w:rsidR="00000000" w:rsidRPr="00000000">
              <w:rPr>
                <w:rFonts w:ascii="Arial" w:cs="Arial" w:eastAsia="Arial" w:hAnsi="Arial"/>
                <w:b w:val="1"/>
                <w:sz w:val="24"/>
                <w:szCs w:val="24"/>
                <w:rtl w:val="0"/>
              </w:rPr>
              <w:t xml:space="preserve">Active Records</w:t>
            </w: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Record which is still actively being used and are usually referenced to on a daily or monthly basis.</w:t>
            </w:r>
            <w:r w:rsidDel="00000000" w:rsidR="00000000" w:rsidRPr="00000000">
              <w:rPr>
                <w:rtl w:val="0"/>
              </w:rPr>
            </w:r>
          </w:p>
        </w:tc>
      </w:tr>
      <w:t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Appraisal and Selection</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identification of Records containing historical information and selecting those Records for permanent preservation</w:t>
            </w:r>
            <w:r w:rsidDel="00000000" w:rsidR="00000000" w:rsidRPr="00000000">
              <w:rPr>
                <w:rtl w:val="0"/>
              </w:rPr>
            </w:r>
          </w:p>
        </w:tc>
      </w:tr>
      <w:tr>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Additional Insurances</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insurance requirements relating to a Call-Off Contract specified in the Order Form additional to those outlined in Joint Schedule 3 (Insurance Requirements); </w:t>
            </w:r>
          </w:p>
        </w:tc>
      </w:tr>
      <w:t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Admin Fee</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costs incurred by CCS in dealing with MI Failures calculated in accordance with the tariff of administration charges published by the CCS on: http://CCS.cabinetoffice.gov.uk/i-am-supplier/management-information/admin-fees;</w:t>
            </w:r>
          </w:p>
        </w:tc>
      </w:tr>
      <w:t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Affected Party</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seeking to claim relief in respect of a Force Majeure Event;</w:t>
            </w:r>
          </w:p>
        </w:tc>
      </w:tr>
      <w:tr>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Affiliates</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body corporate, any other entity which directly or indirectly Controls, is Controlled by, or is under direct or indirect common Control of that body corporate from time to time;</w:t>
            </w:r>
          </w:p>
        </w:tc>
      </w:tr>
      <w:t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Annex</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extra information which supports a Schedule;</w:t>
            </w:r>
          </w:p>
        </w:tc>
      </w:tr>
      <w:t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Approval</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prior written consent of the Buyer and "</w:t>
            </w:r>
            <w:r w:rsidDel="00000000" w:rsidR="00000000" w:rsidRPr="00000000">
              <w:rPr>
                <w:rFonts w:ascii="Arial" w:cs="Arial" w:eastAsia="Arial" w:hAnsi="Arial"/>
                <w:b w:val="1"/>
                <w:color w:val="000000"/>
                <w:sz w:val="24"/>
                <w:szCs w:val="24"/>
                <w:rtl w:val="0"/>
              </w:rPr>
              <w:t xml:space="preserve">Approve</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Approved</w:t>
            </w:r>
            <w:r w:rsidDel="00000000" w:rsidR="00000000" w:rsidRPr="00000000">
              <w:rPr>
                <w:rFonts w:ascii="Arial" w:cs="Arial" w:eastAsia="Arial" w:hAnsi="Arial"/>
                <w:color w:val="000000"/>
                <w:sz w:val="24"/>
                <w:szCs w:val="24"/>
                <w:rtl w:val="0"/>
              </w:rPr>
              <w:t xml:space="preserve">" shall be construed accordingly;</w:t>
            </w:r>
          </w:p>
        </w:tc>
      </w:tr>
      <w:t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right to: </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of the Charges and any other amounts payable by a Buyer under a Call-Off Contract (including proposed or actual variations to them in accordance with the Contract); </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costs of the Supplier (including the costs of all Subcontractors and any third party suppliers) in connection with the provision of the Services;</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Open Book Data;</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Supplier’s and each Subcontractor’s compliance with the applicable Law;</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any circumstances which may impact upon the financial stability of the Supplier, any Guarantor, and/or any Subcontractors or their ability to provide the Deliverables;</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any books of account and the internal contract management accounts kept by the Supplier in connection with each Contract;</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carry out the Relevant Authority’s internal and statutory audits and to prepare, examine and/or certify the Relevant Authority's annual and interim reports and accounts;</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enable the National Audit Office to carry out an examination pursuant to Section 6(1) of the National Audit Act 1983 of the economy, efficiency and effectiveness with which the Relevant Authority has used its resources; or</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and completeness of any Management Information delivered or required by the Framework Contract;</w:t>
            </w:r>
          </w:p>
        </w:tc>
      </w:tr>
      <w:t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Auditor</w:t>
            </w:r>
          </w:p>
        </w:tc>
        <w:tc>
          <w:tcPr/>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tabs>
                <w:tab w:val="left" w:pos="-179"/>
                <w:tab w:val="left" w:pos="-9"/>
              </w:tabs>
              <w:spacing w:after="120" w:lineRule="auto"/>
              <w:ind w:left="501" w:hanging="33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internal and external auditors;</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statutory or regulatory auditors;</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Comptroller and Auditor General, their staff and/or any appointed representatives of the National Audit Office;</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 Treasury or the Cabinet Office;</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party formally appointed by the Buyer to carry out audit or similar review functions; and</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tabs>
                <w:tab w:val="left" w:pos="-179"/>
                <w:tab w:val="left"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successors or assigns of any of the above;</w:t>
            </w:r>
          </w:p>
        </w:tc>
      </w:tr>
      <w:tr>
        <w:trPr>
          <w:trHeight w:val="601" w:hRule="atLeast"/>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w:t>
            </w:r>
          </w:p>
        </w:tc>
        <w:tc>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CCS and each Buyer;</w:t>
            </w:r>
          </w:p>
        </w:tc>
      </w:tr>
      <w:tr>
        <w:tc>
          <w:tcPr/>
          <w:p w:rsidR="00000000" w:rsidDel="00000000" w:rsidP="00000000" w:rsidRDefault="00000000" w:rsidRPr="00000000" w14:paraId="00000046">
            <w:pPr>
              <w:pBdr>
                <w:top w:space="0" w:sz="0" w:val="nil"/>
                <w:left w:space="0" w:sz="0" w:val="nil"/>
                <w:bottom w:space="0" w:sz="0" w:val="nil"/>
                <w:right w:space="0" w:sz="0" w:val="nil"/>
                <w:between w:space="0" w:sz="0" w:val="nil"/>
              </w:pBdr>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 Cause</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BACS</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Bankers’ Automated Clearing Services, which is a scheme for the electronic processing of financial transactions within the United Kingdom;</w:t>
            </w:r>
          </w:p>
        </w:tc>
      </w:tr>
      <w:t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having (or claiming to have) the benefit of an indemnity under this Contract;</w:t>
            </w:r>
          </w:p>
        </w:tc>
      </w:tr>
      <w:tr>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Bulk</w:t>
            </w: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large amount of Records or Data</w:t>
            </w:r>
            <w:r w:rsidDel="00000000" w:rsidR="00000000" w:rsidRPr="00000000">
              <w:rPr>
                <w:rtl w:val="0"/>
              </w:rPr>
            </w:r>
          </w:p>
        </w:tc>
      </w:tr>
      <w:t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Bulk Scanning</w:t>
            </w: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 agreement between Buyers and the Supplier to undertake specified Scanning project within a specified timeframe. </w:t>
            </w:r>
            <w:r w:rsidDel="00000000" w:rsidR="00000000" w:rsidRPr="00000000">
              <w:rPr>
                <w:rtl w:val="0"/>
              </w:rPr>
            </w:r>
          </w:p>
        </w:tc>
      </w:tr>
      <w:t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public sector purchaser identified as such in the Order Form;</w:t>
            </w:r>
          </w:p>
        </w:tc>
      </w:tr>
      <w:tr>
        <w:tc>
          <w:tcPr/>
          <w:p w:rsidR="00000000" w:rsidDel="00000000" w:rsidP="00000000" w:rsidRDefault="00000000" w:rsidRPr="00000000" w14:paraId="00000052">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Assets</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Authorised Representative</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Buyer from time to time in relation to the Call-Off Contract initially identified in the Order Form;</w:t>
            </w:r>
          </w:p>
        </w:tc>
      </w:tr>
      <w:tr>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Premises</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premises owned, controlled or occupied by the Buyer which are made available for use by the Supplier or its Subcontractors for the provision of the Deliverables (or any of them);</w:t>
            </w:r>
          </w:p>
        </w:tc>
      </w:tr>
      <w:tr>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between the Buyer and the Supplier (entered into pursuant to the provisions of the Framework Contract), which consists of the terms set out and referred to in the Order Form;</w:t>
            </w:r>
          </w:p>
        </w:tc>
      </w:tr>
      <w:tr>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Call Off Contract Manager</w:t>
            </w: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Supplier's Contract Manager appointed to manage the Buyer’s contract. </w:t>
            </w:r>
            <w:r w:rsidDel="00000000" w:rsidR="00000000" w:rsidRPr="00000000">
              <w:rPr>
                <w:rtl w:val="0"/>
              </w:rPr>
            </w:r>
          </w:p>
        </w:tc>
      </w:tr>
      <w:tr>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 Period</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Period in respect of the Call-Off Contract;</w:t>
            </w:r>
          </w:p>
        </w:tc>
      </w:tr>
      <w:tr>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Expiry Date</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a Call-Off Contract as stated in the Order Form;</w:t>
            </w:r>
          </w:p>
        </w:tc>
      </w:tr>
      <w:tr>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Incorporated Terms</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Call-Off Contract specified under the relevant heading in the Order Form;</w:t>
            </w:r>
          </w:p>
        </w:tc>
      </w:tr>
      <w:t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Initial Period</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Period of a Call-Off Contract specified in the Order Form;</w:t>
            </w:r>
          </w:p>
        </w:tc>
      </w:tr>
      <w:tr>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Optional Extension Period</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Call-Off Initial Period may be extended as specified in the Order Form;</w:t>
            </w:r>
          </w:p>
        </w:tc>
      </w:tr>
      <w:tr>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Procedure</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for awarding a Call-Off Contract pursuant to Clause 2 (How the contract works) and Framework Schedule 7 (Call-Off Award Procedure);</w:t>
            </w:r>
          </w:p>
        </w:tc>
      </w:tr>
      <w:t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Special Terms</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Order Form incorporated into the applicable Call-Off Contract; </w:t>
            </w:r>
          </w:p>
        </w:tc>
      </w:tr>
      <w:t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Start Date</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a Call-Off Contract as stated in the Order Form;</w:t>
            </w:r>
          </w:p>
        </w:tc>
      </w:tr>
      <w:tr>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Tender</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in response to the Buyer’s Statement of Requirements following a Further Competition Procedure and set out at Call-Off Schedule 4 (Call-Off Tender);</w:t>
            </w:r>
          </w:p>
        </w:tc>
      </w:tr>
      <w:t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Cataloguer</w:t>
            </w: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8"/>
                <w:szCs w:val="28"/>
              </w:rPr>
            </w:pPr>
            <w:r w:rsidDel="00000000" w:rsidR="00000000" w:rsidRPr="00000000">
              <w:rPr>
                <w:rFonts w:ascii="Arial" w:cs="Arial" w:eastAsia="Arial" w:hAnsi="Arial"/>
                <w:sz w:val="28"/>
                <w:szCs w:val="28"/>
                <w:rtl w:val="0"/>
              </w:rPr>
              <w:t xml:space="preserve">means Supplier Personnel which shall extract information from a specific Record bringing to a specific standard and determining the description for a Record from which Metadata can be searched later using descriptions from within catalogues.</w:t>
            </w:r>
            <w:r w:rsidDel="00000000" w:rsidR="00000000" w:rsidRPr="00000000">
              <w:rPr>
                <w:rtl w:val="0"/>
              </w:rPr>
            </w:r>
          </w:p>
        </w:tc>
      </w:tr>
      <w:t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Cataloguer Project Manager</w:t>
            </w: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8"/>
                <w:szCs w:val="28"/>
              </w:rPr>
            </w:pPr>
            <w:r w:rsidDel="00000000" w:rsidR="00000000" w:rsidRPr="00000000">
              <w:rPr>
                <w:rFonts w:ascii="Arial" w:cs="Arial" w:eastAsia="Arial" w:hAnsi="Arial"/>
                <w:sz w:val="28"/>
                <w:szCs w:val="28"/>
                <w:rtl w:val="0"/>
              </w:rPr>
              <w:t xml:space="preserve">means the Project Manager who oversees the Cataloguer</w:t>
            </w:r>
            <w:r w:rsidDel="00000000" w:rsidR="00000000" w:rsidRPr="00000000">
              <w:rPr>
                <w:rtl w:val="0"/>
              </w:rPr>
            </w:r>
          </w:p>
        </w:tc>
      </w:tr>
      <w:t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Catalogue Service Cataloguing Service</w:t>
            </w: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8"/>
                <w:szCs w:val="28"/>
              </w:rPr>
            </w:pPr>
            <w:r w:rsidDel="00000000" w:rsidR="00000000" w:rsidRPr="00000000">
              <w:rPr>
                <w:rFonts w:ascii="Arial" w:cs="Arial" w:eastAsia="Arial" w:hAnsi="Arial"/>
                <w:sz w:val="28"/>
                <w:szCs w:val="28"/>
                <w:rtl w:val="0"/>
              </w:rPr>
              <w:t xml:space="preserve">means the process of extracting information form a specific Record and bringing a listing to a specific standard, determining a description for that Record from which metadata can then be searched later using descriptions and titles.</w:t>
            </w:r>
            <w:r w:rsidDel="00000000" w:rsidR="00000000" w:rsidRPr="00000000">
              <w:rPr>
                <w:rtl w:val="0"/>
              </w:rPr>
            </w:r>
          </w:p>
        </w:tc>
      </w:tr>
      <w:t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Authorised Representative</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CCS from time to time in relation to the Framework Contract initially identified in the Framework Award Form;</w:t>
            </w:r>
          </w:p>
        </w:tc>
      </w:tr>
      <w:tr>
        <w:tc>
          <w:tcPr/>
          <w:p w:rsidR="00000000" w:rsidDel="00000000" w:rsidP="00000000" w:rsidRDefault="00000000" w:rsidRPr="00000000" w14:paraId="00000078">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Central Government Body</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7A">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Government Department;</w:t>
            </w:r>
          </w:p>
          <w:p w:rsidR="00000000" w:rsidDel="00000000" w:rsidP="00000000" w:rsidRDefault="00000000" w:rsidRPr="00000000" w14:paraId="0000007B">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Non-Departmental Public Body or Assembly Sponsored Public Body (advisory, executive, or tribunal);</w:t>
            </w:r>
          </w:p>
          <w:p w:rsidR="00000000" w:rsidDel="00000000" w:rsidP="00000000" w:rsidRDefault="00000000" w:rsidRPr="00000000" w14:paraId="0000007C">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Non-Ministerial Department; or</w:t>
            </w:r>
          </w:p>
          <w:p w:rsidR="00000000" w:rsidDel="00000000" w:rsidP="00000000" w:rsidRDefault="00000000" w:rsidRPr="00000000" w14:paraId="0000007D">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Executive Agency;</w:t>
            </w:r>
          </w:p>
        </w:tc>
      </w:tr>
      <w:tr>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in Law</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in Law which impacts on the supply of the Deliverables and performance of the Contract which comes into force after the Start Date;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of Control</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of control within the meaning of Section 450 of the Corporation Tax Act 2010;</w:t>
            </w:r>
          </w:p>
        </w:tc>
      </w:tr>
      <w:tr>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Charges</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w:t>
            </w:r>
          </w:p>
        </w:tc>
      </w:tr>
      <w:tr>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Civil Service Year Books</w:t>
            </w: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 annual reference guide to the British Civil Service and Non-Departmental Buyer. </w:t>
            </w:r>
            <w:r w:rsidDel="00000000" w:rsidR="00000000" w:rsidRPr="00000000">
              <w:rPr>
                <w:rtl w:val="0"/>
              </w:rPr>
            </w:r>
          </w:p>
        </w:tc>
      </w:tr>
      <w:tr>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Claim</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which it appears that a Beneficiary is, or may become, entitled to indemnification under this Contract;</w:t>
            </w:r>
          </w:p>
        </w:tc>
      </w:tr>
      <w:tr>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Clinic</w:t>
            </w:r>
            <w:r w:rsidDel="00000000" w:rsidR="00000000" w:rsidRPr="00000000">
              <w:rPr>
                <w:rtl w:val="0"/>
              </w:rPr>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location or department within a hospital designed for treatment of outpatients.</w:t>
            </w:r>
            <w:r w:rsidDel="00000000" w:rsidR="00000000" w:rsidRPr="00000000">
              <w:rPr>
                <w:rtl w:val="0"/>
              </w:rPr>
            </w:r>
          </w:p>
        </w:tc>
      </w:tr>
      <w:tr>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Closed</w:t>
            </w: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Record shall be transferred to The National Archives although withheld from release for a specified time as it is considered to contain Sensitive information which is protected by legal Exemption(s) and whose closure has been approved by the Secretary of State for Culture, Media and Sport on the advice of the Advisory Council on National Records and Archives (ACNRA).</w:t>
            </w:r>
            <w:r w:rsidDel="00000000" w:rsidR="00000000" w:rsidRPr="00000000">
              <w:rPr>
                <w:rtl w:val="0"/>
              </w:rPr>
            </w:r>
          </w:p>
        </w:tc>
      </w:tr>
      <w:tr>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Commercially Sensitive Information</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Supply</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supply of Deliverables to another Buyer of the Supplier that are the same or similar to the Deliverables;</w:t>
            </w:r>
          </w:p>
        </w:tc>
      </w:tr>
      <w:tr>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person(s) appointed by the Supplier who is responsible for ensuring that the Supplier complies with its legal obligations;</w:t>
            </w:r>
          </w:p>
        </w:tc>
      </w:tr>
      <w:tr>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Confidential Information</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Del="00000000" w:rsidR="00000000" w:rsidRPr="00000000">
              <w:rPr>
                <w:rFonts w:ascii="Arial" w:cs="Arial" w:eastAsia="Arial" w:hAnsi="Arial"/>
                <w:b w:val="1"/>
                <w:color w:val="000000"/>
                <w:sz w:val="24"/>
                <w:szCs w:val="24"/>
                <w:rtl w:val="0"/>
              </w:rPr>
              <w:t xml:space="preserve">"confidential"</w:t>
            </w:r>
            <w:r w:rsidDel="00000000" w:rsidR="00000000" w:rsidRPr="00000000">
              <w:rPr>
                <w:rFonts w:ascii="Arial" w:cs="Arial" w:eastAsia="Arial" w:hAnsi="Arial"/>
                <w:color w:val="000000"/>
                <w:sz w:val="24"/>
                <w:szCs w:val="24"/>
                <w:rtl w:val="0"/>
              </w:rPr>
              <w:t xml:space="preserve">) or which ought reasonably to be considered to be confidential;</w:t>
            </w:r>
          </w:p>
        </w:tc>
      </w:tr>
      <w:tr>
        <w:tc>
          <w:tcPr/>
          <w:p w:rsidR="00000000" w:rsidDel="00000000" w:rsidP="00000000" w:rsidRDefault="00000000" w:rsidRPr="00000000" w14:paraId="00000094">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Conflict of Interest</w:t>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conflict between the financial or personal duties of the Supplier or the Supplier Staff and the duties owed to CCS or any Buyer under a Contract, in the reasonable opinion of the Buyer or CCS;</w:t>
            </w:r>
          </w:p>
        </w:tc>
      </w:tr>
      <w:tr>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Consumables</w:t>
            </w: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goods that need to be replenished in accordance with this Framework Schedule 2.  </w:t>
            </w:r>
            <w:r w:rsidDel="00000000" w:rsidR="00000000" w:rsidRPr="00000000">
              <w:rPr>
                <w:rtl w:val="0"/>
              </w:rPr>
            </w:r>
          </w:p>
        </w:tc>
      </w:tr>
      <w:tr>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either the Framework Contract or the Call-Off Contract, as the context requires;</w:t>
            </w:r>
          </w:p>
        </w:tc>
      </w:tr>
      <w:tr>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Contract Manager</w:t>
            </w:r>
            <w:r w:rsidDel="00000000" w:rsidR="00000000" w:rsidRPr="00000000">
              <w:rPr>
                <w:rtl w:val="0"/>
              </w:rPr>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to Buyers on a minimum of a monthly and quarterly basis detailing any key issues or risks which the Supplier feels the Authority (Framework Contract level) or Buyer’s (Call Off Contract level) should be aware of and progress against previously agreed key initiatives and actions.  </w:t>
            </w:r>
            <w:r w:rsidDel="00000000" w:rsidR="00000000" w:rsidRPr="00000000">
              <w:rPr>
                <w:rtl w:val="0"/>
              </w:rPr>
            </w:r>
          </w:p>
        </w:tc>
      </w:tr>
      <w:tr>
        <w:tc>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Period</w:t>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 of either a Framework Contract or Call-Off Contract on and from the earlier of the:</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applicable Start Date; or</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 Effective Date</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 to and including the applicable End Date; </w:t>
            </w:r>
          </w:p>
        </w:tc>
      </w:tr>
      <w:tr>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Value</w:t>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higher of the actual or expected total Charges paid or payable under a Contract where all obligations are met by the Supplier;</w:t>
            </w:r>
          </w:p>
        </w:tc>
      </w:tr>
      <w:tr>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Year</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consecutive period of twelve (12) Months commencing on the Start Date or each anniversary thereof;</w:t>
            </w:r>
          </w:p>
        </w:tc>
      </w:tr>
      <w:tr>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control in either of the senses defined in sections 450 and 1124 of the Corporation Tax Act 2010 and "</w:t>
            </w:r>
            <w:r w:rsidDel="00000000" w:rsidR="00000000" w:rsidRPr="00000000">
              <w:rPr>
                <w:rFonts w:ascii="Arial" w:cs="Arial" w:eastAsia="Arial" w:hAnsi="Arial"/>
                <w:b w:val="1"/>
                <w:color w:val="000000"/>
                <w:sz w:val="24"/>
                <w:szCs w:val="24"/>
                <w:rtl w:val="0"/>
              </w:rPr>
              <w:t xml:space="preserve">Controlled</w:t>
            </w:r>
            <w:r w:rsidDel="00000000" w:rsidR="00000000" w:rsidRPr="00000000">
              <w:rPr>
                <w:rFonts w:ascii="Arial" w:cs="Arial" w:eastAsia="Arial" w:hAnsi="Arial"/>
                <w:color w:val="000000"/>
                <w:sz w:val="24"/>
                <w:szCs w:val="24"/>
                <w:rtl w:val="0"/>
              </w:rPr>
              <w:t xml:space="preserve">" shall be construed accordingly;</w:t>
            </w:r>
          </w:p>
        </w:tc>
      </w:tr>
      <w:tr>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Controller</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GDPR;</w:t>
            </w:r>
          </w:p>
        </w:tc>
      </w:tr>
      <w:tr>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Core Terms</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179"/>
                <w:tab w:val="left"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standard terms and conditions for common goods and services which govern how Supplier must interact with CCS and Buyers under Framework Contracts and Call-Off Contracts;</w:t>
            </w:r>
          </w:p>
        </w:tc>
      </w:tr>
      <w:tr>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Costs</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costs (without double recovery) to the extent that they are reasonably and properly incurred by the Supplier in providing the Deliverables:</w:t>
            </w:r>
          </w:p>
          <w:p w:rsidR="00000000" w:rsidDel="00000000" w:rsidP="00000000" w:rsidRDefault="00000000" w:rsidRPr="00000000" w14:paraId="000000AD">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 to the Supplier or the Key Subcontractor (as the context requires), calculated per Work Day, of engaging the Supplier Staff, including:</w:t>
            </w:r>
          </w:p>
          <w:p w:rsidR="00000000" w:rsidDel="00000000" w:rsidP="00000000" w:rsidRDefault="00000000" w:rsidRPr="00000000" w14:paraId="000000AE">
            <w:pPr>
              <w:numPr>
                <w:ilvl w:val="2"/>
                <w:numId w:val="1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base salary paid to the Supplier Staff;</w:t>
            </w:r>
          </w:p>
          <w:p w:rsidR="00000000" w:rsidDel="00000000" w:rsidP="00000000" w:rsidRDefault="00000000" w:rsidRPr="00000000" w14:paraId="000000AF">
            <w:pPr>
              <w:numPr>
                <w:ilvl w:val="2"/>
                <w:numId w:val="1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employer’s National Insurance contributions;</w:t>
            </w:r>
          </w:p>
          <w:p w:rsidR="00000000" w:rsidDel="00000000" w:rsidP="00000000" w:rsidRDefault="00000000" w:rsidRPr="00000000" w14:paraId="000000B0">
            <w:pPr>
              <w:numPr>
                <w:ilvl w:val="2"/>
                <w:numId w:val="1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pension contributions;</w:t>
            </w:r>
          </w:p>
          <w:p w:rsidR="00000000" w:rsidDel="00000000" w:rsidP="00000000" w:rsidRDefault="00000000" w:rsidRPr="00000000" w14:paraId="000000B1">
            <w:pPr>
              <w:numPr>
                <w:ilvl w:val="2"/>
                <w:numId w:val="1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 allowances; </w:t>
            </w:r>
          </w:p>
          <w:p w:rsidR="00000000" w:rsidDel="00000000" w:rsidP="00000000" w:rsidRDefault="00000000" w:rsidRPr="00000000" w14:paraId="000000B2">
            <w:pPr>
              <w:numPr>
                <w:ilvl w:val="2"/>
                <w:numId w:val="1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contractual employment benefits;</w:t>
            </w:r>
          </w:p>
          <w:p w:rsidR="00000000" w:rsidDel="00000000" w:rsidP="00000000" w:rsidRDefault="00000000" w:rsidRPr="00000000" w14:paraId="000000B3">
            <w:pPr>
              <w:numPr>
                <w:ilvl w:val="2"/>
                <w:numId w:val="1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training;</w:t>
            </w:r>
          </w:p>
          <w:p w:rsidR="00000000" w:rsidDel="00000000" w:rsidP="00000000" w:rsidRDefault="00000000" w:rsidRPr="00000000" w14:paraId="000000B4">
            <w:pPr>
              <w:numPr>
                <w:ilvl w:val="2"/>
                <w:numId w:val="1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place accommodation;</w:t>
            </w:r>
          </w:p>
          <w:p w:rsidR="00000000" w:rsidDel="00000000" w:rsidP="00000000" w:rsidRDefault="00000000" w:rsidRPr="00000000" w14:paraId="000000B5">
            <w:pPr>
              <w:numPr>
                <w:ilvl w:val="2"/>
                <w:numId w:val="1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place IT equipment and tools reasonably necessary to provide the Deliverables (but not including items included within limb (b) below); and</w:t>
            </w:r>
          </w:p>
          <w:p w:rsidR="00000000" w:rsidDel="00000000" w:rsidP="00000000" w:rsidRDefault="00000000" w:rsidRPr="00000000" w14:paraId="000000B6">
            <w:pPr>
              <w:numPr>
                <w:ilvl w:val="2"/>
                <w:numId w:val="1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reasonable recruitment costs, as agreed with the Buyer; </w:t>
            </w:r>
          </w:p>
          <w:p w:rsidR="00000000" w:rsidDel="00000000" w:rsidP="00000000" w:rsidRDefault="00000000" w:rsidRPr="00000000" w14:paraId="000000B7">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000000" w:rsidDel="00000000" w:rsidP="00000000" w:rsidRDefault="00000000" w:rsidRPr="00000000" w14:paraId="000000B8">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operational costs which are not included within (a) or (b) above, to the extent that such costs are necessary and properly incurred by the Supplier in the provision of the Deliverables; and</w:t>
            </w:r>
          </w:p>
          <w:p w:rsidR="00000000" w:rsidDel="00000000" w:rsidP="00000000" w:rsidRDefault="00000000" w:rsidRPr="00000000" w14:paraId="000000B9">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Reimbursable Expenses to the extent these have been specified as allowable in the Order Form and are incurred in delivering any Deliverables;</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pos="-179"/>
                <w:tab w:val="left" w:pos="411"/>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but excluding:</w:t>
            </w:r>
          </w:p>
          <w:p w:rsidR="00000000" w:rsidDel="00000000" w:rsidP="00000000" w:rsidRDefault="00000000" w:rsidRPr="00000000" w14:paraId="000000BB">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Overhead;</w:t>
            </w:r>
          </w:p>
          <w:p w:rsidR="00000000" w:rsidDel="00000000" w:rsidP="00000000" w:rsidRDefault="00000000" w:rsidRPr="00000000" w14:paraId="000000BC">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financing or similar costs;</w:t>
            </w:r>
          </w:p>
          <w:p w:rsidR="00000000" w:rsidDel="00000000" w:rsidP="00000000" w:rsidRDefault="00000000" w:rsidRPr="00000000" w14:paraId="000000BD">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maintenance and support costs to the extent that these relate to maintenance and/or support Deliverables provided beyond the Call-Off Contract Period whether in relation to Supplier Assets or otherwise;</w:t>
            </w:r>
          </w:p>
          <w:p w:rsidR="00000000" w:rsidDel="00000000" w:rsidP="00000000" w:rsidRDefault="00000000" w:rsidRPr="00000000" w14:paraId="000000BE">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taxation;</w:t>
            </w:r>
          </w:p>
          <w:p w:rsidR="00000000" w:rsidDel="00000000" w:rsidP="00000000" w:rsidRDefault="00000000" w:rsidRPr="00000000" w14:paraId="000000BF">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fines and penalties;</w:t>
            </w:r>
          </w:p>
          <w:p w:rsidR="00000000" w:rsidDel="00000000" w:rsidP="00000000" w:rsidRDefault="00000000" w:rsidRPr="00000000" w14:paraId="000000C0">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amounts payable under Call-Off Schedule 16 (Benchmarking) where such Schedule is used; and</w:t>
            </w:r>
          </w:p>
          <w:p w:rsidR="00000000" w:rsidDel="00000000" w:rsidP="00000000" w:rsidRDefault="00000000" w:rsidRPr="00000000" w14:paraId="000000C1">
            <w:pPr>
              <w:numPr>
                <w:ilvl w:val="1"/>
                <w:numId w:val="1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non-cash items (including depreciation, amortisation, impairments and movements in provisions);</w:t>
            </w:r>
          </w:p>
        </w:tc>
      </w:tr>
      <w:tr>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CRTPA</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Rights of Third Parties Act 1999;</w:t>
            </w:r>
          </w:p>
        </w:tc>
      </w:tr>
      <w:tr>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Dashboard Report</w:t>
            </w: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high level performance report, utilising graphs and charts to indicate trends and variances in performance, covering a period to be specified. </w:t>
            </w:r>
            <w:r w:rsidDel="00000000" w:rsidR="00000000" w:rsidRPr="00000000">
              <w:rPr>
                <w:rtl w:val="0"/>
              </w:rPr>
            </w:r>
          </w:p>
        </w:tc>
      </w:tr>
      <w:tr>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Data </w:t>
            </w: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Data relating to Records within the Scanning Service (Off and/or On-Site).  </w:t>
            </w:r>
            <w:r w:rsidDel="00000000" w:rsidR="00000000" w:rsidRPr="00000000">
              <w:rPr>
                <w:rtl w:val="0"/>
              </w:rPr>
            </w:r>
          </w:p>
        </w:tc>
      </w:tr>
      <w:tr>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Impact Assessment</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by the Controller of the impact of the envisaged Processing on the protection of Personal Data;</w:t>
            </w:r>
          </w:p>
        </w:tc>
      </w:tr>
      <w:tr>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Legislation</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GDPR, the LED and any applicable national implementing Laws as amended from time to time (ii) the DPA 2018 to the extent that it relates to Processing of personal data and privacy; (iii) all applicable Law about the Processing of personal data and privacy;</w:t>
            </w:r>
          </w:p>
        </w:tc>
      </w:tr>
      <w:tr>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 specified in the Framework Award Form;</w:t>
            </w:r>
          </w:p>
        </w:tc>
      </w:tr>
      <w:tr>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Officer</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GDPR;</w:t>
            </w:r>
          </w:p>
        </w:tc>
      </w:tr>
      <w:tr>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GDPR;</w:t>
            </w:r>
          </w:p>
        </w:tc>
      </w:tr>
      <w:tr>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 Access Request</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made by, or on behalf of, a Data Subject in accordance with rights granted pursuant to the Data Protection Legislation to access their Personal Data;</w:t>
            </w:r>
          </w:p>
        </w:tc>
      </w:tr>
      <w:tr>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Deductions</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Service Credits, Delay Payments (if applicable), or any other deduction which the Buyer is paid or is payable to the Buyer under a Call-Off Contract;</w:t>
            </w:r>
          </w:p>
        </w:tc>
      </w:tr>
      <w:tr>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 Management Charge</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8.1.1 of Framework Schedule 5 (Management Charges and Information);</w:t>
            </w:r>
          </w:p>
        </w:tc>
      </w:tr>
      <w:tr>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Delay Payments</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amounts (if any) payable by the Supplier to the Buyer in respect of a delay in respect of a Milestone as specified in the Implementation Plan;</w:t>
            </w:r>
          </w:p>
        </w:tc>
      </w:tr>
      <w:t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and/or Services that may be ordered under the Contract including the Documentation; </w:t>
            </w:r>
          </w:p>
        </w:tc>
      </w:tr>
      <w:tr>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Delivery</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Del="00000000" w:rsidR="00000000" w:rsidRPr="00000000">
              <w:rPr>
                <w:rFonts w:ascii="Arial" w:cs="Arial" w:eastAsia="Arial" w:hAnsi="Arial"/>
                <w:b w:val="1"/>
                <w:color w:val="000000"/>
                <w:sz w:val="24"/>
                <w:szCs w:val="24"/>
                <w:rtl w:val="0"/>
              </w:rPr>
              <w:t xml:space="preserve">Deliver</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Delivered</w:t>
            </w:r>
            <w:r w:rsidDel="00000000" w:rsidR="00000000" w:rsidRPr="00000000">
              <w:rPr>
                <w:rFonts w:ascii="Arial" w:cs="Arial" w:eastAsia="Arial" w:hAnsi="Arial"/>
                <w:color w:val="000000"/>
                <w:sz w:val="24"/>
                <w:szCs w:val="24"/>
                <w:rtl w:val="0"/>
              </w:rPr>
              <w:t xml:space="preserve">" shall be construed accordingly;</w:t>
            </w:r>
          </w:p>
        </w:tc>
      </w:tr>
      <w:tr>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Departmental Appraisal</w:t>
            </w:r>
            <w:r w:rsidDel="00000000" w:rsidR="00000000" w:rsidRPr="00000000">
              <w:rPr>
                <w:rtl w:val="0"/>
              </w:rPr>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process of identifying Records containing historical information by reviewing Records as per the Buyer’s organisational structure e.g. finance, HR and policy departments </w:t>
            </w:r>
            <w:r w:rsidDel="00000000" w:rsidR="00000000" w:rsidRPr="00000000">
              <w:rPr>
                <w:rtl w:val="0"/>
              </w:rPr>
            </w:r>
          </w:p>
        </w:tc>
      </w:tr>
      <w:t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Departmental Records Officer</w:t>
            </w: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Buyer’s representative who is responsible for all information the organisation creates and holds, and understands the value of that information from a business and legal perspective</w:t>
            </w:r>
            <w:r w:rsidDel="00000000" w:rsidR="00000000" w:rsidRPr="00000000">
              <w:rPr>
                <w:rtl w:val="0"/>
              </w:rPr>
            </w:r>
          </w:p>
        </w:tc>
      </w:tr>
      <w:tr>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Deputy Framework Manager</w:t>
            </w:r>
            <w:r w:rsidDel="00000000" w:rsidR="00000000" w:rsidRPr="00000000">
              <w:rPr>
                <w:rtl w:val="0"/>
              </w:rPr>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person(s) who deputises for the Framework Manager</w:t>
            </w:r>
            <w:r w:rsidDel="00000000" w:rsidR="00000000" w:rsidRPr="00000000">
              <w:rPr>
                <w:rtl w:val="0"/>
              </w:rPr>
            </w:r>
          </w:p>
        </w:tc>
      </w:tr>
      <w:tr>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Destruction</w:t>
            </w:r>
            <w:r w:rsidDel="00000000" w:rsidR="00000000" w:rsidRPr="00000000">
              <w:rPr>
                <w:rtl w:val="0"/>
              </w:rPr>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final stage whereby a Record which is no longer worthwhile or needed in terms of administrations, research or law is sorted and disposed of in accordance with set procedures. </w:t>
            </w:r>
            <w:r w:rsidDel="00000000" w:rsidR="00000000" w:rsidRPr="00000000">
              <w:rPr>
                <w:rtl w:val="0"/>
              </w:rPr>
            </w:r>
          </w:p>
        </w:tc>
      </w:tr>
      <w:tr>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Destruction Certificate</w:t>
            </w:r>
            <w:r w:rsidDel="00000000" w:rsidR="00000000" w:rsidRPr="00000000">
              <w:rPr>
                <w:rtl w:val="0"/>
              </w:rPr>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documentation which the Supplier is required to produce to accompany all Destructions (Physical or electronic, single Destruction or Bulk Destruction) of Buyers Records.  </w:t>
            </w:r>
            <w:r w:rsidDel="00000000" w:rsidR="00000000" w:rsidRPr="00000000">
              <w:rPr>
                <w:rtl w:val="0"/>
              </w:rPr>
            </w:r>
          </w:p>
        </w:tc>
      </w:tr>
      <w:tr>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Destruction Date</w:t>
            </w:r>
            <w:r w:rsidDel="00000000" w:rsidR="00000000" w:rsidRPr="00000000">
              <w:rPr>
                <w:rtl w:val="0"/>
              </w:rPr>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day, the month or the year upon which a Record which is no longer worthwhile or needed in terms of administrations, research or law is sorted and disposed of in accordance with set procedures. </w:t>
            </w:r>
            <w:r w:rsidDel="00000000" w:rsidR="00000000" w:rsidRPr="00000000">
              <w:rPr>
                <w:rtl w:val="0"/>
              </w:rPr>
            </w:r>
          </w:p>
        </w:tc>
      </w:tr>
      <w:tr>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Digital/ Digitising</w:t>
            </w:r>
            <w:r w:rsidDel="00000000" w:rsidR="00000000" w:rsidRPr="00000000">
              <w:rPr>
                <w:rtl w:val="0"/>
              </w:rPr>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(Records) means the process to convert a Records into a digital format  enabling it to be processed by a computer. </w:t>
            </w:r>
            <w:r w:rsidDel="00000000" w:rsidR="00000000" w:rsidRPr="00000000">
              <w:rPr>
                <w:rtl w:val="0"/>
              </w:rPr>
            </w:r>
          </w:p>
        </w:tc>
      </w:tr>
      <w:tr>
        <w:tc>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Dip Sample</w:t>
            </w:r>
            <w:r w:rsidDel="00000000" w:rsidR="00000000" w:rsidRPr="00000000">
              <w:rPr>
                <w:rtl w:val="0"/>
              </w:rPr>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selection of a random sample of Records </w:t>
            </w:r>
            <w:r w:rsidDel="00000000" w:rsidR="00000000" w:rsidRPr="00000000">
              <w:rPr>
                <w:rtl w:val="0"/>
              </w:rPr>
            </w:r>
          </w:p>
        </w:tc>
      </w:tr>
      <w:tr>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Disclosure and Barring Service (DBS)</w:t>
            </w:r>
            <w:r w:rsidDel="00000000" w:rsidR="00000000" w:rsidRPr="00000000">
              <w:rPr>
                <w:rtl w:val="0"/>
              </w:rPr>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Disclosure and Barring Service (DBS) which is a non departmental authority of the Home Office of the United  Kingdom. </w:t>
            </w:r>
            <w:r w:rsidDel="00000000" w:rsidR="00000000" w:rsidRPr="00000000">
              <w:rPr>
                <w:rtl w:val="0"/>
              </w:rPr>
            </w:r>
          </w:p>
        </w:tc>
      </w:tr>
      <w:tr>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Disclosing Party</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directly or indirectly providing Confidential Information to the other Party in accordance with Clause 15 (What you must keep confidential);</w:t>
            </w:r>
          </w:p>
        </w:tc>
      </w:tr>
      <w:tr>
        <w:tc>
          <w:tcPr/>
          <w:p w:rsidR="00000000" w:rsidDel="00000000" w:rsidP="00000000" w:rsidRDefault="00000000" w:rsidRPr="00000000" w14:paraId="000000F5">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Disposal</w:t>
            </w:r>
            <w:r w:rsidDel="00000000" w:rsidR="00000000" w:rsidRPr="00000000">
              <w:rPr>
                <w:rtl w:val="0"/>
              </w:rPr>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point in a Records lifecycle when they are either transferred to an archive or destroyed and is undertaken in accordance with clearly established policies which have been formerly adopted by Buyers.</w:t>
            </w:r>
            <w:r w:rsidDel="00000000" w:rsidR="00000000" w:rsidRPr="00000000">
              <w:rPr>
                <w:rtl w:val="0"/>
              </w:rPr>
            </w:r>
          </w:p>
        </w:tc>
      </w:tr>
      <w:tr>
        <w:tc>
          <w:tcPr/>
          <w:p w:rsidR="00000000" w:rsidDel="00000000" w:rsidP="00000000" w:rsidRDefault="00000000" w:rsidRPr="00000000" w14:paraId="000000F7">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w:t>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 Resolution Procedure</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dispute resolution procedure set out in Clause 34 (Resolving disputes);</w:t>
            </w:r>
          </w:p>
        </w:tc>
      </w:tr>
      <w:tr>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Documents Repository System (DRS)</w:t>
            </w:r>
            <w:r w:rsidDel="00000000" w:rsidR="00000000" w:rsidRPr="00000000">
              <w:rPr>
                <w:rtl w:val="0"/>
              </w:rPr>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system utilised by Buyers and the  Supplier to store and electronically re-call scanned records. The DRS stores and manages scanned Images, Records and other types  of documents.  </w:t>
            </w:r>
            <w:r w:rsidDel="00000000" w:rsidR="00000000" w:rsidRPr="00000000">
              <w:rPr>
                <w:rtl w:val="0"/>
              </w:rPr>
            </w:r>
          </w:p>
        </w:tc>
      </w:tr>
      <w:tr>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Document Storage Solution Development</w:t>
            </w:r>
            <w:r w:rsidDel="00000000" w:rsidR="00000000" w:rsidRPr="00000000">
              <w:rPr>
                <w:rtl w:val="0"/>
              </w:rPr>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process of constituting a new stage or a change in situation for a space which is devoted to the overflow storage of document files in any media</w:t>
            </w:r>
            <w:r w:rsidDel="00000000" w:rsidR="00000000" w:rsidRPr="00000000">
              <w:rPr>
                <w:rtl w:val="0"/>
              </w:rPr>
            </w:r>
          </w:p>
        </w:tc>
      </w:tr>
      <w:tr>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Documentation</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000000" w:rsidDel="00000000" w:rsidP="00000000" w:rsidRDefault="00000000" w:rsidRPr="00000000" w14:paraId="00000101">
            <w:pPr>
              <w:numPr>
                <w:ilvl w:val="0"/>
                <w:numId w:val="12"/>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would reasonably be required by a competent third party capable of Good Industry Practice contracted by the Buyer to develop, configure, build, deploy, run, maintain, upgrade and test the individual systems that provide the Deliverables</w:t>
            </w:r>
          </w:p>
          <w:p w:rsidR="00000000" w:rsidDel="00000000" w:rsidP="00000000" w:rsidRDefault="00000000" w:rsidRPr="00000000" w14:paraId="00000102">
            <w:pPr>
              <w:numPr>
                <w:ilvl w:val="0"/>
                <w:numId w:val="12"/>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required by the Supplier in order to provide the Deliverables; and/or</w:t>
            </w:r>
          </w:p>
          <w:p w:rsidR="00000000" w:rsidDel="00000000" w:rsidP="00000000" w:rsidRDefault="00000000" w:rsidRPr="00000000" w14:paraId="00000103">
            <w:pPr>
              <w:numPr>
                <w:ilvl w:val="0"/>
                <w:numId w:val="12"/>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been or shall be generated for the purpose of providing the Deliverables;</w:t>
            </w:r>
          </w:p>
        </w:tc>
      </w:tr>
      <w:tr>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DOTAS</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pos="-576"/>
                <w:tab w:val="left"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DPA 2018</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Protection Act 2018;</w:t>
            </w:r>
          </w:p>
        </w:tc>
      </w:tr>
      <w:tr>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Due Diligence Information</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supplied to the Supplier by or on behalf of the Authority prior to the Start Date;</w:t>
            </w:r>
          </w:p>
        </w:tc>
      </w:tr>
      <w:tr>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Effective Date</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on which the final Party has signed the Contract;</w:t>
            </w:r>
          </w:p>
        </w:tc>
      </w:tr>
      <w:tr>
        <w:tc>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EIR</w:t>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Environmental Information Regulations 2004;</w:t>
            </w:r>
          </w:p>
        </w:tc>
      </w:tr>
      <w:tr>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Electronic Invoice</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Electronic Retrieval</w:t>
            </w:r>
            <w:r w:rsidDel="00000000" w:rsidR="00000000" w:rsidRPr="00000000">
              <w:rPr>
                <w:rtl w:val="0"/>
              </w:rPr>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activity of electronically obtaining information resources relevant to an information need End to End means the full lifecycle of Scanning Services, from intake to Destruction activity and any residual activity resulting from the Records destruction.  </w:t>
            </w:r>
            <w:r w:rsidDel="00000000" w:rsidR="00000000" w:rsidRPr="00000000">
              <w:rPr>
                <w:rtl w:val="0"/>
              </w:rPr>
            </w:r>
          </w:p>
        </w:tc>
      </w:tr>
      <w:tr>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Employment Regulations</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Transfer of Undertakings (Protection of Employment) Regulations 2006 (SI 2006/246) as amended or replaced or any other Regulations implementing the European Council Directive 77/187/EEC;</w:t>
            </w:r>
          </w:p>
        </w:tc>
      </w:tr>
      <w:tr>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End Date</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pos="-576"/>
                <w:tab w:val="left" w:pos="144"/>
              </w:tabs>
              <w:spacing w:after="120" w:lineRule="auto"/>
              <w:ind w:firstLine="14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earlier of: </w:t>
            </w:r>
          </w:p>
          <w:p w:rsidR="00000000" w:rsidDel="00000000" w:rsidP="00000000" w:rsidRDefault="00000000" w:rsidRPr="00000000" w14:paraId="00000116">
            <w:pPr>
              <w:numPr>
                <w:ilvl w:val="0"/>
                <w:numId w:val="14"/>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Expiry Date (as extended by any Extension Period exercised by the Relevant Authority under Clause 10.1.2); or</w:t>
            </w:r>
          </w:p>
          <w:p w:rsidR="00000000" w:rsidDel="00000000" w:rsidP="00000000" w:rsidRDefault="00000000" w:rsidRPr="00000000" w14:paraId="00000117">
            <w:pPr>
              <w:numPr>
                <w:ilvl w:val="0"/>
                <w:numId w:val="14"/>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Contract is terminated before the date specified in (a) above, the date of termination of the Contract;</w:t>
            </w:r>
          </w:p>
        </w:tc>
      </w:tr>
      <w:tr>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End to End</w:t>
            </w:r>
            <w:r w:rsidDel="00000000" w:rsidR="00000000" w:rsidRPr="00000000">
              <w:rPr>
                <w:rtl w:val="0"/>
              </w:rPr>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full lifecycle of Scanning Services, from intake to Destruction activity and any residual activity resulting from the Records destruction.</w:t>
            </w:r>
            <w:r w:rsidDel="00000000" w:rsidR="00000000" w:rsidRPr="00000000">
              <w:rPr>
                <w:rtl w:val="0"/>
              </w:rPr>
            </w:r>
          </w:p>
        </w:tc>
      </w:tr>
      <w:tr>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Entry Strategy</w:t>
            </w:r>
            <w:r w:rsidDel="00000000" w:rsidR="00000000" w:rsidRPr="00000000">
              <w:rPr>
                <w:rtl w:val="0"/>
              </w:rPr>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Supplier’s plan to manage the Intake of the Buyer’s Records and/or Boxes in line with requirements stated at Call Off stage.</w:t>
            </w:r>
            <w:r w:rsidDel="00000000" w:rsidR="00000000" w:rsidRPr="00000000">
              <w:rPr>
                <w:rtl w:val="0"/>
              </w:rPr>
            </w:r>
          </w:p>
        </w:tc>
      </w:tr>
      <w:tr>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Environmental Policy</w:t>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Equality and Human Rights Commission</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Equipment</w:t>
            </w:r>
            <w:r w:rsidDel="00000000" w:rsidR="00000000" w:rsidRPr="00000000">
              <w:rPr>
                <w:rtl w:val="0"/>
              </w:rPr>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pos="-17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Equipment required by the Supplier to undertake the Services it has been contracted to perform.  </w:t>
            </w:r>
            <w:r w:rsidDel="00000000" w:rsidR="00000000" w:rsidRPr="00000000">
              <w:rPr>
                <w:rtl w:val="0"/>
              </w:rPr>
            </w:r>
          </w:p>
        </w:tc>
      </w:tr>
      <w:tr>
        <w:tc>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 1 Charges</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pos="-17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anticipated total Charges payable by the Buyer in the first Contract Year specified in the Order Form;</w:t>
            </w:r>
          </w:p>
        </w:tc>
      </w:tr>
    </w:tbl>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bl>
      <w:tblPr>
        <w:tblStyle w:val="Table2"/>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7350"/>
        <w:tblGridChange w:id="0">
          <w:tblGrid>
            <w:gridCol w:w="2400"/>
            <w:gridCol w:w="7350"/>
          </w:tblGrid>
        </w:tblGridChange>
      </w:tblGrid>
      <w:t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Yearly Charges</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pos="-179"/>
              </w:tabs>
              <w:spacing w:after="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for the purposes of calculating each Party’s annual liability under clause 11.2:</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pos="-179"/>
              </w:tabs>
              <w:spacing w:after="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in the first Contract Year, the Estimated Year 1 Charges; or </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pos="-179"/>
              </w:tabs>
              <w:spacing w:after="12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pos="-179"/>
              </w:tabs>
              <w:spacing w:after="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in the any subsequent Contract Years, the Charges paid or payable in the previous Call-off Contract Year; or</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pos="-179"/>
              </w:tabs>
              <w:spacing w:after="12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pos="-179"/>
              </w:tabs>
              <w:spacing w:after="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after the end of the Call-off Contract, the Charges paid or payable in the last Contract Year during the Call-off Contract Period;  </w:t>
            </w:r>
          </w:p>
        </w:tc>
      </w:tr>
      <w:t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Exempt Buyer</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public sector purchaser that is:</w:t>
            </w:r>
          </w:p>
          <w:p w:rsidR="00000000" w:rsidDel="00000000" w:rsidP="00000000" w:rsidRDefault="00000000" w:rsidRPr="00000000" w14:paraId="0000012E">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38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eligible to use the Framework Contract; and</w:t>
            </w:r>
          </w:p>
          <w:p w:rsidR="00000000" w:rsidDel="00000000" w:rsidP="00000000" w:rsidRDefault="00000000" w:rsidRPr="00000000" w14:paraId="0000012F">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38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entering into an Exempt Call-off Contract that is not subject to (as applicable) any of:</w:t>
            </w:r>
          </w:p>
          <w:p w:rsidR="00000000" w:rsidDel="00000000" w:rsidP="00000000" w:rsidRDefault="00000000" w:rsidRPr="00000000" w14:paraId="00000130">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81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Regulations;</w:t>
            </w:r>
          </w:p>
          <w:p w:rsidR="00000000" w:rsidDel="00000000" w:rsidP="00000000" w:rsidRDefault="00000000" w:rsidRPr="00000000" w14:paraId="00000131">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81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Concession Contracts Regulations 2016 (SI 2016/273);</w:t>
            </w:r>
          </w:p>
          <w:p w:rsidR="00000000" w:rsidDel="00000000" w:rsidP="00000000" w:rsidRDefault="00000000" w:rsidRPr="00000000" w14:paraId="00000132">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81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Utilities Contracts Regulations 2016 (SI 2016/274);</w:t>
            </w:r>
          </w:p>
          <w:p w:rsidR="00000000" w:rsidDel="00000000" w:rsidP="00000000" w:rsidRDefault="00000000" w:rsidRPr="00000000" w14:paraId="00000133">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81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Defence and Security Public Contracts Regulations 2011 (SI 2011/1848);</w:t>
            </w:r>
          </w:p>
          <w:p w:rsidR="00000000" w:rsidDel="00000000" w:rsidP="00000000" w:rsidRDefault="00000000" w:rsidRPr="00000000" w14:paraId="00000134">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81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Remedies Directive (2007/66/EC);</w:t>
            </w:r>
          </w:p>
          <w:p w:rsidR="00000000" w:rsidDel="00000000" w:rsidP="00000000" w:rsidRDefault="00000000" w:rsidRPr="00000000" w14:paraId="00000135">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81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Directive 2014/23/EU of the European Parliament and Council;</w:t>
            </w:r>
          </w:p>
          <w:p w:rsidR="00000000" w:rsidDel="00000000" w:rsidP="00000000" w:rsidRDefault="00000000" w:rsidRPr="00000000" w14:paraId="00000136">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81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Directive 2014/24/EU of the European Parliament and Council;</w:t>
            </w:r>
          </w:p>
          <w:p w:rsidR="00000000" w:rsidDel="00000000" w:rsidP="00000000" w:rsidRDefault="00000000" w:rsidRPr="00000000" w14:paraId="00000137">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81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Directive 2014/25/EU of the European Parliament and Council; or</w:t>
            </w:r>
          </w:p>
          <w:p w:rsidR="00000000" w:rsidDel="00000000" w:rsidP="00000000" w:rsidRDefault="00000000" w:rsidRPr="00000000" w14:paraId="00000138">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179"/>
                <w:tab w:val="left" w:pos="-9"/>
              </w:tabs>
              <w:spacing w:after="120" w:before="0" w:line="240" w:lineRule="auto"/>
              <w:ind w:left="81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Directive 2009/81/EC of the European Parliament and Council;</w:t>
            </w:r>
          </w:p>
        </w:tc>
      </w:tr>
      <w:t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Exempt Call-off Contract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 between the Exempt Buyer and the Supplier for Deliverables which consists of the terms set out and referred to in the Order Form incorporating and, where necessary, amending, refining or adding to the terms of the Framework Contract;</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pos="-179"/>
              </w:tabs>
              <w:spacing w:after="120" w:line="240" w:lineRule="auto"/>
              <w:jc w:val="both"/>
              <w:rPr>
                <w:rFonts w:ascii="Arial" w:cs="Arial" w:eastAsia="Arial" w:hAnsi="Arial"/>
                <w:color w:val="000000"/>
                <w:sz w:val="24"/>
                <w:szCs w:val="24"/>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Exempt Procurement Amendments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pos="-179"/>
              </w:tabs>
              <w:spacing w:after="120" w:line="240"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bl>
      <w:tblPr>
        <w:tblStyle w:val="Table3"/>
        <w:tblW w:w="9735.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7330"/>
        <w:tblGridChange w:id="0">
          <w:tblGrid>
            <w:gridCol w:w="2405"/>
            <w:gridCol w:w="7330"/>
          </w:tblGrid>
        </w:tblGridChange>
      </w:tblGrid>
      <w:tr>
        <w:tc>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Exemptions</w:t>
            </w:r>
            <w:r w:rsidDel="00000000" w:rsidR="00000000" w:rsidRPr="00000000">
              <w:rPr>
                <w:rtl w:val="0"/>
              </w:rPr>
            </w:r>
          </w:p>
        </w:tc>
        <w:tc>
          <w:tcPr/>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reasons to withhold information </w:t>
            </w:r>
            <w:r w:rsidDel="00000000" w:rsidR="00000000" w:rsidRPr="00000000">
              <w:rPr>
                <w:rtl w:val="0"/>
              </w:rPr>
            </w:r>
          </w:p>
        </w:tc>
      </w:tr>
      <w:tr>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Existing IPR</w:t>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and all IPR that are owned by or licensed to either Party and which are or have been developed independently of the Contract (whether prior to the Start Date or otherwise);</w:t>
            </w:r>
          </w:p>
        </w:tc>
      </w:tr>
      <w:tr>
        <w:tc>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Day</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have the meaning in the European Union (Withdrawal) Act 2018;</w:t>
            </w:r>
          </w:p>
        </w:tc>
      </w:tr>
      <w:tr>
        <w:tc>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Exit Strategy</w:t>
            </w:r>
            <w:r w:rsidDel="00000000" w:rsidR="00000000" w:rsidRPr="00000000">
              <w:rPr>
                <w:rtl w:val="0"/>
              </w:rPr>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Supplier’s plan to manage the Permanent Withdrawal or all Records and/or Boxes in line with Call Off Agreement agreed which shall include timeline and costs.</w:t>
            </w:r>
            <w:r w:rsidDel="00000000" w:rsidR="00000000" w:rsidRPr="00000000">
              <w:rPr>
                <w:rtl w:val="0"/>
              </w:rPr>
            </w:r>
          </w:p>
        </w:tc>
      </w:tr>
      <w:tr>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Expiry Date</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Expiry Date or the Call-Off Expiry Date (as the context dictates); </w:t>
            </w:r>
          </w:p>
        </w:tc>
      </w:tr>
      <w:tr>
        <w:tc>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 Period</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Optional Extension Period or the Call-Off Optional Extension Period as the context dictates;</w:t>
            </w:r>
          </w:p>
        </w:tc>
      </w:tr>
      <w:tr>
        <w:tc>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FOIA</w:t>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Event</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rsidR="00000000" w:rsidDel="00000000" w:rsidP="00000000" w:rsidRDefault="00000000" w:rsidRPr="00000000" w14:paraId="00000150">
            <w:pPr>
              <w:numPr>
                <w:ilvl w:val="1"/>
                <w:numId w:val="2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riots, civil commotion, war or armed conflict;</w:t>
            </w:r>
          </w:p>
          <w:p w:rsidR="00000000" w:rsidDel="00000000" w:rsidP="00000000" w:rsidRDefault="00000000" w:rsidRPr="00000000" w14:paraId="00000151">
            <w:pPr>
              <w:numPr>
                <w:ilvl w:val="1"/>
                <w:numId w:val="2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acts of terrorism;</w:t>
            </w:r>
          </w:p>
          <w:p w:rsidR="00000000" w:rsidDel="00000000" w:rsidP="00000000" w:rsidRDefault="00000000" w:rsidRPr="00000000" w14:paraId="00000152">
            <w:pPr>
              <w:numPr>
                <w:ilvl w:val="1"/>
                <w:numId w:val="2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acts of a Central Government Body, local government or regulatory bodies;</w:t>
            </w:r>
          </w:p>
          <w:p w:rsidR="00000000" w:rsidDel="00000000" w:rsidP="00000000" w:rsidRDefault="00000000" w:rsidRPr="00000000" w14:paraId="00000153">
            <w:pPr>
              <w:numPr>
                <w:ilvl w:val="1"/>
                <w:numId w:val="21"/>
              </w:numPr>
              <w:pBdr>
                <w:top w:space="0" w:sz="0" w:val="nil"/>
                <w:left w:space="0" w:sz="0" w:val="nil"/>
                <w:bottom w:space="0" w:sz="0" w:val="nil"/>
                <w:right w:space="0" w:sz="0" w:val="nil"/>
                <w:between w:space="0" w:sz="0" w:val="nil"/>
              </w:pBdr>
              <w:tabs>
                <w:tab w:val="left" w:pos="-576"/>
                <w:tab w:val="left"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fire, flood, storm or earthquake or other natural disaster,</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excluding any industrial dispute relating to the Supplier, the Supplier Staff or any other failure in the Supplier or the Subcontractor's supply chain;</w:t>
            </w:r>
          </w:p>
        </w:tc>
      </w:tr>
      <w:tr>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Notice</w:t>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served by the Affected Party on the other Party stating that the Affected Party believes that there is a Force Majeure Event;</w:t>
            </w:r>
          </w:p>
        </w:tc>
      </w:tr>
      <w:tr>
        <w:tc>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Framework </w:t>
            </w:r>
            <w:r w:rsidDel="00000000" w:rsidR="00000000" w:rsidRPr="00000000">
              <w:rPr>
                <w:rtl w:val="0"/>
              </w:rPr>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this agreement consisting of the core terms and all associated schedules </w:t>
            </w:r>
            <w:r w:rsidDel="00000000" w:rsidR="00000000" w:rsidRPr="00000000">
              <w:rPr>
                <w:rtl w:val="0"/>
              </w:rPr>
            </w:r>
          </w:p>
        </w:tc>
      </w:tr>
      <w:tr>
        <w:tc>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Award Form</w:t>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document outlining the Framework Incorporated Terms and crucial information required for the Framework Contract, to be executed by the Supplier and CCS;</w:t>
            </w:r>
          </w:p>
        </w:tc>
      </w:tr>
      <w:tr>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t>
            </w:r>
            <w:r w:rsidDel="00000000" w:rsidR="00000000" w:rsidRPr="00000000">
              <w:rPr>
                <w:rFonts w:ascii="Arial" w:cs="Arial" w:eastAsia="Arial" w:hAnsi="Arial"/>
                <w:sz w:val="24"/>
                <w:szCs w:val="24"/>
                <w:rtl w:val="0"/>
              </w:rPr>
              <w:t xml:space="preserve">est</w:t>
            </w:r>
            <w:r w:rsidDel="00000000" w:rsidR="00000000" w:rsidRPr="00000000">
              <w:rPr>
                <w:rFonts w:ascii="Arial" w:cs="Arial" w:eastAsia="Arial" w:hAnsi="Arial"/>
                <w:color w:val="000000"/>
                <w:sz w:val="24"/>
                <w:szCs w:val="24"/>
                <w:rtl w:val="0"/>
              </w:rPr>
              <w:t xml:space="preserve">ablished between CCS and the Supplier in accordance with Regulation 33 by the Framework Award Form for the provision of the Deliverables to Buyers by the Supplier pursuant to the OJEU Notice;</w:t>
            </w:r>
          </w:p>
        </w:tc>
      </w:tr>
      <w:tr>
        <w:tc>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 Period</w:t>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from the Framework Start Date until the End Date of the Framework Contract;</w:t>
            </w:r>
          </w:p>
        </w:tc>
      </w:tr>
      <w:tr>
        <w:tc>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the Framework Contract as stated in the Framework Award Form;</w:t>
            </w:r>
          </w:p>
        </w:tc>
      </w:tr>
      <w:tr>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Incorporated Terms</w:t>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Framework Contract specified in the Framework Award Form;</w:t>
            </w:r>
          </w:p>
        </w:tc>
      </w:tr>
      <w:tr>
        <w:tc>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Manager</w:t>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person(s) who is suitably experienced and who is responsible for ensuring that all the requirements of the Framework Agreement are met or exceeded and must be familiar with all aspects of the Framework Agreement.</w:t>
            </w:r>
          </w:p>
        </w:tc>
      </w:tr>
      <w:tr>
        <w:tc>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Optional Extension Period</w:t>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Framework Contract Period may be extended as specified in the Framework Award Form;</w:t>
            </w:r>
          </w:p>
        </w:tc>
      </w:tr>
      <w:tr>
        <w:tc>
          <w:tcPr/>
          <w:p w:rsidR="00000000" w:rsidDel="00000000" w:rsidP="00000000" w:rsidRDefault="00000000" w:rsidRPr="00000000" w14:paraId="00000167">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w:t>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applicable to the provision of the Deliverables set out in Framework Schedule 3 (Framework Prices);</w:t>
            </w:r>
          </w:p>
        </w:tc>
      </w:tr>
      <w:tr>
        <w:tc>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Framework Award Form incorporated into the Framework Contract;</w:t>
            </w:r>
          </w:p>
        </w:tc>
      </w:tr>
      <w:tr>
        <w:tc>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Start Date</w:t>
            </w:r>
          </w:p>
        </w:tc>
        <w:tc>
          <w:tcPr/>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the Framework Contract as stated in the Framework Award Form;</w:t>
            </w:r>
          </w:p>
        </w:tc>
      </w:tr>
      <w:tr>
        <w:tc>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Tender Response</w:t>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to CCS and annexed to or referred to in Framework Schedule 2 (Framework Tender);</w:t>
            </w:r>
          </w:p>
        </w:tc>
      </w:tr>
      <w:tr>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Further Competition Procedure</w:t>
            </w:r>
          </w:p>
        </w:tc>
        <w:tc>
          <w:tcPr/>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further competition procedure described in Framework Schedule 7 (Call-Off Award Procedure);</w:t>
            </w:r>
          </w:p>
        </w:tc>
      </w:tr>
      <w:tr>
        <w:tc>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GDPR</w:t>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General Data Protection Regulation (Regulation (EU) 2016/679);</w:t>
            </w:r>
          </w:p>
        </w:tc>
      </w:tr>
      <w:tr>
        <w:tc>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Anti-Abuse Rule</w:t>
            </w:r>
          </w:p>
        </w:tc>
        <w:tc>
          <w:tcPr/>
          <w:p w:rsidR="00000000" w:rsidDel="00000000" w:rsidP="00000000" w:rsidRDefault="00000000" w:rsidRPr="00000000" w14:paraId="00000174">
            <w:pPr>
              <w:numPr>
                <w:ilvl w:val="1"/>
                <w:numId w:val="2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legislation in Part 5 of the Finance Act 2013 and; and </w:t>
            </w:r>
          </w:p>
          <w:p w:rsidR="00000000" w:rsidDel="00000000" w:rsidP="00000000" w:rsidRDefault="00000000" w:rsidRPr="00000000" w14:paraId="00000175">
            <w:pPr>
              <w:numPr>
                <w:ilvl w:val="1"/>
                <w:numId w:val="21"/>
              </w:numPr>
              <w:pBdr>
                <w:top w:space="0" w:sz="0" w:val="nil"/>
                <w:left w:space="0" w:sz="0" w:val="nil"/>
                <w:bottom w:space="0" w:sz="0" w:val="nil"/>
                <w:right w:space="0" w:sz="0" w:val="nil"/>
                <w:between w:space="0" w:sz="0" w:val="nil"/>
              </w:pBdr>
              <w:tabs>
                <w:tab w:val="left" w:pos="-576"/>
                <w:tab w:val="left"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future legislation introduced into parliament to counteract tax advantages arising from abusive arrangements to avoid National Insurance contributions;</w:t>
            </w:r>
          </w:p>
        </w:tc>
      </w:tr>
      <w:tr>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Change in Law</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where the change is of a general legislative nature (including taxation or duties of any sort affecting the Supplier) or which affects or relates to a Comparable Supply;</w:t>
            </w:r>
          </w:p>
        </w:tc>
      </w:tr>
      <w:tr>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Goods</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made available by the Supplier as specified in Framework Schedule 1 (Specification) and in relation to a Call-Off Contract as specified in the Order Form ;</w:t>
            </w:r>
          </w:p>
        </w:tc>
      </w:tr>
      <w:tr>
        <w:tc>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 Industry Practice</w:t>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tc>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w:t>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tc>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Government Buying Standards (GBS)</w:t>
            </w:r>
            <w:r w:rsidDel="00000000" w:rsidR="00000000" w:rsidRPr="00000000">
              <w:rPr>
                <w:rtl w:val="0"/>
              </w:rPr>
            </w:r>
          </w:p>
        </w:tc>
        <w:tc>
          <w:tcPr/>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set of standards the Government buyers must follow and the information about sustainable procurement and how it should be   applied when buying goods and services. </w:t>
            </w:r>
            <w:r w:rsidDel="00000000" w:rsidR="00000000" w:rsidRPr="00000000">
              <w:rPr>
                <w:rtl w:val="0"/>
              </w:rPr>
            </w:r>
          </w:p>
        </w:tc>
      </w:tr>
      <w:tr>
        <w:tc>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 Data</w:t>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text, drawings, diagrams, images or sounds (together with any database made up of any of these) which are embodied in any electronic, magnetic, optical or tangible media, including any of the Authority’s Confidential Information, and which:</w:t>
            </w:r>
          </w:p>
          <w:p w:rsidR="00000000" w:rsidDel="00000000" w:rsidP="00000000" w:rsidRDefault="00000000" w:rsidRPr="00000000" w14:paraId="00000182">
            <w:pPr>
              <w:numPr>
                <w:ilvl w:val="2"/>
                <w:numId w:val="2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are supplied to the Supplier by or on behalf of the Authority; or</w:t>
            </w:r>
          </w:p>
          <w:p w:rsidR="00000000" w:rsidDel="00000000" w:rsidP="00000000" w:rsidRDefault="00000000" w:rsidRPr="00000000" w14:paraId="00000183">
            <w:pPr>
              <w:numPr>
                <w:ilvl w:val="2"/>
                <w:numId w:val="2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is required to generate, process, store or transmit pursuant to a Contract; </w:t>
            </w:r>
          </w:p>
        </w:tc>
      </w:tr>
      <w:tr>
        <w:tc>
          <w:tcPr/>
          <w:p w:rsidR="00000000" w:rsidDel="00000000" w:rsidP="00000000" w:rsidRDefault="00000000" w:rsidRPr="00000000" w14:paraId="00000184">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Government Security Classification Policy</w:t>
            </w:r>
            <w:r w:rsidDel="00000000" w:rsidR="00000000" w:rsidRPr="00000000">
              <w:rPr>
                <w:rtl w:val="0"/>
              </w:rPr>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system for classifying sensitive government Data in the  United Kingdom. </w:t>
            </w:r>
            <w:r w:rsidDel="00000000" w:rsidR="00000000" w:rsidRPr="00000000">
              <w:rPr>
                <w:rtl w:val="0"/>
              </w:rPr>
            </w:r>
          </w:p>
        </w:tc>
      </w:tr>
      <w:tr>
        <w:tc>
          <w:tcPr/>
          <w:p w:rsidR="00000000" w:rsidDel="00000000" w:rsidP="00000000" w:rsidRDefault="00000000" w:rsidRPr="00000000" w14:paraId="00000186">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Government Social Values</w:t>
            </w:r>
            <w:r w:rsidDel="00000000" w:rsidR="00000000" w:rsidRPr="00000000">
              <w:rPr>
                <w:rtl w:val="0"/>
              </w:rPr>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way the Government buyers applies it’s thought processes  around how scarce resources are allocated and used. It involves looking beyond the price of each individual Contract and looking at what the collective benefit to a community is when Buyers choose to award a Contract. </w:t>
            </w:r>
            <w:r w:rsidDel="00000000" w:rsidR="00000000" w:rsidRPr="00000000">
              <w:rPr>
                <w:rtl w:val="0"/>
              </w:rPr>
            </w:r>
          </w:p>
        </w:tc>
      </w:tr>
      <w:tr>
        <w:tc>
          <w:tcPr/>
          <w:p w:rsidR="00000000" w:rsidDel="00000000" w:rsidP="00000000" w:rsidRDefault="00000000" w:rsidRPr="00000000" w14:paraId="00000188">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(if any) who has entered into a guarantee in the form set out in Joint Schedule 8 (Guarantee) in relation to this Contract;</w:t>
            </w:r>
          </w:p>
        </w:tc>
      </w:tr>
      <w:tr>
        <w:tc>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Halifax Abuse Principle</w:t>
            </w:r>
          </w:p>
        </w:tc>
        <w:tc>
          <w:tcPr/>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principle explained in the CJEU Case C-255/02 Halifax and others;</w:t>
            </w:r>
          </w:p>
        </w:tc>
      </w:tr>
      <w:tr>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High Level Appraisal Methodology</w:t>
            </w:r>
            <w:r w:rsidDel="00000000" w:rsidR="00000000" w:rsidRPr="00000000">
              <w:rPr>
                <w:rtl w:val="0"/>
              </w:rPr>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methodology defined by the Buyer in order to undertake a High Level Appraisal of its Records</w:t>
            </w:r>
            <w:r w:rsidDel="00000000" w:rsidR="00000000" w:rsidRPr="00000000">
              <w:rPr>
                <w:rtl w:val="0"/>
              </w:rPr>
            </w:r>
          </w:p>
        </w:tc>
      </w:tr>
      <w:tr>
        <w:tc>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Highlight Report</w:t>
            </w:r>
            <w:r w:rsidDel="00000000" w:rsidR="00000000" w:rsidRPr="00000000">
              <w:rPr>
                <w:rtl w:val="0"/>
              </w:rPr>
            </w:r>
          </w:p>
        </w:tc>
        <w:tc>
          <w:tcPr/>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report which is sent by the Supplier’s Framework Manager and Call Off</w:t>
            </w:r>
            <w:r w:rsidDel="00000000" w:rsidR="00000000" w:rsidRPr="00000000">
              <w:rPr>
                <w:rtl w:val="0"/>
              </w:rPr>
            </w:r>
          </w:p>
        </w:tc>
      </w:tr>
      <w:tr>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HMRC</w:t>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Her Majesty’s Revenue and Customs;</w:t>
            </w:r>
          </w:p>
        </w:tc>
      </w:tr>
      <w:tr>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ICT Policy</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of the impact of a Variation request by the Relevant Authority completed in good faith, including:</w:t>
            </w:r>
          </w:p>
          <w:p w:rsidR="00000000" w:rsidDel="00000000" w:rsidP="00000000" w:rsidRDefault="00000000" w:rsidRPr="00000000" w14:paraId="00000196">
            <w:pPr>
              <w:numPr>
                <w:ilvl w:val="0"/>
                <w:numId w:val="18"/>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impact of the proposed Variation on the Deliverables and the Supplier's ability to meet its other obligations under the Contract; </w:t>
            </w:r>
          </w:p>
          <w:p w:rsidR="00000000" w:rsidDel="00000000" w:rsidP="00000000" w:rsidRDefault="00000000" w:rsidRPr="00000000" w14:paraId="00000197">
            <w:pPr>
              <w:numPr>
                <w:ilvl w:val="0"/>
                <w:numId w:val="18"/>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cost of implementing the proposed Variation;</w:t>
            </w:r>
          </w:p>
          <w:p w:rsidR="00000000" w:rsidDel="00000000" w:rsidP="00000000" w:rsidRDefault="00000000" w:rsidRPr="00000000" w14:paraId="00000198">
            <w:pPr>
              <w:numPr>
                <w:ilvl w:val="0"/>
                <w:numId w:val="18"/>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000000" w:rsidDel="00000000" w:rsidP="00000000" w:rsidRDefault="00000000" w:rsidRPr="00000000" w14:paraId="00000199">
            <w:pPr>
              <w:numPr>
                <w:ilvl w:val="0"/>
                <w:numId w:val="18"/>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timetable for the implementation, together with any proposals for the testing of the Variation; and</w:t>
            </w:r>
          </w:p>
          <w:p w:rsidR="00000000" w:rsidDel="00000000" w:rsidP="00000000" w:rsidRDefault="00000000" w:rsidRPr="00000000" w14:paraId="0000019A">
            <w:pPr>
              <w:numPr>
                <w:ilvl w:val="0"/>
                <w:numId w:val="18"/>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other information as the Relevant Authority may reasonably request in (or in response to) the Variation request;</w:t>
            </w:r>
          </w:p>
        </w:tc>
      </w:tr>
      <w:tr>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Implementation Plan</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plan for provision of the Deliverables set out in Call-Off Schedule 13 (Implementation Plan and Testing) where that Schedule is used or otherwise as agreed between the Supplier and the Buyer;</w:t>
            </w:r>
          </w:p>
        </w:tc>
      </w:tr>
      <w:tr>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Implementation Plan (IP)</w:t>
            </w:r>
            <w:r w:rsidDel="00000000" w:rsidR="00000000" w:rsidRPr="00000000">
              <w:rPr>
                <w:rtl w:val="0"/>
              </w:rPr>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plan which is to be agreed between Buyers and Supplier after Contract Award, detailing the plan to implement the new service provision while also detailing actions, deliverables and timescales.</w:t>
            </w:r>
            <w:r w:rsidDel="00000000" w:rsidR="00000000" w:rsidRPr="00000000">
              <w:rPr>
                <w:rtl w:val="0"/>
              </w:rPr>
            </w:r>
          </w:p>
        </w:tc>
      </w:tr>
      <w:tr>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Implementation Period</w:t>
            </w:r>
            <w:r w:rsidDel="00000000" w:rsidR="00000000" w:rsidRPr="00000000">
              <w:rPr>
                <w:rtl w:val="0"/>
              </w:rPr>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period of time agreed to implement the Contract and/or Service prior to Contract commencement date.</w:t>
            </w:r>
            <w:r w:rsidDel="00000000" w:rsidR="00000000" w:rsidRPr="00000000">
              <w:rPr>
                <w:rtl w:val="0"/>
              </w:rPr>
            </w:r>
          </w:p>
        </w:tc>
      </w:tr>
      <w:tr>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Inactive Records</w:t>
            </w:r>
            <w:r w:rsidDel="00000000" w:rsidR="00000000" w:rsidRPr="00000000">
              <w:rPr>
                <w:rtl w:val="0"/>
              </w:rPr>
            </w:r>
          </w:p>
        </w:tc>
        <w:tc>
          <w:tcPr/>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Record which is no longer referenced on a regular basis, but must be kept for administrative, historical or legal purposes and is therefore stored in a less accessible place since it is not used frequently.</w:t>
            </w:r>
            <w:r w:rsidDel="00000000" w:rsidR="00000000" w:rsidRPr="00000000">
              <w:rPr>
                <w:rtl w:val="0"/>
              </w:rPr>
            </w:r>
          </w:p>
        </w:tc>
      </w:tr>
      <w:tr>
        <w:tc>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Indemnifier</w:t>
            </w:r>
          </w:p>
        </w:tc>
        <w:tc>
          <w:tcPr/>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from whom an indemnity is sought under this Contract;</w:t>
            </w:r>
          </w:p>
        </w:tc>
      </w:tr>
      <w:tr>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w:t>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rFonts w:ascii="Arial" w:cs="Arial" w:eastAsia="Arial" w:hAnsi="Arial"/>
                <w:b w:val="1"/>
                <w:color w:val="000000"/>
                <w:sz w:val="24"/>
                <w:szCs w:val="24"/>
                <w:rtl w:val="0"/>
              </w:rPr>
              <w:t xml:space="preserve">Independent Controller</w:t>
            </w:r>
            <w:r w:rsidDel="00000000" w:rsidR="00000000" w:rsidRPr="00000000">
              <w:rPr>
                <w:rFonts w:ascii="Arial" w:cs="Arial" w:eastAsia="Arial" w:hAnsi="Arial"/>
                <w:color w:val="000000"/>
                <w:sz w:val="24"/>
                <w:szCs w:val="24"/>
                <w:rtl w:val="0"/>
              </w:rPr>
              <w:t xml:space="preserve">” shall be construed accordingly;</w:t>
            </w:r>
          </w:p>
        </w:tc>
      </w:tr>
      <w:tr>
        <w:tc>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Indexation</w:t>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adjustment of an amount or sum in accordance with Framework Schedule 3 (Framework Prices) and the relevant Order Form;</w:t>
            </w:r>
          </w:p>
        </w:tc>
      </w:tr>
      <w:tr>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Induction</w:t>
            </w:r>
            <w:r w:rsidDel="00000000" w:rsidR="00000000" w:rsidRPr="00000000">
              <w:rPr>
                <w:rtl w:val="0"/>
              </w:rPr>
            </w:r>
          </w:p>
        </w:tc>
        <w:tc>
          <w:tcPr/>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 event attended by the Buyer and Supplier.  The purpose of the event is for the Buyer to share details of the information sources required to be utilised by the Supplier in order to conduct the services on behalf of the Buyer.</w:t>
            </w:r>
            <w:r w:rsidDel="00000000" w:rsidR="00000000" w:rsidRPr="00000000">
              <w:rPr>
                <w:rtl w:val="0"/>
              </w:rPr>
            </w:r>
          </w:p>
        </w:tc>
      </w:tr>
      <w:tr>
        <w:tc>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w:t>
            </w:r>
          </w:p>
        </w:tc>
        <w:tc>
          <w:tcPr/>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under section 84 of the Freedom of Information Act 2000;</w:t>
            </w:r>
          </w:p>
        </w:tc>
      </w:tr>
      <w:tr>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 Commissioner</w:t>
            </w:r>
          </w:p>
        </w:tc>
        <w:tc>
          <w:tcPr/>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UK’s independent authority which deals with ensuring information relating to rights in the public interest and data privacy for individuals is met, whilst promoting openness by public bodies; </w:t>
            </w:r>
          </w:p>
        </w:tc>
      </w:tr>
      <w:tr>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Initial Period</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term of a Contract specified in the Framework Award Form or the Order Form, as the context requires;</w:t>
            </w:r>
          </w:p>
        </w:tc>
      </w:tr>
      <w:tr>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Insolvency Event</w:t>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respect to any person, means:</w:t>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that person suspends, or threatens to suspend, payment of its debts, or is unable to pay its debts as they fall due or admits inability to pay its debts, or:</w:t>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(being a company or a LLP) is deemed unable to pay its debts within the meaning of section 123 of the Insolvency Act 1986, or</w:t>
            </w:r>
          </w:p>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(being a partnership) is deemed unable to pay its debts within the meaning of section 222 of the Insolvency Act 1986;</w:t>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another person becomes entitled to appoint a receiver over the assets of that person or a receiver is appointed over the assets of that person;</w:t>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that person suspends or ceases, or threatens to suspend or cease, carrying on all or a substantial part of its business;</w:t>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where that person is a company, a LLP or a partnership:</w:t>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an application is made to court, or an order is made, for the appointment of an administrator, or if a notice of intention to appoint an administrator is filed at Court or given or if an administrator is appointed, over that person;</w:t>
            </w:r>
          </w:p>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(being a company or a LLP) the holder of a qualifying floating charge over the assets of that person has become entitled to appoint or has appointed an administrative receiver; or</w:t>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 (being a partnership) the holder of an agricultural floating charge over the assets of that person has become entitled to appoint or has appointed an agricultural receiver; or</w:t>
            </w:r>
          </w:p>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any event occurs, or proceeding is taken, with respect to that person in any jurisdiction to which it is subject that has an effect equivalent or similar to any of the events mentioned above;</w:t>
            </w:r>
          </w:p>
        </w:tc>
      </w:tr>
      <w:tr>
        <w:tc>
          <w:tcPr/>
          <w:p w:rsidR="00000000" w:rsidDel="00000000" w:rsidP="00000000" w:rsidRDefault="00000000" w:rsidRPr="00000000" w14:paraId="000001C0">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Installation Works</w:t>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works which the Supplier is to carry out at the beginning of the Call-Off Contract Period to install the Goods in accordance with the Call-Off Contract;</w:t>
            </w:r>
          </w:p>
        </w:tc>
      </w:tr>
      <w:tr>
        <w:tc>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Intellectual Property Rights or IPR</w:t>
            </w:r>
          </w:p>
        </w:tc>
        <w:tc>
          <w:tcPr/>
          <w:p w:rsidR="00000000" w:rsidDel="00000000" w:rsidP="00000000" w:rsidRDefault="00000000" w:rsidRPr="00000000" w14:paraId="000001C3">
            <w:pPr>
              <w:numPr>
                <w:ilvl w:val="0"/>
                <w:numId w:val="22"/>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rsidR="00000000" w:rsidDel="00000000" w:rsidP="00000000" w:rsidRDefault="00000000" w:rsidRPr="00000000" w14:paraId="000001C4">
            <w:pPr>
              <w:numPr>
                <w:ilvl w:val="0"/>
                <w:numId w:val="22"/>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applications for registration, and the right to apply for registration, for any of the rights listed at (a) that are capable of being registered in any country or jurisdiction; and</w:t>
            </w:r>
          </w:p>
          <w:p w:rsidR="00000000" w:rsidDel="00000000" w:rsidP="00000000" w:rsidRDefault="00000000" w:rsidRPr="00000000" w14:paraId="000001C5">
            <w:pPr>
              <w:numPr>
                <w:ilvl w:val="0"/>
                <w:numId w:val="22"/>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rights having equivalent or similar effect in any country or jurisdiction;</w:t>
            </w:r>
          </w:p>
        </w:tc>
      </w:tr>
      <w:tr>
        <w:tc>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Internal Workflow</w:t>
            </w:r>
            <w:r w:rsidDel="00000000" w:rsidR="00000000" w:rsidRPr="00000000">
              <w:rPr>
                <w:rtl w:val="0"/>
              </w:rPr>
            </w:r>
          </w:p>
        </w:tc>
        <w:tc>
          <w:tcPr/>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sequence of processes through which a piece of work or a document passes from initiation to completion.</w:t>
            </w:r>
            <w:r w:rsidDel="00000000" w:rsidR="00000000" w:rsidRPr="00000000">
              <w:rPr>
                <w:rtl w:val="0"/>
              </w:rPr>
            </w:r>
          </w:p>
        </w:tc>
      </w:tr>
      <w:tr>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Inventory Management</w:t>
            </w:r>
            <w:r w:rsidDel="00000000" w:rsidR="00000000" w:rsidRPr="00000000">
              <w:rPr>
                <w:rtl w:val="0"/>
              </w:rPr>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list and or report detailing the description and or movement of a Record. </w:t>
            </w:r>
            <w:r w:rsidDel="00000000" w:rsidR="00000000" w:rsidRPr="00000000">
              <w:rPr>
                <w:rtl w:val="0"/>
              </w:rPr>
            </w:r>
          </w:p>
        </w:tc>
      </w:tr>
      <w:tr>
        <w:tc>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Inventory Software</w:t>
            </w:r>
            <w:r w:rsidDel="00000000" w:rsidR="00000000" w:rsidRPr="00000000">
              <w:rPr>
                <w:rtl w:val="0"/>
              </w:rPr>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computer-based system for tracking inventory levels, orders and movements of goods </w:t>
            </w:r>
            <w:r w:rsidDel="00000000" w:rsidR="00000000" w:rsidRPr="00000000">
              <w:rPr>
                <w:rtl w:val="0"/>
              </w:rPr>
            </w:r>
          </w:p>
        </w:tc>
      </w:tr>
      <w:tr>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Invoicing Address</w:t>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address to which the Supplier shall invoice the Buyer as specified in the Order Form;</w:t>
            </w:r>
          </w:p>
        </w:tc>
      </w:tr>
      <w:tr>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IPR Claim</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IR35</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off-payroll rules requiring individuals who work through their company pay the same tax and National Insurance contributions as an employee which can be found online at: </w:t>
            </w:r>
            <w:hyperlink r:id="rId7">
              <w:r w:rsidDel="00000000" w:rsidR="00000000" w:rsidRPr="00000000">
                <w:rPr>
                  <w:rFonts w:ascii="Arial" w:cs="Arial" w:eastAsia="Arial" w:hAnsi="Arial"/>
                  <w:color w:val="0000ff"/>
                  <w:sz w:val="24"/>
                  <w:szCs w:val="24"/>
                  <w:u w:val="single"/>
                  <w:rtl w:val="0"/>
                </w:rPr>
                <w:t xml:space="preserve">https://www.gov.uk/guidance/ir35-find-out-if-it-applies</w:t>
              </w:r>
            </w:hyperlink>
            <w:r w:rsidDel="00000000" w:rsidR="00000000" w:rsidRPr="00000000">
              <w:rPr>
                <w:rFonts w:ascii="Arial" w:cs="Arial" w:eastAsia="Arial" w:hAnsi="Arial"/>
                <w:color w:val="000000"/>
                <w:sz w:val="24"/>
                <w:szCs w:val="24"/>
                <w:rtl w:val="0"/>
              </w:rPr>
              <w:t xml:space="preserve">;</w:t>
            </w:r>
          </w:p>
        </w:tc>
      </w:tr>
      <w:tr>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 Agreement</w:t>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agreement (if any) entered into between the Relevant Authority and the Supplier substantially in the form set out in Annex 2 of Joint Schedule 11 (</w:t>
            </w:r>
            <w:r w:rsidDel="00000000" w:rsidR="00000000" w:rsidRPr="00000000">
              <w:rPr>
                <w:rFonts w:ascii="Arial" w:cs="Arial" w:eastAsia="Arial" w:hAnsi="Arial"/>
                <w:i w:val="1"/>
                <w:color w:val="000000"/>
                <w:sz w:val="24"/>
                <w:szCs w:val="24"/>
                <w:rtl w:val="0"/>
              </w:rPr>
              <w:t xml:space="preserve">Processing Data</w:t>
            </w:r>
            <w:r w:rsidDel="00000000" w:rsidR="00000000" w:rsidRPr="00000000">
              <w:rPr>
                <w:rFonts w:ascii="Arial" w:cs="Arial" w:eastAsia="Arial" w:hAnsi="Arial"/>
                <w:color w:val="000000"/>
                <w:sz w:val="24"/>
                <w:szCs w:val="24"/>
                <w:rtl w:val="0"/>
              </w:rPr>
              <w:t xml:space="preserve">);</w:t>
            </w:r>
          </w:p>
        </w:tc>
      </w:tr>
      <w:tr>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Controllers</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two or more Controllers jointly determine the purposes and means of Processing;</w:t>
            </w:r>
          </w:p>
        </w:tc>
      </w:tr>
      <w:tr>
        <w:tc>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Staff</w:t>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individuals (if any) identified as such in the Order Form;</w:t>
            </w:r>
          </w:p>
        </w:tc>
      </w:tr>
      <w:tr>
        <w:trPr>
          <w:trHeight w:val="357" w:hRule="atLeast"/>
        </w:trPr>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w:t>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Sub-Contract with a Key Subcontractor;</w:t>
            </w:r>
          </w:p>
        </w:tc>
      </w:tr>
      <w:tr>
        <w:trPr>
          <w:trHeight w:val="426" w:hRule="atLeast"/>
        </w:trPr>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Subcontractor:</w:t>
            </w:r>
          </w:p>
          <w:p w:rsidR="00000000" w:rsidDel="00000000" w:rsidP="00000000" w:rsidRDefault="00000000" w:rsidRPr="00000000" w14:paraId="000001DC">
            <w:pPr>
              <w:numPr>
                <w:ilvl w:val="0"/>
                <w:numId w:val="23"/>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is relied upon to deliver any work package within the Deliverables in their entirety; and/or</w:t>
            </w:r>
          </w:p>
          <w:p w:rsidR="00000000" w:rsidDel="00000000" w:rsidP="00000000" w:rsidRDefault="00000000" w:rsidRPr="00000000" w14:paraId="000001DD">
            <w:pPr>
              <w:numPr>
                <w:ilvl w:val="0"/>
                <w:numId w:val="23"/>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in the opinion of CCS or the Buyer performs (or would perform if appointed) a critical role in the provision of all or any part of the Deliverables; and/or</w:t>
            </w:r>
          </w:p>
          <w:p w:rsidR="00000000" w:rsidDel="00000000" w:rsidP="00000000" w:rsidRDefault="00000000" w:rsidRPr="00000000" w14:paraId="000001DE">
            <w:pPr>
              <w:numPr>
                <w:ilvl w:val="0"/>
                <w:numId w:val="23"/>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a Sub-Contract with a contract value which at the time of appointment exceeds (or would exceed if appointed) 10% of the aggregate Charges forecast to be payable under the Call-Off Contract,</w:t>
            </w:r>
          </w:p>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pos="-576"/>
                <w:tab w:val="left" w:pos="144"/>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shall list all such Key Subcontractors in section 19 of the Framework Award Form and in the Key Subcontractor Section in Order Form;</w:t>
            </w:r>
          </w:p>
        </w:tc>
      </w:tr>
      <w:tr>
        <w:tc>
          <w:tcPr/>
          <w:p w:rsidR="00000000" w:rsidDel="00000000" w:rsidP="00000000" w:rsidRDefault="00000000" w:rsidRPr="00000000" w14:paraId="000001E0">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Know-How</w:t>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Start Date;</w:t>
            </w:r>
          </w:p>
        </w:tc>
      </w:tr>
      <w:tr>
        <w:tc>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Law</w:t>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tc>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LED</w:t>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Law Enforcement Directive (Directive (EU) 2016/680);</w:t>
            </w:r>
          </w:p>
        </w:tc>
      </w:tr>
      <w:tr>
        <w:tc>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Lister</w:t>
            </w:r>
            <w:r w:rsidDel="00000000" w:rsidR="00000000" w:rsidRPr="00000000">
              <w:rPr>
                <w:rtl w:val="0"/>
              </w:rPr>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Supplier Personnel who will transcribe and input information from a Record into a list.</w:t>
            </w:r>
            <w:r w:rsidDel="00000000" w:rsidR="00000000" w:rsidRPr="00000000">
              <w:rPr>
                <w:rtl w:val="0"/>
              </w:rPr>
            </w:r>
          </w:p>
        </w:tc>
      </w:tr>
      <w:tr>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Lister Project Manager</w:t>
            </w:r>
            <w:r w:rsidDel="00000000" w:rsidR="00000000" w:rsidRPr="00000000">
              <w:rPr>
                <w:rtl w:val="0"/>
              </w:rPr>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Project Manager who oversees the Lister and Lister Service.</w:t>
            </w:r>
            <w:r w:rsidDel="00000000" w:rsidR="00000000" w:rsidRPr="00000000">
              <w:rPr>
                <w:rtl w:val="0"/>
              </w:rPr>
            </w:r>
          </w:p>
        </w:tc>
      </w:tr>
      <w:tr>
        <w:tc>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Listing Service</w:t>
            </w:r>
            <w:r w:rsidDel="00000000" w:rsidR="00000000" w:rsidRPr="00000000">
              <w:rPr>
                <w:rtl w:val="0"/>
              </w:rPr>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process of transcribing and inputting information from a Record into a list which shall then be transposed into a Catalogue template </w:t>
            </w:r>
            <w:r w:rsidDel="00000000" w:rsidR="00000000" w:rsidRPr="00000000">
              <w:rPr>
                <w:rtl w:val="0"/>
              </w:rPr>
            </w:r>
          </w:p>
        </w:tc>
      </w:tr>
      <w:tr>
        <w:tc>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Loose Filing</w:t>
            </w:r>
            <w:r w:rsidDel="00000000" w:rsidR="00000000" w:rsidRPr="00000000">
              <w:rPr>
                <w:rtl w:val="0"/>
              </w:rPr>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when a Patient’s Record is not available during the Patient’s appointment therefore a temporary Record is compiled and then subsequently enclosed within the original Patient Record.</w:t>
            </w:r>
            <w:r w:rsidDel="00000000" w:rsidR="00000000" w:rsidRPr="00000000">
              <w:rPr>
                <w:rtl w:val="0"/>
              </w:rPr>
            </w:r>
          </w:p>
        </w:tc>
      </w:tr>
      <w:tr>
        <w:tc>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Losses</w:t>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rFonts w:ascii="Arial" w:cs="Arial" w:eastAsia="Arial" w:hAnsi="Arial"/>
                <w:b w:val="1"/>
                <w:color w:val="000000"/>
                <w:sz w:val="24"/>
                <w:szCs w:val="24"/>
                <w:rtl w:val="0"/>
              </w:rPr>
              <w:t xml:space="preserve">Loss</w:t>
            </w:r>
            <w:r w:rsidDel="00000000" w:rsidR="00000000" w:rsidRPr="00000000">
              <w:rPr>
                <w:rFonts w:ascii="Arial" w:cs="Arial" w:eastAsia="Arial" w:hAnsi="Arial"/>
                <w:color w:val="000000"/>
                <w:sz w:val="24"/>
                <w:szCs w:val="24"/>
                <w:rtl w:val="0"/>
              </w:rPr>
              <w:t xml:space="preserve">" shall be interpreted accordingly;</w:t>
            </w:r>
          </w:p>
        </w:tc>
      </w:tr>
      <w:tr>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Lots</w:t>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lots specified in Framework Schedule 1 (Specification), if applicable;</w:t>
            </w:r>
          </w:p>
        </w:tc>
      </w:tr>
      <w:tr>
        <w:tc>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Macro level Appraisal</w:t>
            </w:r>
            <w:r w:rsidDel="00000000" w:rsidR="00000000" w:rsidRPr="00000000">
              <w:rPr>
                <w:rtl w:val="0"/>
              </w:rPr>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process within a Buyers business function(s) between a certain time period, in order to identify information of historical importance and determine whether further appraisal techniques shall be undertaken.</w:t>
            </w:r>
            <w:r w:rsidDel="00000000" w:rsidR="00000000" w:rsidRPr="00000000">
              <w:rPr>
                <w:rtl w:val="0"/>
              </w:rPr>
            </w:r>
          </w:p>
        </w:tc>
      </w:tr>
      <w:tr>
        <w:tc>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sum specified in the Framework Award Form payable by the Supplier to CCS in accordance with Framework Schedule 5 (Management Charges and Information);</w:t>
            </w:r>
          </w:p>
        </w:tc>
      </w:tr>
      <w:tr>
        <w:tc>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Information or MI</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management information specified in Framework Schedule 5 (Management Charges and Information);</w:t>
            </w:r>
          </w:p>
        </w:tc>
      </w:tr>
      <w:tr>
        <w:tc>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Marketing and Communications Plan</w:t>
            </w:r>
            <w:r w:rsidDel="00000000" w:rsidR="00000000" w:rsidRPr="00000000">
              <w:rPr>
                <w:rtl w:val="0"/>
              </w:rPr>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means the plan agreed between the Authority and the Supplier which  will detail all marketing activities including, but not limited to,  producing case studies, running or attending events, direct mail  campaigns, and Social Media campaigns.</w:t>
            </w:r>
            <w:r w:rsidDel="00000000" w:rsidR="00000000" w:rsidRPr="00000000">
              <w:rPr>
                <w:rtl w:val="0"/>
              </w:rPr>
            </w:r>
          </w:p>
        </w:tc>
      </w:tr>
      <w:tr>
        <w:tc>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Material</w:t>
            </w:r>
            <w:r w:rsidDel="00000000" w:rsidR="00000000" w:rsidRPr="00000000">
              <w:rPr>
                <w:rtl w:val="0"/>
              </w:rPr>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means wording, photographs, Images, maps or any content within the Record(s).</w:t>
            </w:r>
            <w:r w:rsidDel="00000000" w:rsidR="00000000" w:rsidRPr="00000000">
              <w:rPr>
                <w:rtl w:val="0"/>
              </w:rPr>
            </w:r>
          </w:p>
        </w:tc>
      </w:tr>
      <w:tr>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Microfiche means</w:t>
            </w:r>
            <w:r w:rsidDel="00000000" w:rsidR="00000000" w:rsidRPr="00000000">
              <w:rPr>
                <w:rtl w:val="0"/>
              </w:rPr>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a flat piece of film containing microphotographs of the pages of a newspaper, catalogue, or other document. </w:t>
            </w:r>
            <w:r w:rsidDel="00000000" w:rsidR="00000000" w:rsidRPr="00000000">
              <w:rPr>
                <w:rtl w:val="0"/>
              </w:rPr>
            </w:r>
          </w:p>
        </w:tc>
      </w:tr>
      <w:tr>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Microfilm</w:t>
            </w:r>
            <w:r w:rsidDel="00000000" w:rsidR="00000000" w:rsidRPr="00000000">
              <w:rPr>
                <w:rtl w:val="0"/>
              </w:rPr>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means film containing microphotographs of a newspaper, catalogue, or other document. </w:t>
            </w:r>
            <w:r w:rsidDel="00000000" w:rsidR="00000000" w:rsidRPr="00000000">
              <w:rPr>
                <w:rtl w:val="0"/>
              </w:rPr>
            </w:r>
          </w:p>
        </w:tc>
      </w:tr>
      <w:tr>
        <w:tc>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Microform</w:t>
            </w:r>
            <w:r w:rsidDel="00000000" w:rsidR="00000000" w:rsidRPr="00000000">
              <w:rPr>
                <w:rtl w:val="0"/>
              </w:rPr>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means microphotographic reproduction, on film or paper, of a manuscript, map, or other document. </w:t>
            </w:r>
            <w:r w:rsidDel="00000000" w:rsidR="00000000" w:rsidRPr="00000000">
              <w:rPr>
                <w:rtl w:val="0"/>
              </w:rPr>
            </w:r>
          </w:p>
        </w:tc>
      </w:tr>
      <w:tr>
        <w:tc>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Milestone</w:t>
            </w:r>
            <w:r w:rsidDel="00000000" w:rsidR="00000000" w:rsidRPr="00000000">
              <w:rPr>
                <w:rtl w:val="0"/>
              </w:rPr>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an event or task described in the Implementation Plan;</w:t>
            </w:r>
            <w:r w:rsidDel="00000000" w:rsidR="00000000" w:rsidRPr="00000000">
              <w:rPr>
                <w:rtl w:val="0"/>
              </w:rPr>
            </w:r>
          </w:p>
        </w:tc>
      </w:tr>
      <w:tr>
        <w:tc>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Milestone Date</w:t>
            </w:r>
            <w:r w:rsidDel="00000000" w:rsidR="00000000" w:rsidRPr="00000000">
              <w:rPr>
                <w:rtl w:val="0"/>
              </w:rPr>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the target date set out against the relevant Milestone in the Implementation Plan by which the Milestone must be Achieved;</w:t>
            </w:r>
            <w:r w:rsidDel="00000000" w:rsidR="00000000" w:rsidRPr="00000000">
              <w:rPr>
                <w:rtl w:val="0"/>
              </w:rPr>
            </w:r>
          </w:p>
        </w:tc>
      </w:tr>
      <w:tr>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Mixed Appraisal</w:t>
            </w:r>
            <w:r w:rsidDel="00000000" w:rsidR="00000000" w:rsidRPr="00000000">
              <w:rPr>
                <w:rtl w:val="0"/>
              </w:rPr>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means the undertaking of a mixture of appraisal processes in order to identify information of historical importance</w:t>
            </w:r>
            <w:r w:rsidDel="00000000" w:rsidR="00000000" w:rsidRPr="00000000">
              <w:rPr>
                <w:rtl w:val="0"/>
              </w:rPr>
            </w:r>
          </w:p>
        </w:tc>
      </w:tr>
      <w:tr>
        <w:tc>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Default</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222222"/>
                <w:sz w:val="24"/>
                <w:szCs w:val="24"/>
                <w:rtl w:val="0"/>
              </w:rPr>
              <w:t xml:space="preserve">means when</w:t>
            </w:r>
            <w:r w:rsidDel="00000000" w:rsidR="00000000" w:rsidRPr="00000000">
              <w:rPr>
                <w:rFonts w:ascii="Arial" w:cs="Arial" w:eastAsia="Arial" w:hAnsi="Arial"/>
                <w:b w:val="1"/>
                <w:color w:val="222222"/>
                <w:sz w:val="24"/>
                <w:szCs w:val="24"/>
                <w:rtl w:val="0"/>
              </w:rPr>
              <w:t xml:space="preserve"> </w:t>
            </w:r>
            <w:r w:rsidDel="00000000" w:rsidR="00000000" w:rsidRPr="00000000">
              <w:rPr>
                <w:rFonts w:ascii="Arial" w:cs="Arial" w:eastAsia="Arial" w:hAnsi="Arial"/>
                <w:color w:val="000000"/>
                <w:sz w:val="24"/>
                <w:szCs w:val="24"/>
                <w:rtl w:val="0"/>
              </w:rPr>
              <w:t xml:space="preserve">two (2) MI Reports are not provided in any rolling six (6) month period</w:t>
            </w:r>
          </w:p>
        </w:tc>
      </w:tr>
      <w:tr>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Failure</w:t>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when an MI report:</w:t>
            </w:r>
          </w:p>
          <w:p w:rsidR="00000000" w:rsidDel="00000000" w:rsidP="00000000" w:rsidRDefault="00000000" w:rsidRPr="00000000" w14:paraId="0000020C">
            <w:pPr>
              <w:numPr>
                <w:ilvl w:val="0"/>
                <w:numId w:val="24"/>
              </w:numPr>
              <w:pBdr>
                <w:top w:space="0" w:sz="0" w:val="nil"/>
                <w:left w:space="0" w:sz="0" w:val="nil"/>
                <w:bottom w:space="0" w:sz="0" w:val="nil"/>
                <w:right w:space="0" w:sz="0" w:val="nil"/>
                <w:between w:space="0" w:sz="0" w:val="nil"/>
              </w:pBdr>
              <w:tabs>
                <w:tab w:val="left" w:pos="-576"/>
                <w:tab w:val="left" w:pos="175"/>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contains any material errors or material omissions or a missing mandatory field; or  </w:t>
            </w:r>
          </w:p>
          <w:p w:rsidR="00000000" w:rsidDel="00000000" w:rsidP="00000000" w:rsidRDefault="00000000" w:rsidRPr="00000000" w14:paraId="0000020D">
            <w:pPr>
              <w:numPr>
                <w:ilvl w:val="0"/>
                <w:numId w:val="24"/>
              </w:numPr>
              <w:pBdr>
                <w:top w:space="0" w:sz="0" w:val="nil"/>
                <w:left w:space="0" w:sz="0" w:val="nil"/>
                <w:bottom w:space="0" w:sz="0" w:val="nil"/>
                <w:right w:space="0" w:sz="0" w:val="nil"/>
                <w:between w:space="0" w:sz="0" w:val="nil"/>
              </w:pBdr>
              <w:tabs>
                <w:tab w:val="left" w:pos="-576"/>
                <w:tab w:val="left" w:pos="175"/>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submitted using an incorrect MI reporting Template; or</w:t>
            </w:r>
          </w:p>
          <w:p w:rsidR="00000000" w:rsidDel="00000000" w:rsidP="00000000" w:rsidRDefault="00000000" w:rsidRPr="00000000" w14:paraId="0000020E">
            <w:pPr>
              <w:numPr>
                <w:ilvl w:val="0"/>
                <w:numId w:val="24"/>
              </w:numPr>
              <w:pBdr>
                <w:top w:space="0" w:sz="0" w:val="nil"/>
                <w:left w:space="0" w:sz="0" w:val="nil"/>
                <w:bottom w:space="0" w:sz="0" w:val="nil"/>
                <w:right w:space="0" w:sz="0" w:val="nil"/>
                <w:between w:space="0" w:sz="0" w:val="nil"/>
              </w:pBdr>
              <w:tabs>
                <w:tab w:val="left" w:pos="-576"/>
                <w:tab w:val="left" w:pos="175"/>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not submitted by the reporting date (including where a declaration of no business should have been filed);</w:t>
            </w:r>
          </w:p>
        </w:tc>
      </w:tr>
      <w:tr>
        <w:tc>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w:t>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report containing Management Information submitted to the Authority in accordance with Framework Schedule 5 (Management Charges and Information);</w:t>
            </w:r>
          </w:p>
        </w:tc>
      </w:tr>
      <w:tr>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Reporting Template</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pos="-179"/>
                <w:tab w:val="left" w:pos="175"/>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form of report set out in the Annex to Framework Schedule 5 (Management Charges and Information) setting out the information the Supplier is required to supply to the Authority;</w:t>
            </w:r>
          </w:p>
        </w:tc>
      </w:tr>
      <w:tr>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Month</w:t>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calendar month and "</w:t>
            </w:r>
            <w:r w:rsidDel="00000000" w:rsidR="00000000" w:rsidRPr="00000000">
              <w:rPr>
                <w:rFonts w:ascii="Arial" w:cs="Arial" w:eastAsia="Arial" w:hAnsi="Arial"/>
                <w:b w:val="1"/>
                <w:color w:val="000000"/>
                <w:sz w:val="24"/>
                <w:szCs w:val="24"/>
                <w:rtl w:val="0"/>
              </w:rPr>
              <w:t xml:space="preserve">Monthly</w:t>
            </w:r>
            <w:r w:rsidDel="00000000" w:rsidR="00000000" w:rsidRPr="00000000">
              <w:rPr>
                <w:rFonts w:ascii="Arial" w:cs="Arial" w:eastAsia="Arial" w:hAnsi="Arial"/>
                <w:color w:val="000000"/>
                <w:sz w:val="24"/>
                <w:szCs w:val="24"/>
                <w:rtl w:val="0"/>
              </w:rPr>
              <w:t xml:space="preserve">" shall be interpreted accordingly;</w:t>
            </w:r>
          </w:p>
        </w:tc>
      </w:tr>
      <w:tr>
        <w:tc>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National Cyber Security Centre (NCSC)</w:t>
            </w:r>
            <w:r w:rsidDel="00000000" w:rsidR="00000000" w:rsidRPr="00000000">
              <w:rPr>
                <w:rtl w:val="0"/>
              </w:rPr>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an organisation within the UK Government that provides advice and support for the public and private sector in how to avoid computer threats.</w:t>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tl w:val="0"/>
              </w:rPr>
            </w:r>
          </w:p>
        </w:tc>
      </w:tr>
      <w:tr>
        <w:tc>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National Insurance</w:t>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contributions required by the Social Security Contributions and Benefits Act 1992 and made in accordance with the  Social Security (Contributions) Regulations 2001 (SI 2001/1004);</w:t>
            </w:r>
          </w:p>
        </w:tc>
      </w:tr>
      <w:tr>
        <w:tc>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New IPR</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IPR in items created by the Supplier (or by a third party on behalf of the Supplier) specifically for the purposes of a Contract and updates and amendments of these items including (but not limited to) database schema; and/or</w:t>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IPR in or arising as a result of the performance of the Supplier’s obligations under a Contract and all updates and amendments to the same; </w:t>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shall not include the Supplier’s Existing IPR;</w:t>
            </w:r>
          </w:p>
        </w:tc>
      </w:tr>
      <w:tr>
        <w:tc>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Occasion of Tax Non–Compliance</w:t>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t>
            </w:r>
          </w:p>
          <w:p w:rsidR="00000000" w:rsidDel="00000000" w:rsidP="00000000" w:rsidRDefault="00000000" w:rsidRPr="00000000" w14:paraId="00000220">
            <w:pPr>
              <w:numPr>
                <w:ilvl w:val="0"/>
                <w:numId w:val="4"/>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which is found on or after 1 April 2013 to be incorrect as a result of:</w:t>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pos="-576"/>
                <w:tab w:val="left" w:pos="144"/>
              </w:tabs>
              <w:spacing w:after="120" w:lineRule="auto"/>
              <w:ind w:left="708"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 </w:t>
            </w:r>
            <w:r w:rsidDel="00000000" w:rsidR="00000000" w:rsidRPr="00000000">
              <w:rPr>
                <w:rFonts w:ascii="Arial" w:cs="Arial" w:eastAsia="Arial" w:hAnsi="Arial"/>
                <w:color w:val="000000"/>
                <w:sz w:val="24"/>
                <w:szCs w:val="24"/>
                <w:rtl w:val="0"/>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pos="-576"/>
                <w:tab w:val="left" w:pos="144"/>
              </w:tabs>
              <w:spacing w:after="120" w:lineRule="auto"/>
              <w:ind w:left="708"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ii) </w:t>
            </w:r>
            <w:r w:rsidDel="00000000" w:rsidR="00000000" w:rsidRPr="00000000">
              <w:rPr>
                <w:rFonts w:ascii="Arial" w:cs="Arial" w:eastAsia="Arial" w:hAnsi="Arial"/>
                <w:color w:val="000000"/>
                <w:sz w:val="24"/>
                <w:szCs w:val="24"/>
                <w:rtl w:val="0"/>
              </w:rPr>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223">
            <w:pPr>
              <w:numPr>
                <w:ilvl w:val="0"/>
                <w:numId w:val="4"/>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tc>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Off-site Sensitivity Review Service</w:t>
            </w:r>
            <w:r w:rsidDel="00000000" w:rsidR="00000000" w:rsidRPr="00000000">
              <w:rPr>
                <w:rtl w:val="0"/>
              </w:rPr>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Supplier who shall conduct a Sensitivity Review of Record(s) at the Suppliers premises.</w:t>
            </w:r>
            <w:r w:rsidDel="00000000" w:rsidR="00000000" w:rsidRPr="00000000">
              <w:rPr>
                <w:rtl w:val="0"/>
              </w:rPr>
            </w:r>
          </w:p>
        </w:tc>
      </w:tr>
      <w:tr>
        <w:tc>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On-site</w:t>
            </w:r>
            <w:r w:rsidDel="00000000" w:rsidR="00000000" w:rsidRPr="00000000">
              <w:rPr>
                <w:rtl w:val="0"/>
              </w:rPr>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Services performed at a designated Buyers office or other location</w:t>
            </w:r>
            <w:r w:rsidDel="00000000" w:rsidR="00000000" w:rsidRPr="00000000">
              <w:rPr>
                <w:rtl w:val="0"/>
              </w:rPr>
            </w:r>
          </w:p>
        </w:tc>
      </w:tr>
      <w:tr>
        <w:tc>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On-site Sensitivity Review Service</w:t>
            </w:r>
            <w:r w:rsidDel="00000000" w:rsidR="00000000" w:rsidRPr="00000000">
              <w:rPr>
                <w:rtl w:val="0"/>
              </w:rPr>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Supplier who shall conduct the Sensitivity Review of Record(s) at the Buyers premises.</w:t>
            </w:r>
            <w:r w:rsidDel="00000000" w:rsidR="00000000" w:rsidRPr="00000000">
              <w:rPr>
                <w:rtl w:val="0"/>
              </w:rPr>
            </w:r>
          </w:p>
        </w:tc>
      </w:tr>
      <w:tr>
        <w:tc>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On Premise</w:t>
            </w:r>
            <w:r w:rsidDel="00000000" w:rsidR="00000000" w:rsidRPr="00000000">
              <w:rPr>
                <w:rtl w:val="0"/>
              </w:rPr>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software supplied, installed and ran on hardware and/or systems on the premises of the Buyer using the software. </w:t>
            </w:r>
            <w:r w:rsidDel="00000000" w:rsidR="00000000" w:rsidRPr="00000000">
              <w:rPr>
                <w:rtl w:val="0"/>
              </w:rPr>
            </w:r>
          </w:p>
        </w:tc>
      </w:tr>
      <w:tr>
        <w:tc>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Off Premise</w:t>
            </w:r>
            <w:r w:rsidDel="00000000" w:rsidR="00000000" w:rsidRPr="00000000">
              <w:rPr>
                <w:rtl w:val="0"/>
              </w:rPr>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software supplied and managed </w:t>
            </w:r>
            <w:r w:rsidDel="00000000" w:rsidR="00000000" w:rsidRPr="00000000">
              <w:rPr>
                <w:rtl w:val="0"/>
              </w:rPr>
            </w:r>
          </w:p>
        </w:tc>
      </w:tr>
      <w:tr>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Open</w:t>
            </w:r>
            <w:r w:rsidDel="00000000" w:rsidR="00000000" w:rsidRPr="00000000">
              <w:rPr>
                <w:rtl w:val="0"/>
              </w:rPr>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Record does not contain Sensitive information and therefore shall be transferred to The National Archives and Open to the public.</w:t>
            </w:r>
            <w:r w:rsidDel="00000000" w:rsidR="00000000" w:rsidRPr="00000000">
              <w:rPr>
                <w:rtl w:val="0"/>
              </w:rPr>
            </w:r>
          </w:p>
        </w:tc>
      </w:tr>
      <w:tr>
        <w:trPr>
          <w:trHeight w:val="5726" w:hRule="atLeast"/>
        </w:trPr>
        <w:tc>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Open Book Data </w:t>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000000" w:rsidDel="00000000" w:rsidP="00000000" w:rsidRDefault="00000000" w:rsidRPr="00000000" w14:paraId="00000232">
            <w:pPr>
              <w:numPr>
                <w:ilvl w:val="0"/>
                <w:numId w:val="5"/>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Costs broken down against each Good and/or Service and/or Deliverable, including actual capital expenditure (including capital replacement costs) and the unit cost and total actual costs of all Deliverables;</w:t>
            </w:r>
          </w:p>
          <w:p w:rsidR="00000000" w:rsidDel="00000000" w:rsidP="00000000" w:rsidRDefault="00000000" w:rsidRPr="00000000" w14:paraId="00000233">
            <w:pPr>
              <w:numPr>
                <w:ilvl w:val="0"/>
                <w:numId w:val="5"/>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operating expenditure relating to the provision of the Deliverables including an analysis showing:</w:t>
            </w:r>
          </w:p>
          <w:p w:rsidR="00000000" w:rsidDel="00000000" w:rsidP="00000000" w:rsidRDefault="00000000" w:rsidRPr="00000000" w14:paraId="00000234">
            <w:pPr>
              <w:numPr>
                <w:ilvl w:val="2"/>
                <w:numId w:val="2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unit costs and quantity of Goods and any other consumables and bought-in Deliverables;</w:t>
            </w:r>
          </w:p>
          <w:p w:rsidR="00000000" w:rsidDel="00000000" w:rsidP="00000000" w:rsidRDefault="00000000" w:rsidRPr="00000000" w14:paraId="00000235">
            <w:pPr>
              <w:numPr>
                <w:ilvl w:val="2"/>
                <w:numId w:val="2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costs broken down into the number and grade/role of all Supplier Staff (free of any contingency) together with a list of agreed rates against each grade;</w:t>
            </w:r>
          </w:p>
          <w:p w:rsidR="00000000" w:rsidDel="00000000" w:rsidP="00000000" w:rsidRDefault="00000000" w:rsidRPr="00000000" w14:paraId="00000236">
            <w:pPr>
              <w:numPr>
                <w:ilvl w:val="2"/>
                <w:numId w:val="2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list of Costs underpinning those rates for each grade, being the agreed rate less the Supplier Profit Margin; and</w:t>
            </w:r>
          </w:p>
          <w:p w:rsidR="00000000" w:rsidDel="00000000" w:rsidP="00000000" w:rsidRDefault="00000000" w:rsidRPr="00000000" w14:paraId="00000237">
            <w:pPr>
              <w:numPr>
                <w:ilvl w:val="2"/>
                <w:numId w:val="21"/>
              </w:numPr>
              <w:pBdr>
                <w:top w:space="0" w:sz="0" w:val="nil"/>
                <w:left w:space="0" w:sz="0" w:val="nil"/>
                <w:bottom w:space="0" w:sz="0" w:val="nil"/>
                <w:right w:space="0" w:sz="0" w:val="nil"/>
                <w:between w:space="0" w:sz="0" w:val="nil"/>
              </w:pBdr>
              <w:tabs>
                <w:tab w:val="left" w:pos="-576"/>
                <w:tab w:val="left"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Reimbursable Expenses, if allowed under the Order Form; </w:t>
            </w:r>
          </w:p>
          <w:p w:rsidR="00000000" w:rsidDel="00000000" w:rsidP="00000000" w:rsidRDefault="00000000" w:rsidRPr="00000000" w14:paraId="00000238">
            <w:pPr>
              <w:numPr>
                <w:ilvl w:val="0"/>
                <w:numId w:val="5"/>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Overheads; </w:t>
            </w:r>
          </w:p>
          <w:p w:rsidR="00000000" w:rsidDel="00000000" w:rsidP="00000000" w:rsidRDefault="00000000" w:rsidRPr="00000000" w14:paraId="00000239">
            <w:pPr>
              <w:numPr>
                <w:ilvl w:val="0"/>
                <w:numId w:val="5"/>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all interest, expenses and any other third party financing costs incurred in relation to the provision of the Deliverables;</w:t>
            </w:r>
            <w:r w:rsidDel="00000000" w:rsidR="00000000" w:rsidRPr="00000000">
              <w:rPr>
                <w:rtl w:val="0"/>
              </w:rPr>
            </w:r>
          </w:p>
          <w:p w:rsidR="00000000" w:rsidDel="00000000" w:rsidP="00000000" w:rsidRDefault="00000000" w:rsidRPr="00000000" w14:paraId="0000023A">
            <w:pPr>
              <w:numPr>
                <w:ilvl w:val="0"/>
                <w:numId w:val="5"/>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Profit achieved over the Framework Contract Period and on an annual basis;</w:t>
            </w:r>
          </w:p>
          <w:p w:rsidR="00000000" w:rsidDel="00000000" w:rsidP="00000000" w:rsidRDefault="00000000" w:rsidRPr="00000000" w14:paraId="0000023B">
            <w:pPr>
              <w:numPr>
                <w:ilvl w:val="0"/>
                <w:numId w:val="5"/>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that all methods of Cost apportionment and Overhead allocation are consistent with and not more onerous than such methods applied generally by the Supplier;</w:t>
            </w:r>
          </w:p>
          <w:p w:rsidR="00000000" w:rsidDel="00000000" w:rsidP="00000000" w:rsidRDefault="00000000" w:rsidRPr="00000000" w14:paraId="0000023C">
            <w:pPr>
              <w:numPr>
                <w:ilvl w:val="0"/>
                <w:numId w:val="5"/>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 explanation of the type and value of risk and contingencies associated with the provision of the Deliverables, including the amount of money attributed to each risk and/or contingency; and</w:t>
            </w:r>
          </w:p>
          <w:p w:rsidR="00000000" w:rsidDel="00000000" w:rsidP="00000000" w:rsidRDefault="00000000" w:rsidRPr="00000000" w14:paraId="0000023D">
            <w:pPr>
              <w:numPr>
                <w:ilvl w:val="0"/>
                <w:numId w:val="5"/>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actual Costs profile for each Service Period;</w:t>
            </w:r>
          </w:p>
        </w:tc>
      </w:tr>
      <w:tr>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 order for the provision of the Deliverables placed by a Buyer with the Supplier under a Contract;</w:t>
            </w:r>
          </w:p>
        </w:tc>
      </w:tr>
      <w:tr>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w:t>
            </w:r>
          </w:p>
        </w:tc>
        <w:tc>
          <w:tcPr/>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completed Order Form Template (or equivalent information issued by the Buyer) used to create a Call-Off Contract;</w:t>
            </w:r>
          </w:p>
        </w:tc>
      </w:tr>
      <w:tr>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 Template</w:t>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template in Framework Schedule 6 (Order Form Template and Call-Off Schedules);</w:t>
            </w:r>
          </w:p>
        </w:tc>
      </w:tr>
      <w:tr>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Other Contracting Authority</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actual or potential Buyer under the Framework Contract;</w:t>
            </w:r>
          </w:p>
        </w:tc>
      </w:tr>
      <w:tr>
        <w:tc>
          <w:tcPr/>
          <w:p w:rsidR="00000000" w:rsidDel="00000000" w:rsidP="00000000" w:rsidRDefault="00000000" w:rsidRPr="00000000" w14:paraId="00000246">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Overhead</w:t>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tc>
          <w:tcPr/>
          <w:p w:rsidR="00000000" w:rsidDel="00000000" w:rsidP="00000000" w:rsidRDefault="00000000" w:rsidRPr="00000000" w14:paraId="00000248">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Page-by-Page review</w:t>
            </w:r>
            <w:r w:rsidDel="00000000" w:rsidR="00000000" w:rsidRPr="00000000">
              <w:rPr>
                <w:rtl w:val="0"/>
              </w:rPr>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process of identifying information of historical importance within the Record by reviewing pages within the Record.</w:t>
            </w:r>
            <w:r w:rsidDel="00000000" w:rsidR="00000000" w:rsidRPr="00000000">
              <w:rPr>
                <w:rtl w:val="0"/>
              </w:rPr>
            </w:r>
          </w:p>
        </w:tc>
      </w:tr>
      <w:tr>
        <w:tc>
          <w:tcPr/>
          <w:p w:rsidR="00000000" w:rsidDel="00000000" w:rsidP="00000000" w:rsidRDefault="00000000" w:rsidRPr="00000000" w14:paraId="0000024A">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Parliament</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takes its natural meaning as interpreted by Law;</w:t>
            </w:r>
          </w:p>
        </w:tc>
      </w:tr>
      <w:tr>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Partially Closed</w:t>
            </w:r>
            <w:r w:rsidDel="00000000" w:rsidR="00000000" w:rsidRPr="00000000">
              <w:rPr>
                <w:rtl w:val="0"/>
              </w:rPr>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Record which has been released to the public, although part of that Record has been withheld from release as it is considered to contain Sensitive information which is protected by legal Exemption(s) and whose closure has been approved by the Secretary of State for Culture, Media and Sport on the advice of the Advisory Council on National Records and Archives (ACNRA). </w:t>
            </w:r>
            <w:r w:rsidDel="00000000" w:rsidR="00000000" w:rsidRPr="00000000">
              <w:rPr>
                <w:rtl w:val="0"/>
              </w:rPr>
            </w:r>
          </w:p>
        </w:tc>
      </w:tr>
      <w:tr>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Party</w:t>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context of the Framework Contract, CCS or the Supplier, and in the in the context of a Call-Off Contract the Buyer or the Supplier. "</w:t>
            </w:r>
            <w:r w:rsidDel="00000000" w:rsidR="00000000" w:rsidRPr="00000000">
              <w:rPr>
                <w:rFonts w:ascii="Arial" w:cs="Arial" w:eastAsia="Arial" w:hAnsi="Arial"/>
                <w:b w:val="1"/>
                <w:color w:val="000000"/>
                <w:sz w:val="24"/>
                <w:szCs w:val="24"/>
                <w:rtl w:val="0"/>
              </w:rPr>
              <w:t xml:space="preserve">Parties</w:t>
            </w:r>
            <w:r w:rsidDel="00000000" w:rsidR="00000000" w:rsidRPr="00000000">
              <w:rPr>
                <w:rFonts w:ascii="Arial" w:cs="Arial" w:eastAsia="Arial" w:hAnsi="Arial"/>
                <w:color w:val="000000"/>
                <w:sz w:val="24"/>
                <w:szCs w:val="24"/>
                <w:rtl w:val="0"/>
              </w:rPr>
              <w:t xml:space="preserve">" shall mean both of them where the context permits;</w:t>
            </w:r>
          </w:p>
        </w:tc>
      </w:tr>
      <w:tr>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Performance Improvement Plan</w:t>
            </w:r>
            <w:r w:rsidDel="00000000" w:rsidR="00000000" w:rsidRPr="00000000">
              <w:rPr>
                <w:rtl w:val="0"/>
              </w:rPr>
            </w:r>
          </w:p>
        </w:tc>
        <w:tc>
          <w:tcPr/>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plan that recognises failures in delivery and identifies  corrective action(s) and timeline(s) for each targeted performance are with assigned accountability. </w:t>
            </w:r>
            <w:r w:rsidDel="00000000" w:rsidR="00000000" w:rsidRPr="00000000">
              <w:rPr>
                <w:rtl w:val="0"/>
              </w:rPr>
            </w:r>
          </w:p>
        </w:tc>
      </w:tr>
      <w:tr>
        <w:tc>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Performance Indicators or PIs</w:t>
            </w:r>
          </w:p>
        </w:tc>
        <w:tc>
          <w:tcPr/>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measurements and targets in respect of the Supplier’s performance of the Framework Contract set out in Framework Schedule 4 (Framework Management);</w:t>
            </w:r>
          </w:p>
        </w:tc>
      </w:tr>
      <w:tr>
        <w:tc>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Permanent Preservation</w:t>
            </w:r>
            <w:r w:rsidDel="00000000" w:rsidR="00000000" w:rsidRPr="00000000">
              <w:rPr>
                <w:rtl w:val="0"/>
              </w:rPr>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Records that contain information of historical importance that shall be permanently preserved at The National Archives or Place of Deposit</w:t>
            </w:r>
            <w:r w:rsidDel="00000000" w:rsidR="00000000" w:rsidRPr="00000000">
              <w:rPr>
                <w:rtl w:val="0"/>
              </w:rPr>
            </w:r>
          </w:p>
        </w:tc>
      </w:tr>
      <w:tr>
        <w:tc>
          <w:tcPr/>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Permanently Withdrawn</w:t>
            </w:r>
            <w:r w:rsidDel="00000000" w:rsidR="00000000" w:rsidRPr="00000000">
              <w:rPr>
                <w:rtl w:val="0"/>
              </w:rPr>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Records that the Buyer requires to be withdrawn from store permanently and not be returned into store at any point.</w:t>
            </w:r>
            <w:r w:rsidDel="00000000" w:rsidR="00000000" w:rsidRPr="00000000">
              <w:rPr>
                <w:rtl w:val="0"/>
              </w:rPr>
            </w:r>
          </w:p>
        </w:tc>
      </w:tr>
      <w:tr>
        <w:tc>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w:t>
            </w:r>
          </w:p>
        </w:tc>
        <w:tc>
          <w:tcPr/>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GDPR;</w:t>
            </w:r>
          </w:p>
        </w:tc>
      </w:tr>
      <w:tr>
        <w:tc>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 Breach”</w:t>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GDPR;</w:t>
            </w:r>
          </w:p>
        </w:tc>
      </w:tr>
      <w:tr>
        <w:tc>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Personnel</w:t>
            </w:r>
          </w:p>
        </w:tc>
        <w:tc>
          <w:tcPr/>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suppliers of a Party and/or of any Subcontractor and/or Subprocessor engaged in the performance of its obligations under a Contract;</w:t>
            </w:r>
          </w:p>
        </w:tc>
      </w:tr>
      <w:tr>
        <w:tc>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Physical (Records)</w:t>
            </w:r>
            <w:r w:rsidDel="00000000" w:rsidR="00000000" w:rsidRPr="00000000">
              <w:rPr>
                <w:rtl w:val="0"/>
              </w:rPr>
            </w:r>
          </w:p>
        </w:tc>
        <w:tc>
          <w:tcPr/>
          <w:p w:rsidR="00000000" w:rsidDel="00000000" w:rsidP="00000000" w:rsidRDefault="00000000" w:rsidRPr="00000000" w14:paraId="0000025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any Buyers Record(s), supporting post or Box. </w:t>
            </w:r>
            <w:r w:rsidDel="00000000" w:rsidR="00000000" w:rsidRPr="00000000">
              <w:rPr>
                <w:rtl w:val="0"/>
              </w:rPr>
            </w:r>
          </w:p>
        </w:tc>
      </w:tr>
      <w:tr>
        <w:tc>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Place of Deposit</w:t>
            </w:r>
            <w:r w:rsidDel="00000000" w:rsidR="00000000" w:rsidRPr="00000000">
              <w:rPr>
                <w:rtl w:val="0"/>
              </w:rPr>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 appointed repository which holds certain classes of public Records which are not held at The National Archives</w:t>
            </w:r>
            <w:r w:rsidDel="00000000" w:rsidR="00000000" w:rsidRPr="00000000">
              <w:rPr>
                <w:rtl w:val="0"/>
              </w:rPr>
            </w:r>
          </w:p>
        </w:tc>
      </w:tr>
      <w:tr>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Prescribed Person</w:t>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legal adviser, an MP or an appropriate body which a whistle-blower may make a disclosure to as detailed in ‘Whistleblowing: list of prescribed people and bodies’, 24 November 2016, available online at: </w:t>
            </w:r>
            <w:hyperlink r:id="rId8">
              <w:r w:rsidDel="00000000" w:rsidR="00000000" w:rsidRPr="00000000">
                <w:rPr>
                  <w:rFonts w:ascii="Arial" w:cs="Arial" w:eastAsia="Arial" w:hAnsi="Arial"/>
                  <w:color w:val="0000ff"/>
                  <w:sz w:val="24"/>
                  <w:szCs w:val="24"/>
                  <w:u w:val="single"/>
                  <w:rtl w:val="0"/>
                </w:rPr>
                <w:t xml:space="preserve">https://www.gov.uk/government/publications/blowing-the-whistle-list-of-prescribed-people-and-bodies--2/whistleblowing-list-of-prescribed-people-and-bodies</w:t>
              </w:r>
            </w:hyperlink>
            <w:r w:rsidDel="00000000" w:rsidR="00000000" w:rsidRPr="00000000">
              <w:rPr>
                <w:rFonts w:ascii="Arial" w:cs="Arial" w:eastAsia="Arial" w:hAnsi="Arial"/>
                <w:color w:val="000000"/>
                <w:sz w:val="24"/>
                <w:szCs w:val="24"/>
                <w:rtl w:val="0"/>
              </w:rPr>
              <w:t xml:space="preserve">;</w:t>
            </w:r>
          </w:p>
        </w:tc>
      </w:tr>
      <w:tr>
        <w:tc>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Processing</w:t>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GDPR;</w:t>
            </w:r>
          </w:p>
        </w:tc>
      </w:tr>
      <w:tr>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Processor</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GDPR;</w:t>
            </w:r>
          </w:p>
        </w:tc>
      </w:tr>
      <w:tr>
        <w:tc>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Processor Personnel</w:t>
            </w:r>
          </w:p>
        </w:tc>
        <w:tc>
          <w:tcPr/>
          <w:p w:rsidR="00000000" w:rsidDel="00000000" w:rsidP="00000000" w:rsidRDefault="00000000" w:rsidRPr="00000000" w14:paraId="0000026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suppliers of the Processor and/or of any Subprocessor engaged in the performance of its obligations under a Contract;</w:t>
            </w:r>
          </w:p>
        </w:tc>
      </w:tr>
      <w:tr>
        <w:tc>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Product Range</w:t>
            </w:r>
            <w:r w:rsidDel="00000000" w:rsidR="00000000" w:rsidRPr="00000000">
              <w:rPr>
                <w:rtl w:val="0"/>
              </w:rPr>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range of New Equipment and Software, together with all associated and specified requirements that will be available to Buyers via this Framework Agreement.</w:t>
            </w:r>
            <w:r w:rsidDel="00000000" w:rsidR="00000000" w:rsidRPr="00000000">
              <w:rPr>
                <w:rtl w:val="0"/>
              </w:rPr>
            </w:r>
          </w:p>
        </w:tc>
      </w:tr>
      <w:tr>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w:t>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meeting between the Buyer Authorised Representative and the Supplier Authorised Representative; </w:t>
            </w:r>
          </w:p>
        </w:tc>
      </w:tr>
      <w:tr>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 Frequency</w:t>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conduct a Progress Meeting in accordance with Clause 6.1 as specified in the Order Form;</w:t>
            </w:r>
          </w:p>
        </w:tc>
      </w:tr>
      <w:tr>
        <w:tc>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w:t>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report provided by the Supplier indicating the steps taken to achieve Milestones or delivery dates;</w:t>
            </w:r>
          </w:p>
        </w:tc>
      </w:tr>
      <w:tr>
        <w:tc>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 Frequency</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deliver Progress Reports in accordance with Clause 6.1 as specified in the Order Form;</w:t>
            </w:r>
          </w:p>
        </w:tc>
      </w:tr>
      <w:tr>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Prohibited Acts</w:t>
            </w:r>
          </w:p>
        </w:tc>
        <w:tc>
          <w:tcPr/>
          <w:p w:rsidR="00000000" w:rsidDel="00000000" w:rsidP="00000000" w:rsidRDefault="00000000" w:rsidRPr="00000000" w14:paraId="00000275">
            <w:pPr>
              <w:numPr>
                <w:ilvl w:val="0"/>
                <w:numId w:val="16"/>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directly or indirectly offer, promise or give any person working for or engaged by a Buyer or any other public body a financial or other advantage to:</w:t>
            </w:r>
          </w:p>
          <w:p w:rsidR="00000000" w:rsidDel="00000000" w:rsidP="00000000" w:rsidRDefault="00000000" w:rsidRPr="00000000" w14:paraId="00000276">
            <w:pPr>
              <w:numPr>
                <w:ilvl w:val="2"/>
                <w:numId w:val="21"/>
              </w:numPr>
              <w:pBdr>
                <w:top w:space="0" w:sz="0" w:val="nil"/>
                <w:left w:space="0" w:sz="0" w:val="nil"/>
                <w:bottom w:space="0" w:sz="0" w:val="nil"/>
                <w:right w:space="0" w:sz="0" w:val="nil"/>
                <w:between w:space="0" w:sz="0" w:val="nil"/>
              </w:pBdr>
              <w:tabs>
                <w:tab w:val="left" w:pos="-179"/>
                <w:tab w:val="left"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induce that person to perform improperly a relevant function or activity; or</w:t>
            </w:r>
          </w:p>
          <w:p w:rsidR="00000000" w:rsidDel="00000000" w:rsidP="00000000" w:rsidRDefault="00000000" w:rsidRPr="00000000" w14:paraId="00000277">
            <w:pPr>
              <w:numPr>
                <w:ilvl w:val="2"/>
                <w:numId w:val="21"/>
              </w:numPr>
              <w:pBdr>
                <w:top w:space="0" w:sz="0" w:val="nil"/>
                <w:left w:space="0" w:sz="0" w:val="nil"/>
                <w:bottom w:space="0" w:sz="0" w:val="nil"/>
                <w:right w:space="0" w:sz="0" w:val="nil"/>
                <w:between w:space="0" w:sz="0" w:val="nil"/>
              </w:pBdr>
              <w:tabs>
                <w:tab w:val="left" w:pos="-179"/>
                <w:tab w:val="left"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reward that person for improper performance of a </w:t>
            </w:r>
            <w:r w:rsidDel="00000000" w:rsidR="00000000" w:rsidRPr="00000000">
              <w:rPr>
                <w:rFonts w:ascii="Arial" w:cs="Arial" w:eastAsia="Arial" w:hAnsi="Arial"/>
                <w:sz w:val="24"/>
                <w:szCs w:val="24"/>
                <w:rtl w:val="0"/>
              </w:rPr>
              <w:t xml:space="preserve">relevant function or activity; </w:t>
            </w: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to directly or indirectly request, agree to receive or accept any financial or other advantage as an inducement or a reward for improper performance of a relevant function or activity in connection with each Contract; or</w:t>
            </w:r>
          </w:p>
          <w:p w:rsidR="00000000" w:rsidDel="00000000" w:rsidP="00000000" w:rsidRDefault="00000000" w:rsidRPr="00000000" w14:paraId="00000279">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 committing any offence:</w:t>
              <w:tab/>
            </w:r>
            <w:r w:rsidDel="00000000" w:rsidR="00000000" w:rsidRPr="00000000">
              <w:rPr>
                <w:rtl w:val="0"/>
              </w:rPr>
            </w:r>
          </w:p>
          <w:p w:rsidR="00000000" w:rsidDel="00000000" w:rsidP="00000000" w:rsidRDefault="00000000" w:rsidRPr="00000000" w14:paraId="0000027A">
            <w:pPr>
              <w:numPr>
                <w:ilvl w:val="2"/>
                <w:numId w:val="21"/>
              </w:numPr>
              <w:pBdr>
                <w:top w:space="0" w:sz="0" w:val="nil"/>
                <w:left w:space="0" w:sz="0" w:val="nil"/>
                <w:bottom w:space="0" w:sz="0" w:val="nil"/>
                <w:right w:space="0" w:sz="0" w:val="nil"/>
                <w:between w:space="0" w:sz="0" w:val="nil"/>
              </w:pBdr>
              <w:tabs>
                <w:tab w:val="left" w:pos="-179"/>
                <w:tab w:val="left"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the Bribery Act 2010 (or any legislation repealed or revoked by such Act); or</w:t>
            </w:r>
          </w:p>
          <w:p w:rsidR="00000000" w:rsidDel="00000000" w:rsidP="00000000" w:rsidRDefault="00000000" w:rsidRPr="00000000" w14:paraId="0000027B">
            <w:pPr>
              <w:numPr>
                <w:ilvl w:val="2"/>
                <w:numId w:val="21"/>
              </w:numPr>
              <w:pBdr>
                <w:top w:space="0" w:sz="0" w:val="nil"/>
                <w:left w:space="0" w:sz="0" w:val="nil"/>
                <w:bottom w:space="0" w:sz="0" w:val="nil"/>
                <w:right w:space="0" w:sz="0" w:val="nil"/>
                <w:between w:space="0" w:sz="0" w:val="nil"/>
              </w:pBdr>
              <w:tabs>
                <w:tab w:val="left" w:pos="-179"/>
                <w:tab w:val="left"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legislation or common law concerning fraudulent acts; or</w:t>
            </w:r>
          </w:p>
          <w:p w:rsidR="00000000" w:rsidDel="00000000" w:rsidP="00000000" w:rsidRDefault="00000000" w:rsidRPr="00000000" w14:paraId="0000027C">
            <w:pPr>
              <w:numPr>
                <w:ilvl w:val="2"/>
                <w:numId w:val="21"/>
              </w:numPr>
              <w:pBdr>
                <w:top w:space="0" w:sz="0" w:val="nil"/>
                <w:left w:space="0" w:sz="0" w:val="nil"/>
                <w:bottom w:space="0" w:sz="0" w:val="nil"/>
                <w:right w:space="0" w:sz="0" w:val="nil"/>
                <w:between w:space="0" w:sz="0" w:val="nil"/>
              </w:pBdr>
              <w:tabs>
                <w:tab w:val="left" w:pos="-179"/>
                <w:tab w:val="left"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defrauding, attempting to defraud or conspiring to defraud a Buyer or other public body; or </w:t>
            </w:r>
          </w:p>
          <w:p w:rsidR="00000000" w:rsidDel="00000000" w:rsidP="00000000" w:rsidRDefault="00000000" w:rsidRPr="00000000" w14:paraId="0000027D">
            <w:pPr>
              <w:pBdr>
                <w:top w:space="0" w:sz="0" w:val="nil"/>
                <w:left w:space="0" w:sz="0" w:val="nil"/>
                <w:bottom w:space="0" w:sz="0" w:val="nil"/>
                <w:right w:space="0" w:sz="0" w:val="nil"/>
                <w:between w:space="0" w:sz="0" w:val="nil"/>
              </w:pBdr>
              <w:tabs>
                <w:tab w:val="left" w:pos="-576"/>
                <w:tab w:val="left"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 </w:t>
            </w:r>
            <w:r w:rsidDel="00000000" w:rsidR="00000000" w:rsidRPr="00000000">
              <w:rPr>
                <w:rFonts w:ascii="Arial" w:cs="Arial" w:eastAsia="Arial" w:hAnsi="Arial"/>
                <w:color w:val="000000"/>
                <w:sz w:val="24"/>
                <w:szCs w:val="24"/>
                <w:rtl w:val="0"/>
              </w:rPr>
              <w:t xml:space="preserve">any activity, practice or conduct which would constitute one of the offences listed under (c) above if such activity, practice or conduct had been carried out in the UK;</w:t>
            </w:r>
          </w:p>
        </w:tc>
      </w:tr>
      <w:tr>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Project Manager</w:t>
            </w:r>
            <w:r w:rsidDel="00000000" w:rsidR="00000000" w:rsidRPr="00000000">
              <w:rPr>
                <w:rtl w:val="0"/>
              </w:rPr>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person in overall charge of the planning and execution of a particular project.</w:t>
            </w:r>
            <w:r w:rsidDel="00000000" w:rsidR="00000000" w:rsidRPr="00000000">
              <w:rPr>
                <w:rtl w:val="0"/>
              </w:rPr>
            </w:r>
          </w:p>
        </w:tc>
      </w:tr>
      <w:tr>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Protective Measures</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Real Time (RT)</w:t>
            </w:r>
            <w:r w:rsidDel="00000000" w:rsidR="00000000" w:rsidRPr="00000000">
              <w:rPr>
                <w:rtl w:val="0"/>
              </w:rPr>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systems that update information at the same rate as they receive Data.</w:t>
            </w:r>
            <w:r w:rsidDel="00000000" w:rsidR="00000000" w:rsidRPr="00000000">
              <w:rPr>
                <w:rtl w:val="0"/>
              </w:rPr>
            </w:r>
          </w:p>
        </w:tc>
      </w:tr>
      <w:tr>
        <w:tc>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Recall</w:t>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by the Supplier to return Goods to the Supplier or the manufacturer after the discovery of safety issues or defects (including defects in the right IPR rights) that might endanger health or hinder performance;</w:t>
            </w:r>
          </w:p>
        </w:tc>
      </w:tr>
      <w:tr>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Recipient Party</w:t>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which receives or obtains directly or indirectly Confidential Information;</w:t>
            </w:r>
          </w:p>
        </w:tc>
      </w:tr>
      <w:tr>
        <w:tc>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w:t>
            </w:r>
          </w:p>
        </w:tc>
        <w:tc>
          <w:tcPr/>
          <w:p w:rsidR="00000000" w:rsidDel="00000000" w:rsidP="00000000" w:rsidRDefault="00000000" w:rsidRPr="00000000" w14:paraId="00000289">
            <w:pPr>
              <w:numPr>
                <w:ilvl w:val="0"/>
                <w:numId w:val="17"/>
              </w:numPr>
              <w:pBdr>
                <w:top w:space="0" w:sz="0" w:val="nil"/>
                <w:left w:space="0" w:sz="0" w:val="nil"/>
                <w:bottom w:space="0" w:sz="0" w:val="nil"/>
                <w:right w:space="0" w:sz="0" w:val="nil"/>
                <w:between w:space="0" w:sz="0" w:val="nil"/>
              </w:pBdr>
              <w:tabs>
                <w:tab w:val="left" w:pos="-179"/>
                <w:tab w:val="left" w:pos="-9"/>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plan (or revised plan) to rectify it’s breach using the template in Joint Schedule 10 (Rectification Plan) which shall include:</w:t>
            </w:r>
          </w:p>
          <w:p w:rsidR="00000000" w:rsidDel="00000000" w:rsidP="00000000" w:rsidRDefault="00000000" w:rsidRPr="00000000" w14:paraId="0000028A">
            <w:pPr>
              <w:numPr>
                <w:ilvl w:val="0"/>
                <w:numId w:val="17"/>
              </w:numPr>
              <w:pBdr>
                <w:top w:space="0" w:sz="0" w:val="nil"/>
                <w:left w:space="0" w:sz="0" w:val="nil"/>
                <w:bottom w:space="0" w:sz="0" w:val="nil"/>
                <w:right w:space="0" w:sz="0" w:val="nil"/>
                <w:between w:space="0" w:sz="0" w:val="nil"/>
              </w:pBdr>
              <w:tabs>
                <w:tab w:val="left" w:pos="-179"/>
                <w:tab w:val="left" w:pos="-9"/>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full details of the Default that has occurred, including a root cause analysis; </w:t>
            </w:r>
          </w:p>
          <w:p w:rsidR="00000000" w:rsidDel="00000000" w:rsidP="00000000" w:rsidRDefault="00000000" w:rsidRPr="00000000" w14:paraId="0000028B">
            <w:pPr>
              <w:numPr>
                <w:ilvl w:val="0"/>
                <w:numId w:val="17"/>
              </w:numPr>
              <w:pBdr>
                <w:top w:space="0" w:sz="0" w:val="nil"/>
                <w:left w:space="0" w:sz="0" w:val="nil"/>
                <w:bottom w:space="0" w:sz="0" w:val="nil"/>
                <w:right w:space="0" w:sz="0" w:val="nil"/>
                <w:between w:space="0" w:sz="0" w:val="nil"/>
              </w:pBdr>
              <w:tabs>
                <w:tab w:val="left" w:pos="-179"/>
                <w:tab w:val="left" w:pos="-9"/>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actual or anticipated effect of the Default; and</w:t>
            </w:r>
          </w:p>
          <w:p w:rsidR="00000000" w:rsidDel="00000000" w:rsidP="00000000" w:rsidRDefault="00000000" w:rsidRPr="00000000" w14:paraId="0000028C">
            <w:pPr>
              <w:numPr>
                <w:ilvl w:val="0"/>
                <w:numId w:val="17"/>
              </w:numPr>
              <w:pBdr>
                <w:top w:space="0" w:sz="0" w:val="nil"/>
                <w:left w:space="0" w:sz="0" w:val="nil"/>
                <w:bottom w:space="0" w:sz="0" w:val="nil"/>
                <w:right w:space="0" w:sz="0" w:val="nil"/>
                <w:between w:space="0" w:sz="0" w:val="nil"/>
              </w:pBdr>
              <w:tabs>
                <w:tab w:val="left" w:pos="-179"/>
                <w:tab w:val="left" w:pos="-9"/>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steps which the Supplier proposes to take to rectify the Default (if applicable) and to prevent such Default from recurring, including timescales for such steps and for the rectification of the Default (where applicable);</w:t>
            </w:r>
          </w:p>
        </w:tc>
      </w:tr>
      <w:tr>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 Process</w:t>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set out in Clause 10.3.1 to 10.3.4 (Rectification Plan Process); </w:t>
            </w:r>
          </w:p>
        </w:tc>
      </w:tr>
      <w:tr>
        <w:tc>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Record-by-Record </w:t>
            </w:r>
            <w:r w:rsidDel="00000000" w:rsidR="00000000" w:rsidRPr="00000000">
              <w:rPr>
                <w:rtl w:val="0"/>
              </w:rPr>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Supplier undertaking an Appraisal of Records and reviewing them by each individual Record.</w:t>
            </w:r>
            <w:r w:rsidDel="00000000" w:rsidR="00000000" w:rsidRPr="00000000">
              <w:rPr>
                <w:rtl w:val="0"/>
              </w:rPr>
            </w:r>
          </w:p>
        </w:tc>
      </w:tr>
      <w:tr>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Record(s) Closure Date</w:t>
            </w:r>
            <w:r w:rsidDel="00000000" w:rsidR="00000000" w:rsidRPr="00000000">
              <w:rPr>
                <w:rtl w:val="0"/>
              </w:rPr>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date by which information shall remain closed until the Record is re-reviewed.</w:t>
            </w:r>
            <w:r w:rsidDel="00000000" w:rsidR="00000000" w:rsidRPr="00000000">
              <w:rPr>
                <w:rtl w:val="0"/>
              </w:rPr>
            </w:r>
          </w:p>
        </w:tc>
      </w:tr>
      <w:tr>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Record(s)</w:t>
            </w:r>
            <w:r w:rsidDel="00000000" w:rsidR="00000000" w:rsidRPr="00000000">
              <w:rPr>
                <w:rtl w:val="0"/>
              </w:rPr>
            </w:r>
          </w:p>
        </w:tc>
        <w:tc>
          <w:tcPr/>
          <w:p w:rsidR="00000000" w:rsidDel="00000000" w:rsidP="00000000" w:rsidRDefault="00000000" w:rsidRPr="00000000" w14:paraId="0000029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any Buyers’ Record, Document, Item, i.e. recorded information, in any form, created or received and maintained by Buyers in the transaction of its business or conduct of affairs and kept as evidence of such activity which is to be stored in the store as part of this Framework Agreement and subsequent Call Off Contracts. </w:t>
            </w:r>
            <w:r w:rsidDel="00000000" w:rsidR="00000000" w:rsidRPr="00000000">
              <w:rPr>
                <w:rtl w:val="0"/>
              </w:rPr>
            </w:r>
          </w:p>
        </w:tc>
      </w:tr>
      <w:tr>
        <w:tc>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Records Information Management</w:t>
            </w:r>
            <w:r w:rsidDel="00000000" w:rsidR="00000000" w:rsidRPr="00000000">
              <w:rPr>
                <w:rtl w:val="0"/>
              </w:rPr>
            </w:r>
          </w:p>
        </w:tc>
        <w:tc>
          <w:tcPr/>
          <w:p w:rsidR="00000000" w:rsidDel="00000000" w:rsidP="00000000" w:rsidRDefault="00000000" w:rsidRPr="00000000" w14:paraId="0000029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efficient and systematic control of the creation, receipt, maintenance, use and disposition of Records, including the processes for capturing and maintaining evidence of and information about business activities and transactions in the form of records.</w:t>
            </w:r>
            <w:r w:rsidDel="00000000" w:rsidR="00000000" w:rsidRPr="00000000">
              <w:rPr>
                <w:rtl w:val="0"/>
              </w:rPr>
            </w:r>
          </w:p>
        </w:tc>
      </w:tr>
      <w:tr>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Records Information Management (RIM) System</w:t>
            </w:r>
            <w:r w:rsidDel="00000000" w:rsidR="00000000" w:rsidRPr="00000000">
              <w:rPr>
                <w:rtl w:val="0"/>
              </w:rPr>
            </w:r>
          </w:p>
        </w:tc>
        <w:tc>
          <w:tcPr/>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efficient and systematic control of the creation, receipt, maintenance, use and disposition of Records, including the processes for capturing and maintaining evidence of and information about business activities and transactions in the form of Records.</w:t>
            </w:r>
            <w:r w:rsidDel="00000000" w:rsidR="00000000" w:rsidRPr="00000000">
              <w:rPr>
                <w:rtl w:val="0"/>
              </w:rPr>
            </w:r>
          </w:p>
        </w:tc>
      </w:tr>
      <w:tr>
        <w:tc>
          <w:tcPr/>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Record-Level Appraisal</w:t>
            </w:r>
            <w:r w:rsidDel="00000000" w:rsidR="00000000" w:rsidRPr="00000000">
              <w:rPr>
                <w:rtl w:val="0"/>
              </w:rPr>
            </w:r>
          </w:p>
        </w:tc>
        <w:tc>
          <w:tcPr/>
          <w:p w:rsidR="00000000" w:rsidDel="00000000" w:rsidP="00000000" w:rsidRDefault="00000000" w:rsidRPr="00000000" w14:paraId="0000029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undertaking an appraisal of Records at Record Title level within the Contracting Authorities business function at a certain time period to identify information of historical importance.</w:t>
            </w:r>
            <w:r w:rsidDel="00000000" w:rsidR="00000000" w:rsidRPr="00000000">
              <w:rPr>
                <w:rtl w:val="0"/>
              </w:rPr>
            </w:r>
          </w:p>
        </w:tc>
      </w:tr>
      <w:tr>
        <w:tc>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Record Preparation Service</w:t>
            </w:r>
            <w:r w:rsidDel="00000000" w:rsidR="00000000" w:rsidRPr="00000000">
              <w:rPr>
                <w:rtl w:val="0"/>
              </w:rPr>
            </w:r>
          </w:p>
        </w:tc>
        <w:tc>
          <w:tcPr/>
          <w:p w:rsidR="00000000" w:rsidDel="00000000" w:rsidP="00000000" w:rsidRDefault="00000000" w:rsidRPr="00000000" w14:paraId="0000029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process conducting the careful Physical preparation of a Record to ensure it remains intact and useable for a specified time period.</w:t>
            </w:r>
            <w:r w:rsidDel="00000000" w:rsidR="00000000" w:rsidRPr="00000000">
              <w:rPr>
                <w:rtl w:val="0"/>
              </w:rPr>
            </w:r>
          </w:p>
        </w:tc>
      </w:tr>
      <w:tr>
        <w:tc>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Record Preparer</w:t>
            </w:r>
            <w:r w:rsidDel="00000000" w:rsidR="00000000" w:rsidRPr="00000000">
              <w:rPr>
                <w:rtl w:val="0"/>
              </w:rPr>
            </w:r>
          </w:p>
        </w:tc>
        <w:tc>
          <w:tcPr/>
          <w:p w:rsidR="00000000" w:rsidDel="00000000" w:rsidP="00000000" w:rsidRDefault="00000000" w:rsidRPr="00000000" w14:paraId="0000029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Supplier Personnel which shall conduct the process of preparing a Record to ensure that it remains intact and useable for a specified time period.</w:t>
            </w:r>
            <w:r w:rsidDel="00000000" w:rsidR="00000000" w:rsidRPr="00000000">
              <w:rPr>
                <w:rtl w:val="0"/>
              </w:rPr>
            </w:r>
          </w:p>
        </w:tc>
      </w:tr>
      <w:tr>
        <w:tc>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Record Preparer Project Manager</w:t>
            </w:r>
            <w:r w:rsidDel="00000000" w:rsidR="00000000" w:rsidRPr="00000000">
              <w:rPr>
                <w:rtl w:val="0"/>
              </w:rPr>
            </w:r>
          </w:p>
        </w:tc>
        <w:tc>
          <w:tcPr/>
          <w:p w:rsidR="00000000" w:rsidDel="00000000" w:rsidP="00000000" w:rsidRDefault="00000000" w:rsidRPr="00000000" w14:paraId="000002A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Project Manager who oversees the Record Preparer and Record Preparation Service</w:t>
            </w:r>
            <w:r w:rsidDel="00000000" w:rsidR="00000000" w:rsidRPr="00000000">
              <w:rPr>
                <w:rtl w:val="0"/>
              </w:rPr>
            </w:r>
          </w:p>
        </w:tc>
      </w:tr>
      <w:tr>
        <w:tc>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Record Title Appraisal</w:t>
            </w:r>
            <w:r w:rsidDel="00000000" w:rsidR="00000000" w:rsidRPr="00000000">
              <w:rPr>
                <w:rtl w:val="0"/>
              </w:rPr>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process undertaken in order to identify information of historic importance from the name of the Buyer’s Record.</w:t>
            </w:r>
            <w:r w:rsidDel="00000000" w:rsidR="00000000" w:rsidRPr="00000000">
              <w:rPr>
                <w:rtl w:val="0"/>
              </w:rPr>
            </w:r>
          </w:p>
        </w:tc>
      </w:tr>
      <w:tr>
        <w:tc>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Redact (Redacted</w:t>
            </w: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separation of disclosable and non-disclosable information by blocking out individual words, sentences, paragraphs or removal of whole pages or sections prior to release of a document.</w:t>
            </w:r>
            <w:r w:rsidDel="00000000" w:rsidR="00000000" w:rsidRPr="00000000">
              <w:rPr>
                <w:rtl w:val="0"/>
              </w:rPr>
            </w:r>
          </w:p>
        </w:tc>
      </w:tr>
      <w:tr>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Regulations</w:t>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and/or the Public Contracts (Scotland) Regulations 2015 (as the context requires);</w:t>
            </w:r>
          </w:p>
        </w:tc>
      </w:tr>
      <w:tr>
        <w:tc>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Reimbursable Expenses</w:t>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r w:rsidDel="00000000" w:rsidR="00000000" w:rsidRPr="00000000">
              <w:rPr>
                <w:rtl w:val="0"/>
              </w:rPr>
            </w:r>
          </w:p>
          <w:p w:rsidR="00000000" w:rsidDel="00000000" w:rsidP="00000000" w:rsidRDefault="00000000" w:rsidRPr="00000000" w14:paraId="000002A9">
            <w:pPr>
              <w:numPr>
                <w:ilvl w:val="0"/>
                <w:numId w:val="6"/>
              </w:numPr>
              <w:pBdr>
                <w:top w:space="0" w:sz="0" w:val="nil"/>
                <w:left w:space="0" w:sz="0" w:val="nil"/>
                <w:bottom w:space="0" w:sz="0" w:val="nil"/>
                <w:right w:space="0" w:sz="0" w:val="nil"/>
                <w:between w:space="0" w:sz="0" w:val="nil"/>
              </w:pBdr>
              <w:tabs>
                <w:tab w:val="left" w:pos="-179"/>
                <w:tab w:val="left" w:pos="-9"/>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travel expenses incurred as a result of Supplier Staff travelling to and from their usual place of work, or to and from the premises at which the Services are principally to be performed, unless the Buyer otherwise agrees in advance in writing; and</w:t>
            </w:r>
          </w:p>
          <w:p w:rsidR="00000000" w:rsidDel="00000000" w:rsidP="00000000" w:rsidRDefault="00000000" w:rsidRPr="00000000" w14:paraId="000002AA">
            <w:pPr>
              <w:numPr>
                <w:ilvl w:val="0"/>
                <w:numId w:val="6"/>
              </w:numPr>
              <w:pBdr>
                <w:top w:space="0" w:sz="0" w:val="nil"/>
                <w:left w:space="0" w:sz="0" w:val="nil"/>
                <w:bottom w:space="0" w:sz="0" w:val="nil"/>
                <w:right w:space="0" w:sz="0" w:val="nil"/>
                <w:between w:space="0" w:sz="0" w:val="nil"/>
              </w:pBdr>
              <w:tabs>
                <w:tab w:val="left" w:pos="-179"/>
                <w:tab w:val="left" w:pos="-9"/>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subsistence expenses incurred by Supplier Staff whilst performing the Services at their usual place of work, or to and from the premises at which the Services are principally to be performed;</w:t>
            </w:r>
          </w:p>
        </w:tc>
      </w:tr>
      <w:tr>
        <w:tc>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w:t>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Authority which is party to the Contract to which a right or obligation is owed, as the context requires; </w:t>
            </w:r>
          </w:p>
        </w:tc>
      </w:tr>
      <w:tr>
        <w:tc>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Authority's Confidential Information</w:t>
            </w:r>
          </w:p>
        </w:tc>
        <w:tc>
          <w:tcPr/>
          <w:p w:rsidR="00000000" w:rsidDel="00000000" w:rsidP="00000000" w:rsidRDefault="00000000" w:rsidRPr="00000000" w14:paraId="000002AE">
            <w:pPr>
              <w:numPr>
                <w:ilvl w:val="0"/>
                <w:numId w:val="20"/>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000000" w:rsidDel="00000000" w:rsidP="00000000" w:rsidRDefault="00000000" w:rsidRPr="00000000" w14:paraId="000002AF">
            <w:pPr>
              <w:numPr>
                <w:ilvl w:val="0"/>
                <w:numId w:val="20"/>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000000" w:rsidDel="00000000" w:rsidP="00000000" w:rsidRDefault="00000000" w:rsidRPr="00000000" w14:paraId="000002B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the above;</w:t>
            </w:r>
          </w:p>
        </w:tc>
      </w:tr>
      <w:tr>
        <w:tc>
          <w:tcPr/>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Requirements</w:t>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applicable Law relating to bribery, corruption and fraud, including the Bribery Act 2010 and any guidance issued by the Secretary of State pursuant to section 9 of the Bribery Act 2010;</w:t>
            </w:r>
          </w:p>
        </w:tc>
      </w:tr>
      <w:tr>
        <w:tc>
          <w:tcPr/>
          <w:p w:rsidR="00000000" w:rsidDel="00000000" w:rsidP="00000000" w:rsidRDefault="00000000" w:rsidRPr="00000000" w14:paraId="000002B3">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Tax Authority</w:t>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HMRC, or, if applicable, the tax authority in the jurisdiction in which the Supplier is established;</w:t>
            </w:r>
          </w:p>
        </w:tc>
      </w:tr>
      <w:tr>
        <w:tc>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Reminder Notice</w:t>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tabs>
                <w:tab w:val="left" w:pos="1985"/>
                <w:tab w:val="left" w:pos="2127"/>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notice sent in accordance with Clause 10.5 given by the Supplier to the Buyer providing notification that payment has not been received on time; </w:t>
            </w:r>
          </w:p>
        </w:tc>
      </w:tr>
      <w:tr>
        <w:tc>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Deliverables</w:t>
            </w:r>
          </w:p>
        </w:tc>
        <w:tc>
          <w:tcPr/>
          <w:p w:rsidR="00000000" w:rsidDel="00000000" w:rsidP="00000000" w:rsidRDefault="00000000" w:rsidRPr="00000000" w14:paraId="000002B8">
            <w:pPr>
              <w:pBdr>
                <w:top w:space="0" w:sz="0" w:val="nil"/>
                <w:left w:space="0" w:sz="0" w:val="nil"/>
                <w:bottom w:space="0" w:sz="0" w:val="nil"/>
                <w:right w:space="0" w:sz="0" w:val="nil"/>
                <w:between w:space="0" w:sz="0" w:val="nil"/>
              </w:pBdr>
              <w:tabs>
                <w:tab w:val="left" w:pos="1985"/>
                <w:tab w:val="left" w:pos="2127"/>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tc>
          <w:tcPr/>
          <w:p w:rsidR="00000000" w:rsidDel="00000000" w:rsidP="00000000" w:rsidRDefault="00000000" w:rsidRPr="00000000" w14:paraId="000002B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Subcontractor</w:t>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Subcontractor of the Replacement Supplier to whom Transferring Supplier Employees will transfer on a Service Transfer Date (or any Subcontractor of any such Subcontractor); </w:t>
            </w:r>
          </w:p>
        </w:tc>
      </w:tr>
      <w:tr>
        <w:tc>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Supplier"</w:t>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provider of Replacement Deliverables appointed by or at the direction of the Buyer from time to time or where the Buyer is providing Replacement Deliverables for its own account, shall also include the Buyer;</w:t>
            </w:r>
          </w:p>
        </w:tc>
      </w:tr>
      <w:tr>
        <w:tc>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Request For Information</w:t>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for information or an apparent request relating to a Contract for the provision of the Deliverables or an apparent request for such information under the FOIA or the EIRs;</w:t>
            </w:r>
          </w:p>
        </w:tc>
      </w:tr>
      <w:tr>
        <w:tc>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Required Insurances</w:t>
            </w:r>
          </w:p>
        </w:tc>
        <w:tc>
          <w:tcPr/>
          <w:p w:rsidR="00000000" w:rsidDel="00000000" w:rsidP="00000000" w:rsidRDefault="00000000" w:rsidRPr="00000000" w14:paraId="000002C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insurances required by Joint Schedule 3 (Insurance Requirements) or any additional insurances specified in the Order Form; </w:t>
            </w:r>
          </w:p>
        </w:tc>
      </w:tr>
      <w:tr>
        <w:tc>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Redact (Redacted)</w:t>
            </w:r>
            <w:r w:rsidDel="00000000" w:rsidR="00000000" w:rsidRPr="00000000">
              <w:rPr>
                <w:rtl w:val="0"/>
              </w:rPr>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separation of disclosable and non-disclosable information by blocking out individual words, sentences, paragraphs or removal of whole pages or sections prior to release of a document.</w:t>
            </w:r>
            <w:r w:rsidDel="00000000" w:rsidR="00000000" w:rsidRPr="00000000">
              <w:rPr>
                <w:rtl w:val="0"/>
              </w:rPr>
            </w:r>
          </w:p>
        </w:tc>
      </w:tr>
      <w:tr>
        <w:tc>
          <w:tcPr/>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Retained</w:t>
            </w:r>
          </w:p>
        </w:tc>
        <w:tc>
          <w:tcPr/>
          <w:p w:rsidR="00000000" w:rsidDel="00000000" w:rsidP="00000000" w:rsidRDefault="00000000" w:rsidRPr="00000000" w14:paraId="000002C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information deemed by Buyers as too sensitive for transfer to The National Archives and will remain with Buyers following approval ACNRA.</w:t>
            </w:r>
          </w:p>
        </w:tc>
      </w:tr>
      <w:tr>
        <w:tc>
          <w:tcPr/>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Retention Status</w:t>
            </w:r>
            <w:r w:rsidDel="00000000" w:rsidR="00000000" w:rsidRPr="00000000">
              <w:rPr>
                <w:rtl w:val="0"/>
              </w:rPr>
            </w:r>
          </w:p>
        </w:tc>
        <w:tc>
          <w:tcPr/>
          <w:p w:rsidR="00000000" w:rsidDel="00000000" w:rsidP="00000000" w:rsidRDefault="00000000" w:rsidRPr="00000000" w14:paraId="000002C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status for which the Record(s) have been determined.</w:t>
            </w:r>
            <w:r w:rsidDel="00000000" w:rsidR="00000000" w:rsidRPr="00000000">
              <w:rPr>
                <w:rtl w:val="0"/>
              </w:rPr>
            </w:r>
          </w:p>
        </w:tc>
      </w:tr>
      <w:tr>
        <w:tc>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Review Date</w:t>
            </w:r>
            <w:r w:rsidDel="00000000" w:rsidR="00000000" w:rsidRPr="00000000">
              <w:rPr>
                <w:rtl w:val="0"/>
              </w:rPr>
            </w:r>
          </w:p>
        </w:tc>
        <w:tc>
          <w:tcPr/>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date which Buyers has stipulated as the date at which the review will take place.</w:t>
            </w:r>
            <w:r w:rsidDel="00000000" w:rsidR="00000000" w:rsidRPr="00000000">
              <w:rPr>
                <w:rtl w:val="0"/>
              </w:rPr>
            </w:r>
          </w:p>
        </w:tc>
      </w:tr>
      <w:tr>
        <w:tc>
          <w:tcPr/>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Requestor</w:t>
            </w:r>
            <w:r w:rsidDel="00000000" w:rsidR="00000000" w:rsidRPr="00000000">
              <w:rPr>
                <w:rtl w:val="0"/>
              </w:rPr>
            </w:r>
          </w:p>
        </w:tc>
        <w:tc>
          <w:tcPr/>
          <w:p w:rsidR="00000000" w:rsidDel="00000000" w:rsidP="00000000" w:rsidRDefault="00000000" w:rsidRPr="00000000" w14:paraId="000002C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User who requests access to the Records Scanning means the process by which paper documents are copied and saved as digital images.</w:t>
            </w:r>
            <w:r w:rsidDel="00000000" w:rsidR="00000000" w:rsidRPr="00000000">
              <w:rPr>
                <w:rtl w:val="0"/>
              </w:rPr>
            </w:r>
          </w:p>
        </w:tc>
      </w:tr>
      <w:tr>
        <w:tc>
          <w:tcPr/>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Scanning Services</w:t>
            </w:r>
          </w:p>
        </w:tc>
        <w:tc>
          <w:tcPr/>
          <w:p w:rsidR="00000000" w:rsidDel="00000000" w:rsidP="00000000" w:rsidRDefault="00000000" w:rsidRPr="00000000" w14:paraId="000002C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the process by which paper documents are copied and saved as digital images.</w:t>
            </w:r>
          </w:p>
        </w:tc>
      </w:tr>
      <w:tr>
        <w:tc>
          <w:tcPr/>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Satisfaction Certificate</w:t>
            </w:r>
          </w:p>
        </w:tc>
        <w:tc>
          <w:tcPr/>
          <w:p w:rsidR="00000000" w:rsidDel="00000000" w:rsidP="00000000" w:rsidRDefault="00000000" w:rsidRPr="00000000" w14:paraId="000002C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tc>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Secure Shredding</w:t>
            </w:r>
            <w:r w:rsidDel="00000000" w:rsidR="00000000" w:rsidRPr="00000000">
              <w:rPr>
                <w:rtl w:val="0"/>
              </w:rPr>
            </w:r>
          </w:p>
        </w:tc>
        <w:tc>
          <w:tcPr/>
          <w:p w:rsidR="00000000" w:rsidDel="00000000" w:rsidP="00000000" w:rsidRDefault="00000000" w:rsidRPr="00000000" w14:paraId="000002D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process used to cut paper into chad, typically either strips or fine particles in order to destroy private, confidential or otherwise sensitive Records.</w:t>
            </w:r>
            <w:r w:rsidDel="00000000" w:rsidR="00000000" w:rsidRPr="00000000">
              <w:rPr>
                <w:rtl w:val="0"/>
              </w:rPr>
            </w:r>
          </w:p>
        </w:tc>
      </w:tr>
      <w:tr>
        <w:tc>
          <w:tcPr/>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Management Plan</w:t>
            </w:r>
          </w:p>
        </w:tc>
        <w:tc>
          <w:tcPr/>
          <w:p w:rsidR="00000000" w:rsidDel="00000000" w:rsidP="00000000" w:rsidRDefault="00000000" w:rsidRPr="00000000" w14:paraId="000002D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security management plan prepared pursuant to Call-Off Schedule 9 (Security) (if applicable); </w:t>
            </w:r>
          </w:p>
        </w:tc>
      </w:tr>
      <w:tr>
        <w:tc>
          <w:tcPr/>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Policy</w:t>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security policy, referred to in the Order Form, in force as at the Call-Off Start Date (a copy of which has been supplied to the Supplier), as updated from time to time and notified to the Supplier;</w:t>
            </w:r>
          </w:p>
        </w:tc>
      </w:tr>
      <w:tr>
        <w:tc>
          <w:tcPr/>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Self Audit Certificate</w:t>
            </w:r>
          </w:p>
        </w:tc>
        <w:tc>
          <w:tcPr/>
          <w:p w:rsidR="00000000" w:rsidDel="00000000" w:rsidP="00000000" w:rsidRDefault="00000000" w:rsidRPr="00000000" w14:paraId="000002D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certificate in the form as set out in Framework Schedule 8 (Self Audit Certificate);</w:t>
            </w:r>
          </w:p>
        </w:tc>
      </w:tr>
      <w:tr>
        <w:tc>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Selection Criteria</w:t>
            </w:r>
            <w:r w:rsidDel="00000000" w:rsidR="00000000" w:rsidRPr="00000000">
              <w:rPr>
                <w:rtl w:val="0"/>
              </w:rPr>
            </w:r>
          </w:p>
        </w:tc>
        <w:tc>
          <w:tcPr/>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information used to select whether a Record containing information of historical importance is suitable for Permanent</w:t>
            </w:r>
            <w:r w:rsidDel="00000000" w:rsidR="00000000" w:rsidRPr="00000000">
              <w:rPr>
                <w:rtl w:val="0"/>
              </w:rPr>
            </w:r>
          </w:p>
        </w:tc>
      </w:tr>
      <w:tr>
        <w:tc>
          <w:tcPr/>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Senior Sensitivity Reviewer</w:t>
            </w:r>
            <w:r w:rsidDel="00000000" w:rsidR="00000000" w:rsidRPr="00000000">
              <w:rPr>
                <w:rtl w:val="0"/>
              </w:rPr>
            </w:r>
          </w:p>
        </w:tc>
        <w:tc>
          <w:tcPr/>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Buyer’s Head of Archive or alternative representative.</w:t>
            </w:r>
            <w:r w:rsidDel="00000000" w:rsidR="00000000" w:rsidRPr="00000000">
              <w:rPr>
                <w:rtl w:val="0"/>
              </w:rPr>
            </w:r>
          </w:p>
        </w:tc>
      </w:tr>
      <w:tr>
        <w:tc>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Sensitive</w:t>
            </w:r>
            <w:r w:rsidDel="00000000" w:rsidR="00000000" w:rsidRPr="00000000">
              <w:rPr>
                <w:rtl w:val="0"/>
              </w:rPr>
            </w:r>
          </w:p>
        </w:tc>
        <w:tc>
          <w:tcPr/>
          <w:p w:rsidR="00000000" w:rsidDel="00000000" w:rsidP="00000000" w:rsidRDefault="00000000" w:rsidRPr="00000000" w14:paraId="000002D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kept secret or with restrictions on disclosure to avoid endangering security.</w:t>
            </w:r>
            <w:r w:rsidDel="00000000" w:rsidR="00000000" w:rsidRPr="00000000">
              <w:rPr>
                <w:rtl w:val="0"/>
              </w:rPr>
            </w:r>
          </w:p>
        </w:tc>
      </w:tr>
      <w:tr>
        <w:tc>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Sensitivity Review</w:t>
            </w:r>
            <w:r w:rsidDel="00000000" w:rsidR="00000000" w:rsidRPr="00000000">
              <w:rPr>
                <w:rtl w:val="0"/>
              </w:rPr>
            </w:r>
          </w:p>
        </w:tc>
        <w:tc>
          <w:tcPr/>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process of conducting the review of Record(s) to identify sensitive information. </w:t>
            </w:r>
            <w:r w:rsidDel="00000000" w:rsidR="00000000" w:rsidRPr="00000000">
              <w:rPr>
                <w:rtl w:val="0"/>
              </w:rPr>
            </w:r>
          </w:p>
        </w:tc>
      </w:tr>
      <w:tr>
        <w:tc>
          <w:tcPr/>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Series Level Appraisal</w:t>
            </w:r>
            <w:r w:rsidDel="00000000" w:rsidR="00000000" w:rsidRPr="00000000">
              <w:rPr>
                <w:rtl w:val="0"/>
              </w:rPr>
            </w:r>
          </w:p>
        </w:tc>
        <w:tc>
          <w:tcPr/>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process of identifying Records containing historical information by reviewing the Buyers Records by series.</w:t>
            </w:r>
            <w:r w:rsidDel="00000000" w:rsidR="00000000" w:rsidRPr="00000000">
              <w:rPr>
                <w:rtl w:val="0"/>
              </w:rPr>
            </w:r>
          </w:p>
        </w:tc>
      </w:tr>
      <w:tr>
        <w:tc>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Serious Fraud Office</w:t>
            </w:r>
          </w:p>
        </w:tc>
        <w:tc>
          <w:tcPr/>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c>
          <w:tcPr/>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Levels”</w:t>
            </w:r>
          </w:p>
        </w:tc>
        <w:tc>
          <w:tcPr/>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service levels applicable to the provision of the Deliverables under the Call Off Contract (which, where Call Off Schedule 14 (Service Levels) is used in this Contract, are specified in the Annex to Part A of such Schedule);</w:t>
            </w:r>
          </w:p>
        </w:tc>
      </w:tr>
      <w:tr>
        <w:tc>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Service Lines</w:t>
            </w:r>
            <w:r w:rsidDel="00000000" w:rsidR="00000000" w:rsidRPr="00000000">
              <w:rPr>
                <w:rtl w:val="0"/>
              </w:rPr>
            </w:r>
          </w:p>
        </w:tc>
        <w:tc>
          <w:tcPr/>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list of Lines as defined in Lots 1, 2 4 and 5 of Framework Schedule 2.</w:t>
            </w:r>
            <w:r w:rsidDel="00000000" w:rsidR="00000000" w:rsidRPr="00000000">
              <w:rPr>
                <w:rtl w:val="0"/>
              </w:rPr>
            </w:r>
          </w:p>
        </w:tc>
      </w:tr>
      <w:tr>
        <w:tc>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Period</w:t>
            </w:r>
          </w:p>
        </w:tc>
        <w:tc>
          <w:tcPr/>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Order Form;</w:t>
            </w:r>
          </w:p>
        </w:tc>
      </w:tr>
      <w:tr>
        <w:tc>
          <w:tcPr/>
          <w:p w:rsidR="00000000" w:rsidDel="00000000" w:rsidP="00000000" w:rsidRDefault="00000000" w:rsidRPr="00000000" w14:paraId="000002E9">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Services</w:t>
            </w:r>
          </w:p>
        </w:tc>
        <w:tc>
          <w:tcPr/>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services made available by the Supplier as specified in Framework Schedule 1 (Specification) and in relation to a Call-Off Contract as specified in the Order Form;</w:t>
            </w:r>
          </w:p>
        </w:tc>
      </w:tr>
      <w:tr>
        <w:tc>
          <w:tcPr/>
          <w:p w:rsidR="00000000" w:rsidDel="00000000" w:rsidP="00000000" w:rsidRDefault="00000000" w:rsidRPr="00000000" w14:paraId="000002EB">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Transfer</w:t>
            </w:r>
          </w:p>
        </w:tc>
        <w:tc>
          <w:tcPr/>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bookmarkStart w:colFirst="0" w:colLast="0" w:name="_heading=h.3znysh7" w:id="4"/>
            <w:bookmarkEnd w:id="4"/>
            <w:r w:rsidDel="00000000" w:rsidR="00000000" w:rsidRPr="00000000">
              <w:rPr>
                <w:rFonts w:ascii="Arial" w:cs="Arial" w:eastAsia="Arial" w:hAnsi="Arial"/>
                <w:color w:val="000000"/>
                <w:sz w:val="24"/>
                <w:szCs w:val="24"/>
                <w:rtl w:val="0"/>
              </w:rPr>
              <w:t xml:space="preserve">any transfer of the Deliverables (or any part of the Deliverables), for whatever reason, from the Supplier or any Subcontractor to a Replacement Supplier or a Replacement Subcontractor;</w:t>
            </w:r>
          </w:p>
        </w:tc>
      </w:tr>
      <w:tr>
        <w:tc>
          <w:tcPr/>
          <w:p w:rsidR="00000000" w:rsidDel="00000000" w:rsidP="00000000" w:rsidRDefault="00000000" w:rsidRPr="00000000" w14:paraId="000002E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highlight w:val="green"/>
              </w:rPr>
            </w:pPr>
            <w:r w:rsidDel="00000000" w:rsidR="00000000" w:rsidRPr="00000000">
              <w:rPr>
                <w:rFonts w:ascii="Arial" w:cs="Arial" w:eastAsia="Arial" w:hAnsi="Arial"/>
                <w:b w:val="1"/>
                <w:color w:val="000000"/>
                <w:sz w:val="24"/>
                <w:szCs w:val="24"/>
                <w:rtl w:val="0"/>
              </w:rPr>
              <w:t xml:space="preserve">Service Transfer Date</w:t>
            </w:r>
            <w:r w:rsidDel="00000000" w:rsidR="00000000" w:rsidRPr="00000000">
              <w:rPr>
                <w:rtl w:val="0"/>
              </w:rPr>
            </w:r>
          </w:p>
        </w:tc>
        <w:tc>
          <w:tcPr/>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a Service Transfer;</w:t>
            </w:r>
          </w:p>
        </w:tc>
      </w:tr>
      <w:tr>
        <w:tc>
          <w:tcPr/>
          <w:p w:rsidR="00000000" w:rsidDel="00000000" w:rsidP="00000000" w:rsidRDefault="00000000" w:rsidRPr="00000000" w14:paraId="000002E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Sift and Record Appraisal</w:t>
            </w:r>
            <w:r w:rsidDel="00000000" w:rsidR="00000000" w:rsidRPr="00000000">
              <w:rPr>
                <w:rtl w:val="0"/>
              </w:rPr>
            </w:r>
          </w:p>
        </w:tc>
        <w:tc>
          <w:tcPr/>
          <w:p w:rsidR="00000000" w:rsidDel="00000000" w:rsidP="00000000" w:rsidRDefault="00000000" w:rsidRPr="00000000" w14:paraId="000002F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 appraisal which will initially be conducted at Record Title, using Selection Criteria to identify Records containing information of historical importance</w:t>
            </w:r>
            <w:r w:rsidDel="00000000" w:rsidR="00000000" w:rsidRPr="00000000">
              <w:rPr>
                <w:rtl w:val="0"/>
              </w:rPr>
            </w:r>
          </w:p>
        </w:tc>
      </w:tr>
      <w:tr>
        <w:tc>
          <w:tcPr/>
          <w:p w:rsidR="00000000" w:rsidDel="00000000" w:rsidP="00000000" w:rsidRDefault="00000000" w:rsidRPr="00000000" w14:paraId="000002F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Sites</w:t>
            </w:r>
          </w:p>
        </w:tc>
        <w:tc>
          <w:tcPr/>
          <w:p w:rsidR="00000000" w:rsidDel="00000000" w:rsidP="00000000" w:rsidRDefault="00000000" w:rsidRPr="00000000" w14:paraId="000002F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premises (including the Buyer Premises, the Supplier’s premises or third party premises) from, to or at which:</w:t>
            </w:r>
          </w:p>
          <w:p w:rsidR="00000000" w:rsidDel="00000000" w:rsidP="00000000" w:rsidRDefault="00000000" w:rsidRPr="00000000" w14:paraId="000002F3">
            <w:pPr>
              <w:numPr>
                <w:ilvl w:val="0"/>
                <w:numId w:val="13"/>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Deliverables are (or are to be) provided; or</w:t>
            </w:r>
          </w:p>
          <w:p w:rsidR="00000000" w:rsidDel="00000000" w:rsidP="00000000" w:rsidRDefault="00000000" w:rsidRPr="00000000" w14:paraId="000002F4">
            <w:pPr>
              <w:numPr>
                <w:ilvl w:val="0"/>
                <w:numId w:val="13"/>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manages, organises or otherwise directs the provision or the use of the Deliverables;</w:t>
            </w:r>
          </w:p>
        </w:tc>
      </w:tr>
      <w:tr>
        <w:trPr>
          <w:trHeight w:val="945" w:hRule="atLeast"/>
        </w:trPr>
        <w:tc>
          <w:tcPr/>
          <w:p w:rsidR="00000000" w:rsidDel="00000000" w:rsidP="00000000" w:rsidRDefault="00000000" w:rsidRPr="00000000" w14:paraId="000002F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Smarter Working</w:t>
            </w:r>
            <w:r w:rsidDel="00000000" w:rsidR="00000000" w:rsidRPr="00000000">
              <w:rPr>
                <w:rtl w:val="0"/>
              </w:rPr>
            </w:r>
          </w:p>
        </w:tc>
        <w:tc>
          <w:tcPr/>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 approach to organising work that aims to drive greater efficiency and. effectiveness, enhancing personal and organisational outcomes through a combination of. flexibility, autonomy and collaboration, utilising a range of practices, technologies and working environments.</w:t>
            </w:r>
            <w:r w:rsidDel="00000000" w:rsidR="00000000" w:rsidRPr="00000000">
              <w:rPr>
                <w:rtl w:val="0"/>
              </w:rPr>
            </w:r>
          </w:p>
        </w:tc>
      </w:tr>
      <w:tr>
        <w:trPr>
          <w:trHeight w:val="945" w:hRule="atLeast"/>
        </w:trPr>
        <w:tc>
          <w:tcPr/>
          <w:p w:rsidR="00000000" w:rsidDel="00000000" w:rsidP="00000000" w:rsidRDefault="00000000" w:rsidRPr="00000000" w14:paraId="000002F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SME</w:t>
            </w:r>
          </w:p>
        </w:tc>
        <w:tc>
          <w:tcPr/>
          <w:p w:rsidR="00000000" w:rsidDel="00000000" w:rsidP="00000000" w:rsidRDefault="00000000" w:rsidRPr="00000000" w14:paraId="000002F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enterprise falling within the category of micro, small and medium sized enterprises defined by the Commission Recommendation of 6 May 2003 concerning the definition of micro, small and medium enterprises;</w:t>
            </w:r>
          </w:p>
        </w:tc>
      </w:tr>
      <w:tr>
        <w:trPr>
          <w:trHeight w:val="945" w:hRule="atLeast"/>
        </w:trPr>
        <w:tc>
          <w:tcPr/>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Social Media</w:t>
            </w:r>
            <w:r w:rsidDel="00000000" w:rsidR="00000000" w:rsidRPr="00000000">
              <w:rPr>
                <w:rtl w:val="0"/>
              </w:rPr>
            </w:r>
          </w:p>
        </w:tc>
        <w:tc>
          <w:tcPr/>
          <w:p w:rsidR="00000000" w:rsidDel="00000000" w:rsidP="00000000" w:rsidRDefault="00000000" w:rsidRPr="00000000" w14:paraId="000002F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websites and applications that enable Users to create and share content or to participate in social networking. </w:t>
            </w:r>
            <w:r w:rsidDel="00000000" w:rsidR="00000000" w:rsidRPr="00000000">
              <w:rPr>
                <w:rtl w:val="0"/>
              </w:rPr>
            </w:r>
          </w:p>
        </w:tc>
      </w:tr>
      <w:tr>
        <w:trPr>
          <w:trHeight w:val="945" w:hRule="atLeast"/>
        </w:trPr>
        <w:tc>
          <w:tcPr/>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Software</w:t>
            </w:r>
            <w:r w:rsidDel="00000000" w:rsidR="00000000" w:rsidRPr="00000000">
              <w:rPr>
                <w:rtl w:val="0"/>
              </w:rPr>
            </w:r>
          </w:p>
        </w:tc>
        <w:tc>
          <w:tcPr/>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range of Software that has been specified within this Framework Agreement Schedule 2. </w:t>
            </w:r>
            <w:r w:rsidDel="00000000" w:rsidR="00000000" w:rsidRPr="00000000">
              <w:rPr>
                <w:rtl w:val="0"/>
              </w:rPr>
            </w:r>
          </w:p>
        </w:tc>
      </w:tr>
      <w:tr>
        <w:trPr>
          <w:trHeight w:val="945" w:hRule="atLeast"/>
        </w:trPr>
        <w:tc>
          <w:tcPr/>
          <w:p w:rsidR="00000000" w:rsidDel="00000000" w:rsidP="00000000" w:rsidRDefault="00000000" w:rsidRPr="00000000" w14:paraId="000002F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Space Creation Activity</w:t>
            </w:r>
            <w:r w:rsidDel="00000000" w:rsidR="00000000" w:rsidRPr="00000000">
              <w:rPr>
                <w:rtl w:val="0"/>
              </w:rPr>
            </w:r>
          </w:p>
        </w:tc>
        <w:tc>
          <w:tcPr/>
          <w:p w:rsidR="00000000" w:rsidDel="00000000" w:rsidP="00000000" w:rsidRDefault="00000000" w:rsidRPr="00000000" w14:paraId="000002F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Supplier identifying spaces within a Box(es) that incorporate more individual Record(s) and therefore reduce the number of Boxes the Buyer is being charged for storeage. </w:t>
            </w:r>
            <w:r w:rsidDel="00000000" w:rsidR="00000000" w:rsidRPr="00000000">
              <w:rPr>
                <w:rtl w:val="0"/>
              </w:rPr>
            </w:r>
          </w:p>
        </w:tc>
      </w:tr>
      <w:tr>
        <w:trPr>
          <w:trHeight w:val="945" w:hRule="atLeast"/>
        </w:trPr>
        <w:tc>
          <w:tcPr/>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Terms</w:t>
            </w:r>
          </w:p>
        </w:tc>
        <w:tc>
          <w:tcPr/>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Clauses set out in the Framework Award Form or Order Form which shall form part of the respective Contract;</w:t>
            </w:r>
          </w:p>
        </w:tc>
      </w:tr>
      <w:tr>
        <w:trPr>
          <w:trHeight w:val="945" w:hRule="atLeast"/>
        </w:trPr>
        <w:tc>
          <w:tcPr/>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Specialist Records Management Service</w:t>
            </w:r>
            <w:r w:rsidDel="00000000" w:rsidR="00000000" w:rsidRPr="00000000">
              <w:rPr>
                <w:rtl w:val="0"/>
              </w:rPr>
            </w:r>
          </w:p>
        </w:tc>
        <w:tc>
          <w:tcPr/>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Services as defined with Lot 4 of Framework Schedule 2.</w:t>
            </w:r>
            <w:r w:rsidDel="00000000" w:rsidR="00000000" w:rsidRPr="00000000">
              <w:rPr>
                <w:rtl w:val="0"/>
              </w:rPr>
            </w:r>
          </w:p>
        </w:tc>
      </w:tr>
      <w:tr>
        <w:trPr>
          <w:trHeight w:val="945" w:hRule="atLeast"/>
        </w:trPr>
        <w:tc>
          <w:tcPr/>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 Change in Law</w:t>
            </w:r>
          </w:p>
        </w:tc>
        <w:tc>
          <w:tcPr/>
          <w:p w:rsidR="00000000" w:rsidDel="00000000" w:rsidP="00000000" w:rsidRDefault="00000000" w:rsidRPr="00000000" w14:paraId="0000030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that relates specifically to the business of the Buyer and which would not affect a Comparable Supply where the effect of that Specific Change in Law on the Deliverables is not reasonably foreseeable at the Start Date;</w:t>
            </w:r>
          </w:p>
        </w:tc>
      </w:tr>
      <w:tr>
        <w:trPr>
          <w:trHeight w:val="945" w:hRule="atLeast"/>
        </w:trPr>
        <w:tc>
          <w:tcPr/>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Specification</w:t>
            </w:r>
          </w:p>
        </w:tc>
        <w:tc>
          <w:tcPr/>
          <w:p w:rsidR="00000000" w:rsidDel="00000000" w:rsidP="00000000" w:rsidRDefault="00000000" w:rsidRPr="00000000" w14:paraId="0000030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specification set out in Framework Schedule 1 (Specification), as may, in relation to a Call-Off Contract, be supplemented by the Order Form;</w:t>
            </w:r>
          </w:p>
        </w:tc>
      </w:tr>
      <w:tr>
        <w:tc>
          <w:tcPr/>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Standards</w:t>
            </w:r>
          </w:p>
        </w:tc>
        <w:tc>
          <w:tcPr/>
          <w:p w:rsidR="00000000" w:rsidDel="00000000" w:rsidP="00000000" w:rsidRDefault="00000000" w:rsidRPr="00000000" w14:paraId="0000030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w:t>
            </w:r>
          </w:p>
          <w:p w:rsidR="00000000" w:rsidDel="00000000" w:rsidP="00000000" w:rsidRDefault="00000000" w:rsidRPr="00000000" w14:paraId="00000309">
            <w:pPr>
              <w:numPr>
                <w:ilvl w:val="0"/>
                <w:numId w:val="8"/>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00000" w:rsidDel="00000000" w:rsidP="00000000" w:rsidRDefault="00000000" w:rsidRPr="00000000" w14:paraId="0000030A">
            <w:pPr>
              <w:numPr>
                <w:ilvl w:val="0"/>
                <w:numId w:val="8"/>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detailed in the specification in Schedule 1 (Specification);</w:t>
            </w:r>
          </w:p>
          <w:p w:rsidR="00000000" w:rsidDel="00000000" w:rsidP="00000000" w:rsidRDefault="00000000" w:rsidRPr="00000000" w14:paraId="0000030B">
            <w:pPr>
              <w:numPr>
                <w:ilvl w:val="0"/>
                <w:numId w:val="8"/>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detailed by the Buyer in the Order Form or agreed between the Parties from time to time;</w:t>
            </w:r>
          </w:p>
          <w:p w:rsidR="00000000" w:rsidDel="00000000" w:rsidP="00000000" w:rsidRDefault="00000000" w:rsidRPr="00000000" w14:paraId="0000030C">
            <w:pPr>
              <w:numPr>
                <w:ilvl w:val="0"/>
                <w:numId w:val="8"/>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Government codes of practice and guidance applicable from time to time;</w:t>
            </w:r>
          </w:p>
        </w:tc>
      </w:tr>
      <w:tr>
        <w:tc>
          <w:tcPr/>
          <w:p w:rsidR="00000000" w:rsidDel="00000000" w:rsidP="00000000" w:rsidRDefault="00000000" w:rsidRPr="00000000" w14:paraId="0000030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tc>
        <w:tc>
          <w:tcPr/>
          <w:p w:rsidR="00000000" w:rsidDel="00000000" w:rsidP="00000000" w:rsidRDefault="00000000" w:rsidRPr="00000000" w14:paraId="0000030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case of the Framework Contract, the date specified on the Framework Award Form, and in the case of a Call-Off Contract, the date specified in the Order Form;</w:t>
            </w:r>
          </w:p>
        </w:tc>
      </w:tr>
      <w:tr>
        <w:tc>
          <w:tcPr/>
          <w:p w:rsidR="00000000" w:rsidDel="00000000" w:rsidP="00000000" w:rsidRDefault="00000000" w:rsidRPr="00000000" w14:paraId="0000030F">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Statement of Requirements</w:t>
            </w:r>
          </w:p>
        </w:tc>
        <w:tc>
          <w:tcPr/>
          <w:p w:rsidR="00000000" w:rsidDel="00000000" w:rsidP="00000000" w:rsidRDefault="00000000" w:rsidRPr="00000000" w14:paraId="0000031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issued by the Buyer detailing its requirements in respect of Deliverables issued in accordance with the Call-Off Procedure;</w:t>
            </w:r>
          </w:p>
        </w:tc>
      </w:tr>
      <w:tr>
        <w:tc>
          <w:tcPr/>
          <w:p w:rsidR="00000000" w:rsidDel="00000000" w:rsidP="00000000" w:rsidRDefault="00000000" w:rsidRPr="00000000" w14:paraId="0000031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Storage Media</w:t>
            </w:r>
          </w:p>
        </w:tc>
        <w:tc>
          <w:tcPr/>
          <w:p w:rsidR="00000000" w:rsidDel="00000000" w:rsidP="00000000" w:rsidRDefault="00000000" w:rsidRPr="00000000" w14:paraId="0000031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 of any device that is capable of storing and retrieving data; </w:t>
            </w:r>
          </w:p>
        </w:tc>
      </w:tr>
      <w:tr>
        <w:tc>
          <w:tcPr/>
          <w:p w:rsidR="00000000" w:rsidDel="00000000" w:rsidP="00000000" w:rsidRDefault="00000000" w:rsidRPr="00000000" w14:paraId="00000313">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w:t>
            </w:r>
          </w:p>
        </w:tc>
        <w:tc>
          <w:tcPr/>
          <w:p w:rsidR="00000000" w:rsidDel="00000000" w:rsidP="00000000" w:rsidRDefault="00000000" w:rsidRPr="00000000" w14:paraId="0000031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315">
            <w:pPr>
              <w:numPr>
                <w:ilvl w:val="0"/>
                <w:numId w:val="7"/>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the Deliverables (or any part of them);</w:t>
            </w:r>
          </w:p>
          <w:p w:rsidR="00000000" w:rsidDel="00000000" w:rsidP="00000000" w:rsidRDefault="00000000" w:rsidRPr="00000000" w14:paraId="00000316">
            <w:pPr>
              <w:numPr>
                <w:ilvl w:val="0"/>
                <w:numId w:val="7"/>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facilities or services necessary for the provision of the Deliverables (or any part of them); and/or</w:t>
            </w:r>
          </w:p>
          <w:p w:rsidR="00000000" w:rsidDel="00000000" w:rsidP="00000000" w:rsidRDefault="00000000" w:rsidRPr="00000000" w14:paraId="00000317">
            <w:pPr>
              <w:numPr>
                <w:ilvl w:val="0"/>
                <w:numId w:val="7"/>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responsible for the management, direction or control of the provision of the Deliverables (or any part of them);</w:t>
            </w:r>
          </w:p>
        </w:tc>
      </w:tr>
      <w:tr>
        <w:tc>
          <w:tcPr/>
          <w:p w:rsidR="00000000" w:rsidDel="00000000" w:rsidP="00000000" w:rsidRDefault="00000000" w:rsidRPr="00000000" w14:paraId="0000031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Subcontractor</w:t>
            </w:r>
          </w:p>
        </w:tc>
        <w:tc>
          <w:tcPr/>
          <w:p w:rsidR="00000000" w:rsidDel="00000000" w:rsidP="00000000" w:rsidRDefault="00000000" w:rsidRPr="00000000" w14:paraId="0000031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person other than the Supplier, who is a party to a Sub-Contract and the servants or agents of that person;</w:t>
            </w:r>
          </w:p>
        </w:tc>
      </w:tr>
      <w:tr>
        <w:tc>
          <w:tcPr/>
          <w:p w:rsidR="00000000" w:rsidDel="00000000" w:rsidP="00000000" w:rsidRDefault="00000000" w:rsidRPr="00000000" w14:paraId="0000031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Subprocessor</w:t>
            </w:r>
          </w:p>
        </w:tc>
        <w:tc>
          <w:tcPr/>
          <w:p w:rsidR="00000000" w:rsidDel="00000000" w:rsidP="00000000" w:rsidRDefault="00000000" w:rsidRPr="00000000" w14:paraId="0000031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appointed to process Personal Data on behalf of that Processor related to a Contract;</w:t>
            </w:r>
          </w:p>
        </w:tc>
      </w:tr>
      <w:tr>
        <w:tc>
          <w:tcPr/>
          <w:p w:rsidR="00000000" w:rsidDel="00000000" w:rsidP="00000000" w:rsidRDefault="00000000" w:rsidRPr="00000000" w14:paraId="0000031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31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firm or company identified in the Framework Award Form;</w:t>
            </w:r>
          </w:p>
        </w:tc>
      </w:tr>
      <w:tr>
        <w:tc>
          <w:tcPr/>
          <w:p w:rsidR="00000000" w:rsidDel="00000000" w:rsidP="00000000" w:rsidRDefault="00000000" w:rsidRPr="00000000" w14:paraId="0000031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Supplier Action Plan</w:t>
            </w:r>
            <w:r w:rsidDel="00000000" w:rsidR="00000000" w:rsidRPr="00000000">
              <w:rPr>
                <w:rtl w:val="0"/>
              </w:rPr>
            </w:r>
          </w:p>
        </w:tc>
        <w:tc>
          <w:tcPr/>
          <w:p w:rsidR="00000000" w:rsidDel="00000000" w:rsidP="00000000" w:rsidRDefault="00000000" w:rsidRPr="00000000" w14:paraId="0000031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document, maintained by the Authority, capturing information about the relationship between the Parties including, but not limited to strategic objectives, actions, initiatives, communication channels, risks and supplier performance.</w:t>
            </w:r>
            <w:r w:rsidDel="00000000" w:rsidR="00000000" w:rsidRPr="00000000">
              <w:rPr>
                <w:rtl w:val="0"/>
              </w:rPr>
            </w:r>
          </w:p>
        </w:tc>
      </w:tr>
      <w:tr>
        <w:tc>
          <w:tcPr/>
          <w:p w:rsidR="00000000" w:rsidDel="00000000" w:rsidP="00000000" w:rsidRDefault="00000000" w:rsidRPr="00000000" w14:paraId="0000032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Assets</w:t>
            </w:r>
          </w:p>
        </w:tc>
        <w:tc>
          <w:tcPr/>
          <w:p w:rsidR="00000000" w:rsidDel="00000000" w:rsidP="00000000" w:rsidRDefault="00000000" w:rsidRPr="00000000" w14:paraId="0000032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assets and rights used by the Supplier to provide the Deliverables in accordance with the Call-Off Contract but excluding the Buyer Assets;</w:t>
            </w:r>
          </w:p>
        </w:tc>
      </w:tr>
      <w:tr>
        <w:tc>
          <w:tcPr/>
          <w:p w:rsidR="00000000" w:rsidDel="00000000" w:rsidP="00000000" w:rsidRDefault="00000000" w:rsidRPr="00000000" w14:paraId="0000032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Authorised Representative</w:t>
            </w:r>
          </w:p>
        </w:tc>
        <w:tc>
          <w:tcPr/>
          <w:p w:rsidR="00000000" w:rsidDel="00000000" w:rsidP="00000000" w:rsidRDefault="00000000" w:rsidRPr="00000000" w14:paraId="0000032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Supplier named in the Framework Award Form, or later defined in a Call-Off Contract; </w:t>
            </w:r>
          </w:p>
        </w:tc>
      </w:tr>
      <w:tr>
        <w:tc>
          <w:tcPr/>
          <w:p w:rsidR="00000000" w:rsidDel="00000000" w:rsidP="00000000" w:rsidRDefault="00000000" w:rsidRPr="00000000" w14:paraId="0000032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Confidential Information</w:t>
            </w:r>
          </w:p>
        </w:tc>
        <w:tc>
          <w:tcPr/>
          <w:p w:rsidR="00000000" w:rsidDel="00000000" w:rsidP="00000000" w:rsidRDefault="00000000" w:rsidRPr="00000000" w14:paraId="00000325">
            <w:pPr>
              <w:numPr>
                <w:ilvl w:val="0"/>
                <w:numId w:val="9"/>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however it is conveyed, that relates to the business, affairs, developments, IPR of the Supplier (including the Supplier Existing IPR) trade secrets, Know-How, and/or personnel of the Supplier; </w:t>
            </w:r>
          </w:p>
          <w:p w:rsidR="00000000" w:rsidDel="00000000" w:rsidP="00000000" w:rsidRDefault="00000000" w:rsidRPr="00000000" w14:paraId="00000326">
            <w:pPr>
              <w:numPr>
                <w:ilvl w:val="0"/>
                <w:numId w:val="9"/>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000000" w:rsidDel="00000000" w:rsidP="00000000" w:rsidRDefault="00000000" w:rsidRPr="00000000" w14:paraId="00000327">
            <w:pPr>
              <w:numPr>
                <w:ilvl w:val="0"/>
                <w:numId w:val="9"/>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(a) and (b) above;</w:t>
            </w:r>
          </w:p>
        </w:tc>
      </w:tr>
      <w:tr>
        <w:tc>
          <w:tcPr/>
          <w:p w:rsidR="00000000" w:rsidDel="00000000" w:rsidP="00000000" w:rsidRDefault="00000000" w:rsidRPr="00000000" w14:paraId="00000328">
            <w:pPr>
              <w:pBdr>
                <w:top w:space="0" w:sz="0" w:val="nil"/>
                <w:left w:space="0" w:sz="0" w:val="nil"/>
                <w:bottom w:space="0" w:sz="0" w:val="nil"/>
                <w:right w:space="0" w:sz="0" w:val="nil"/>
                <w:between w:space="0" w:sz="0" w:val="nil"/>
              </w:pBdr>
              <w:tabs>
                <w:tab w:val="left" w:pos="1134"/>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Conract Manager “</w:t>
            </w:r>
          </w:p>
        </w:tc>
        <w:tc>
          <w:tcPr/>
          <w:p w:rsidR="00000000" w:rsidDel="00000000" w:rsidP="00000000" w:rsidRDefault="00000000" w:rsidRPr="00000000" w14:paraId="00000329">
            <w:pPr>
              <w:pBdr>
                <w:top w:space="0" w:sz="0" w:val="nil"/>
                <w:left w:space="0" w:sz="0" w:val="nil"/>
                <w:bottom w:space="0" w:sz="0" w:val="nil"/>
                <w:right w:space="0" w:sz="0" w:val="nil"/>
                <w:between w:space="0" w:sz="0" w:val="nil"/>
              </w:pBdr>
              <w:tabs>
                <w:tab w:val="left" w:pos="1134"/>
              </w:tabs>
              <w:spacing w:after="120" w:before="120" w:lineRule="auto"/>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r w:rsidDel="00000000" w:rsidR="00000000" w:rsidRPr="00000000">
              <w:rPr>
                <w:rtl w:val="0"/>
              </w:rPr>
            </w:r>
          </w:p>
        </w:tc>
      </w:tr>
      <w:tr>
        <w:tc>
          <w:tcPr/>
          <w:p w:rsidR="00000000" w:rsidDel="00000000" w:rsidP="00000000" w:rsidRDefault="00000000" w:rsidRPr="00000000" w14:paraId="0000032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Equipment</w:t>
            </w:r>
          </w:p>
        </w:tc>
        <w:tc>
          <w:tcPr/>
          <w:p w:rsidR="00000000" w:rsidDel="00000000" w:rsidP="00000000" w:rsidRDefault="00000000" w:rsidRPr="00000000" w14:paraId="0000032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hardware, computer and telecoms devices, equipment, plant, materials and such other items supplied and used by the Supplier (but not hired, leased or loaned from the Buyer) in the performance of its obligations under this Call-Off Contract;</w:t>
            </w:r>
          </w:p>
        </w:tc>
      </w:tr>
      <w:tr>
        <w:tc>
          <w:tcPr/>
          <w:p w:rsidR="00000000" w:rsidDel="00000000" w:rsidP="00000000" w:rsidRDefault="00000000" w:rsidRPr="00000000" w14:paraId="0000032C">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Marketing Contact</w:t>
            </w:r>
          </w:p>
        </w:tc>
        <w:tc>
          <w:tcPr/>
          <w:p w:rsidR="00000000" w:rsidDel="00000000" w:rsidP="00000000" w:rsidRDefault="00000000" w:rsidRPr="00000000" w14:paraId="0000032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be the person identified in the Framework Award Form;</w:t>
            </w:r>
          </w:p>
        </w:tc>
      </w:tr>
      <w:tr>
        <w:tc>
          <w:tcPr/>
          <w:p w:rsidR="00000000" w:rsidDel="00000000" w:rsidP="00000000" w:rsidRDefault="00000000" w:rsidRPr="00000000" w14:paraId="0000032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Non-Performance</w:t>
            </w:r>
          </w:p>
        </w:tc>
        <w:tc>
          <w:tcPr/>
          <w:p w:rsidR="00000000" w:rsidDel="00000000" w:rsidP="00000000" w:rsidRDefault="00000000" w:rsidRPr="00000000" w14:paraId="0000032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failed to:</w:t>
            </w:r>
          </w:p>
          <w:p w:rsidR="00000000" w:rsidDel="00000000" w:rsidP="00000000" w:rsidRDefault="00000000" w:rsidRPr="00000000" w14:paraId="00000330">
            <w:pPr>
              <w:numPr>
                <w:ilvl w:val="0"/>
                <w:numId w:val="1"/>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Achieve a Milestone by its Milestone Date;</w:t>
            </w:r>
          </w:p>
          <w:p w:rsidR="00000000" w:rsidDel="00000000" w:rsidP="00000000" w:rsidRDefault="00000000" w:rsidRPr="00000000" w14:paraId="00000331">
            <w:pPr>
              <w:numPr>
                <w:ilvl w:val="0"/>
                <w:numId w:val="1"/>
              </w:numPr>
              <w:pBdr>
                <w:top w:space="0" w:sz="0" w:val="nil"/>
                <w:left w:space="0" w:sz="0" w:val="nil"/>
                <w:bottom w:space="0" w:sz="0" w:val="nil"/>
                <w:right w:space="0" w:sz="0" w:val="nil"/>
                <w:between w:space="0" w:sz="0" w:val="nil"/>
              </w:pBdr>
              <w:tabs>
                <w:tab w:val="left" w:pos="-576"/>
                <w:tab w:val="left" w:pos="144"/>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the Goods and/or Services in accordance with the Service Levels ; and/or</w:t>
            </w:r>
          </w:p>
          <w:p w:rsidR="00000000" w:rsidDel="00000000" w:rsidP="00000000" w:rsidRDefault="00000000" w:rsidRPr="00000000" w14:paraId="00000332">
            <w:pPr>
              <w:numPr>
                <w:ilvl w:val="0"/>
                <w:numId w:val="1"/>
              </w:numPr>
              <w:pBdr>
                <w:top w:space="0" w:sz="0" w:val="nil"/>
                <w:left w:space="0" w:sz="0" w:val="nil"/>
                <w:bottom w:space="0" w:sz="0" w:val="nil"/>
                <w:right w:space="0" w:sz="0" w:val="nil"/>
                <w:between w:space="0" w:sz="0" w:val="nil"/>
              </w:pBdr>
              <w:tabs>
                <w:tab w:val="left" w:pos="-576"/>
                <w:tab w:val="left" w:pos="144"/>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comply with an obligation under a Contract;</w:t>
            </w:r>
          </w:p>
        </w:tc>
      </w:tr>
      <w:tr>
        <w:tc>
          <w:tcPr/>
          <w:p w:rsidR="00000000" w:rsidDel="00000000" w:rsidP="00000000" w:rsidRDefault="00000000" w:rsidRPr="00000000" w14:paraId="0000033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w:t>
            </w:r>
          </w:p>
        </w:tc>
        <w:tc>
          <w:tcPr/>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p>
        </w:tc>
      </w:tr>
      <w:tr>
        <w:tc>
          <w:tcPr/>
          <w:p w:rsidR="00000000" w:rsidDel="00000000" w:rsidP="00000000" w:rsidRDefault="00000000" w:rsidRPr="00000000" w14:paraId="0000033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 Margin</w:t>
            </w:r>
          </w:p>
        </w:tc>
        <w:tc>
          <w:tcPr/>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tc>
          <w:tcPr/>
          <w:p w:rsidR="00000000" w:rsidDel="00000000" w:rsidP="00000000" w:rsidRDefault="00000000" w:rsidRPr="00000000" w14:paraId="0000033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Relationship Management</w:t>
            </w:r>
          </w:p>
        </w:tc>
        <w:tc>
          <w:tcPr/>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the discipline of strategically and operationally planning for, and managing, all interactions with Suppliers that supply goods and services to the Authority via this Framework Agreement or Buyers via subsequent Call Off Contracts, in order to  maximise the value of those interactions. </w:t>
            </w:r>
          </w:p>
        </w:tc>
      </w:tr>
      <w:tr>
        <w:tc>
          <w:tcPr/>
          <w:p w:rsidR="00000000" w:rsidDel="00000000" w:rsidP="00000000" w:rsidRDefault="00000000" w:rsidRPr="00000000" w14:paraId="0000033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Supplier Sensitivity Reports</w:t>
            </w:r>
            <w:r w:rsidDel="00000000" w:rsidR="00000000" w:rsidRPr="00000000">
              <w:rPr>
                <w:rtl w:val="0"/>
              </w:rPr>
            </w:r>
          </w:p>
        </w:tc>
        <w:tc>
          <w:tcPr/>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 report to the Buyer’s Senior Sensitivity Reviewer detailing findings of each Record reviewed and recommendations for considerations. </w:t>
            </w:r>
            <w:r w:rsidDel="00000000" w:rsidR="00000000" w:rsidRPr="00000000">
              <w:rPr>
                <w:rtl w:val="0"/>
              </w:rPr>
            </w:r>
          </w:p>
        </w:tc>
      </w:tr>
      <w:tr>
        <w:tc>
          <w:tcPr/>
          <w:p w:rsidR="00000000" w:rsidDel="00000000" w:rsidP="00000000" w:rsidRDefault="00000000" w:rsidRPr="00000000" w14:paraId="0000033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Staff</w:t>
            </w:r>
          </w:p>
        </w:tc>
        <w:tc>
          <w:tcPr/>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contractors of the Supplier and/or of any Subcontractor engaged in the performance of the Supplier’s obligations under a Contract;</w:t>
            </w:r>
          </w:p>
        </w:tc>
      </w:tr>
      <w:tr>
        <w:tc>
          <w:tcPr/>
          <w:p w:rsidR="00000000" w:rsidDel="00000000" w:rsidP="00000000" w:rsidRDefault="00000000" w:rsidRPr="00000000" w14:paraId="0000033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Supporting Documentation</w:t>
            </w:r>
          </w:p>
        </w:tc>
        <w:tc>
          <w:tcPr/>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assess whether the Charges, Reimbursable Expenses and other sums due from the Buyer under the Call-Off Contract detailed in the information are properly payable;</w:t>
            </w:r>
          </w:p>
        </w:tc>
      </w:tr>
      <w:tr>
        <w:tc>
          <w:tcPr/>
          <w:p w:rsidR="00000000" w:rsidDel="00000000" w:rsidP="00000000" w:rsidRDefault="00000000" w:rsidRPr="00000000" w14:paraId="0000033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Terms of Reference</w:t>
            </w:r>
            <w:r w:rsidDel="00000000" w:rsidR="00000000" w:rsidRPr="00000000">
              <w:rPr>
                <w:rtl w:val="0"/>
              </w:rPr>
            </w:r>
          </w:p>
        </w:tc>
        <w:tc>
          <w:tcPr/>
          <w:p w:rsidR="00000000" w:rsidDel="00000000" w:rsidP="00000000" w:rsidRDefault="00000000" w:rsidRPr="00000000" w14:paraId="0000034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scope and limitations of a stated activity or area of knowledge</w:t>
            </w:r>
            <w:r w:rsidDel="00000000" w:rsidR="00000000" w:rsidRPr="00000000">
              <w:rPr>
                <w:rtl w:val="0"/>
              </w:rPr>
            </w:r>
          </w:p>
        </w:tc>
      </w:tr>
      <w:tr>
        <w:tc>
          <w:tcPr/>
          <w:p w:rsidR="00000000" w:rsidDel="00000000" w:rsidP="00000000" w:rsidRDefault="00000000" w:rsidRPr="00000000" w14:paraId="0000034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Notice</w:t>
            </w:r>
          </w:p>
        </w:tc>
        <w:tc>
          <w:tcPr/>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tc>
          <w:tcPr/>
          <w:p w:rsidR="00000000" w:rsidDel="00000000" w:rsidP="00000000" w:rsidRDefault="00000000" w:rsidRPr="00000000" w14:paraId="0000034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Issue</w:t>
            </w:r>
          </w:p>
        </w:tc>
        <w:tc>
          <w:tcPr/>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variance or non-conformity of the Deliverables from their requirements as set out in a Call-Off Contract;</w:t>
            </w:r>
          </w:p>
        </w:tc>
      </w:tr>
      <w:tr>
        <w:tc>
          <w:tcPr/>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Plan</w:t>
            </w:r>
          </w:p>
        </w:tc>
        <w:tc>
          <w:tcPr/>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plan:</w:t>
            </w:r>
          </w:p>
          <w:p w:rsidR="00000000" w:rsidDel="00000000" w:rsidP="00000000" w:rsidRDefault="00000000" w:rsidRPr="00000000" w14:paraId="00000347">
            <w:pPr>
              <w:numPr>
                <w:ilvl w:val="0"/>
                <w:numId w:val="10"/>
              </w:numPr>
              <w:pBdr>
                <w:top w:space="0" w:sz="0" w:val="nil"/>
                <w:left w:space="0" w:sz="0" w:val="nil"/>
                <w:bottom w:space="0" w:sz="0" w:val="nil"/>
                <w:right w:space="0" w:sz="0" w:val="nil"/>
                <w:between w:space="0" w:sz="0" w:val="nil"/>
              </w:pBdr>
              <w:tabs>
                <w:tab w:val="left" w:pos="-576"/>
                <w:tab w:val="left" w:pos="141"/>
              </w:tabs>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Testing of the Deliverables; and </w:t>
            </w:r>
          </w:p>
          <w:p w:rsidR="00000000" w:rsidDel="00000000" w:rsidP="00000000" w:rsidRDefault="00000000" w:rsidRPr="00000000" w14:paraId="00000348">
            <w:pPr>
              <w:numPr>
                <w:ilvl w:val="0"/>
                <w:numId w:val="10"/>
              </w:numPr>
              <w:pBdr>
                <w:top w:space="0" w:sz="0" w:val="nil"/>
                <w:left w:space="0" w:sz="0" w:val="nil"/>
                <w:bottom w:space="0" w:sz="0" w:val="nil"/>
                <w:right w:space="0" w:sz="0" w:val="nil"/>
                <w:between w:space="0" w:sz="0" w:val="nil"/>
              </w:pBdr>
              <w:tabs>
                <w:tab w:val="left" w:pos="-576"/>
                <w:tab w:val="left" w:pos="141"/>
              </w:tabs>
              <w:spacing w:after="12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setting out other agreed criteria related to the achievement of Milestones;</w:t>
            </w:r>
          </w:p>
        </w:tc>
      </w:tr>
      <w:tr>
        <w:tc>
          <w:tcPr/>
          <w:p w:rsidR="00000000" w:rsidDel="00000000" w:rsidP="00000000" w:rsidRDefault="00000000" w:rsidRPr="00000000" w14:paraId="0000034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Tests</w:t>
            </w:r>
          </w:p>
        </w:tc>
        <w:tc>
          <w:tcPr/>
          <w:p w:rsidR="00000000" w:rsidDel="00000000" w:rsidP="00000000" w:rsidRDefault="00000000" w:rsidRPr="00000000" w14:paraId="0000034A">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tests required to be carried out pursuant to a Call-Off Contract as set out in the Test Plan or elsewhere in a Call-Off Contract and "</w:t>
            </w:r>
            <w:r w:rsidDel="00000000" w:rsidR="00000000" w:rsidRPr="00000000">
              <w:rPr>
                <w:rFonts w:ascii="Arial" w:cs="Arial" w:eastAsia="Arial" w:hAnsi="Arial"/>
                <w:b w:val="1"/>
                <w:color w:val="000000"/>
                <w:sz w:val="24"/>
                <w:szCs w:val="24"/>
                <w:rtl w:val="0"/>
              </w:rPr>
              <w:t xml:space="preserve">Tested</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Testing</w:t>
            </w:r>
            <w:r w:rsidDel="00000000" w:rsidR="00000000" w:rsidRPr="00000000">
              <w:rPr>
                <w:rFonts w:ascii="Arial" w:cs="Arial" w:eastAsia="Arial" w:hAnsi="Arial"/>
                <w:color w:val="000000"/>
                <w:sz w:val="24"/>
                <w:szCs w:val="24"/>
                <w:rtl w:val="0"/>
              </w:rPr>
              <w:t xml:space="preserve">” shall be construed accordingly;</w:t>
            </w:r>
          </w:p>
        </w:tc>
      </w:tr>
      <w:tr>
        <w:tc>
          <w:tcPr/>
          <w:p w:rsidR="00000000" w:rsidDel="00000000" w:rsidP="00000000" w:rsidRDefault="00000000" w:rsidRPr="00000000" w14:paraId="0000034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The National Archives</w:t>
            </w:r>
            <w:r w:rsidDel="00000000" w:rsidR="00000000" w:rsidRPr="00000000">
              <w:rPr>
                <w:rtl w:val="0"/>
              </w:rPr>
            </w:r>
          </w:p>
        </w:tc>
        <w:tc>
          <w:tcPr/>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non-ministerial government department who are the official archive and publisher for the UK government and guardians national documents</w:t>
            </w:r>
            <w:r w:rsidDel="00000000" w:rsidR="00000000" w:rsidRPr="00000000">
              <w:rPr>
                <w:rtl w:val="0"/>
              </w:rPr>
            </w:r>
          </w:p>
        </w:tc>
      </w:tr>
      <w:tr>
        <w:tc>
          <w:tcPr/>
          <w:p w:rsidR="00000000" w:rsidDel="00000000" w:rsidP="00000000" w:rsidRDefault="00000000" w:rsidRPr="00000000" w14:paraId="0000034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Third Party Interim Resources</w:t>
            </w:r>
            <w:r w:rsidDel="00000000" w:rsidR="00000000" w:rsidRPr="00000000">
              <w:rPr>
                <w:rtl w:val="0"/>
              </w:rPr>
            </w:r>
          </w:p>
        </w:tc>
        <w:tc>
          <w:tcPr/>
          <w:p w:rsidR="00000000" w:rsidDel="00000000" w:rsidP="00000000" w:rsidRDefault="00000000" w:rsidRPr="00000000" w14:paraId="0000034E">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specialist resources provided by the Supplier through delivery of the Call Off contract. </w:t>
            </w:r>
            <w:r w:rsidDel="00000000" w:rsidR="00000000" w:rsidRPr="00000000">
              <w:rPr>
                <w:rtl w:val="0"/>
              </w:rPr>
            </w:r>
          </w:p>
        </w:tc>
      </w:tr>
      <w:tr>
        <w:tc>
          <w:tcPr/>
          <w:p w:rsidR="00000000" w:rsidDel="00000000" w:rsidP="00000000" w:rsidRDefault="00000000" w:rsidRPr="00000000" w14:paraId="0000034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Third Party IPR</w:t>
            </w:r>
          </w:p>
        </w:tc>
        <w:tc>
          <w:tcPr/>
          <w:p w:rsidR="00000000" w:rsidDel="00000000" w:rsidP="00000000" w:rsidRDefault="00000000" w:rsidRPr="00000000" w14:paraId="00000350">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Intellectual Property Rights owned by a third party which is or will be used by the Supplier for the purpose of providing the Deliverables;</w:t>
            </w:r>
          </w:p>
        </w:tc>
      </w:tr>
      <w:tr>
        <w:tc>
          <w:tcPr/>
          <w:p w:rsidR="00000000" w:rsidDel="00000000" w:rsidP="00000000" w:rsidRDefault="00000000" w:rsidRPr="00000000" w14:paraId="000003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Title (procedure)</w:t>
            </w:r>
            <w:r w:rsidDel="00000000" w:rsidR="00000000" w:rsidRPr="00000000">
              <w:rPr>
                <w:rtl w:val="0"/>
              </w:rPr>
            </w:r>
          </w:p>
        </w:tc>
        <w:tc>
          <w:tcPr/>
          <w:p w:rsidR="00000000" w:rsidDel="00000000" w:rsidP="00000000" w:rsidRDefault="00000000" w:rsidRPr="00000000" w14:paraId="00000352">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process of identifying Records containing information by reviewing Buyer’s Records by the Record name</w:t>
            </w:r>
            <w:r w:rsidDel="00000000" w:rsidR="00000000" w:rsidRPr="00000000">
              <w:rPr>
                <w:rtl w:val="0"/>
              </w:rPr>
            </w:r>
          </w:p>
        </w:tc>
      </w:tr>
      <w:tr>
        <w:tc>
          <w:tcPr/>
          <w:p w:rsidR="00000000" w:rsidDel="00000000" w:rsidP="00000000" w:rsidRDefault="00000000" w:rsidRPr="00000000" w14:paraId="0000035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Supplier Employees</w:t>
            </w:r>
          </w:p>
        </w:tc>
        <w:tc>
          <w:tcPr/>
          <w:p w:rsidR="00000000" w:rsidDel="00000000" w:rsidP="00000000" w:rsidRDefault="00000000" w:rsidRPr="00000000" w14:paraId="00000354">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employees of the Supplier and/or the Supplier’s Subcontractors to whom the Employment Regulations will apply on the Service Transfer Date; </w:t>
            </w:r>
          </w:p>
        </w:tc>
      </w:tr>
      <w:tr>
        <w:tc>
          <w:tcPr/>
          <w:p w:rsidR="00000000" w:rsidDel="00000000" w:rsidP="00000000" w:rsidRDefault="00000000" w:rsidRPr="00000000" w14:paraId="00000355">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Information</w:t>
            </w:r>
          </w:p>
        </w:tc>
        <w:tc>
          <w:tcPr/>
          <w:p w:rsidR="00000000" w:rsidDel="00000000" w:rsidP="00000000" w:rsidRDefault="00000000" w:rsidRPr="00000000" w14:paraId="00000356">
            <w:pPr>
              <w:keepNext w:val="1"/>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Transparency Reports and the content of a Contract, including any changes to this Contract agreed from time to time, except for – </w:t>
            </w:r>
          </w:p>
          <w:p w:rsidR="00000000" w:rsidDel="00000000" w:rsidP="00000000" w:rsidRDefault="00000000" w:rsidRPr="00000000" w14:paraId="00000357">
            <w:pPr>
              <w:keepNext w:val="1"/>
              <w:pBdr>
                <w:top w:space="0" w:sz="0" w:val="nil"/>
                <w:left w:space="0" w:sz="0" w:val="nil"/>
                <w:bottom w:space="0" w:sz="0" w:val="nil"/>
                <w:right w:space="0" w:sz="0" w:val="nil"/>
                <w:between w:space="0" w:sz="0" w:val="nil"/>
              </w:pBdr>
              <w:tabs>
                <w:tab w:val="left" w:pos="-179"/>
                <w:tab w:val="left" w:pos="-9"/>
              </w:tabs>
              <w:spacing w:after="120" w:lineRule="auto"/>
              <w:ind w:left="72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w:t>
              <w:tab/>
              <w:t xml:space="preserve">any information which is exempt from disclosure in accordance with the provisions of the FOIA, which shall be determined by the Relevant Authority; an</w:t>
            </w:r>
            <w:r w:rsidDel="00000000" w:rsidR="00000000" w:rsidRPr="00000000">
              <w:rPr>
                <w:rtl w:val="0"/>
              </w:rPr>
            </w:r>
          </w:p>
          <w:p w:rsidR="00000000" w:rsidDel="00000000" w:rsidP="00000000" w:rsidRDefault="00000000" w:rsidRPr="00000000" w14:paraId="00000358">
            <w:pPr>
              <w:keepNext w:val="1"/>
              <w:pBdr>
                <w:top w:space="0" w:sz="0" w:val="nil"/>
                <w:left w:space="0" w:sz="0" w:val="nil"/>
                <w:bottom w:space="0" w:sz="0" w:val="nil"/>
                <w:right w:space="0" w:sz="0" w:val="nil"/>
                <w:between w:space="0" w:sz="0" w:val="nil"/>
              </w:pBdr>
              <w:tabs>
                <w:tab w:val="left" w:pos="-179"/>
                <w:tab w:val="left" w:pos="-9"/>
              </w:tabs>
              <w:spacing w:after="12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w:t>
              <w:tab/>
              <w:t xml:space="preserve">Commercially Sensitive Information;</w:t>
            </w:r>
          </w:p>
          <w:p w:rsidR="00000000" w:rsidDel="00000000" w:rsidP="00000000" w:rsidRDefault="00000000" w:rsidRPr="00000000" w14:paraId="00000359">
            <w:pPr>
              <w:keepNext w:val="1"/>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tl w:val="0"/>
              </w:rPr>
            </w:r>
          </w:p>
        </w:tc>
      </w:tr>
      <w:tr>
        <w:tc>
          <w:tcPr/>
          <w:p w:rsidR="00000000" w:rsidDel="00000000" w:rsidP="00000000" w:rsidRDefault="00000000" w:rsidRPr="00000000" w14:paraId="0000035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Reports</w:t>
            </w:r>
          </w:p>
        </w:tc>
        <w:tc>
          <w:tcPr/>
          <w:p w:rsidR="00000000" w:rsidDel="00000000" w:rsidP="00000000" w:rsidRDefault="00000000" w:rsidRPr="00000000" w14:paraId="0000035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relating to the Deliverables and performance of the Contracts which the Supplier is required to provide to the Buyer in accordance with the reporting requirements in Call-Off Schedule 1 (Transparency Reports);</w:t>
            </w:r>
          </w:p>
        </w:tc>
      </w:tr>
      <w:tr>
        <w:tc>
          <w:tcPr/>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Triage Sensitivity Service</w:t>
            </w:r>
          </w:p>
        </w:tc>
        <w:tc>
          <w:tcPr/>
          <w:p w:rsidR="00000000" w:rsidDel="00000000" w:rsidP="00000000" w:rsidRDefault="00000000" w:rsidRPr="00000000" w14:paraId="0000035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the process of conducting the review of Record(s) to identify sensitive information and reporting recommendation(s) to the Buyers. </w:t>
            </w:r>
          </w:p>
        </w:tc>
      </w:tr>
      <w:tr>
        <w:tc>
          <w:tcPr/>
          <w:p w:rsidR="00000000" w:rsidDel="00000000" w:rsidP="00000000" w:rsidRDefault="00000000" w:rsidRPr="00000000" w14:paraId="0000035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Triage Sensitivity Reviewer</w:t>
            </w:r>
          </w:p>
        </w:tc>
        <w:tc>
          <w:tcPr/>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the process of determining the most important things from amongst a large number that require attention. Triage Sensitivity Reviewer</w:t>
            </w:r>
          </w:p>
        </w:tc>
      </w:tr>
      <w:tr>
        <w:tc>
          <w:tcPr/>
          <w:p w:rsidR="00000000" w:rsidDel="00000000" w:rsidP="00000000" w:rsidRDefault="00000000" w:rsidRPr="00000000" w14:paraId="00000360">
            <w:pPr>
              <w:pBdr>
                <w:top w:space="0" w:sz="0" w:val="nil"/>
                <w:left w:space="0" w:sz="0" w:val="nil"/>
                <w:bottom w:space="0" w:sz="0" w:val="nil"/>
                <w:right w:space="0" w:sz="0" w:val="nil"/>
                <w:between w:space="0" w:sz="0" w:val="nil"/>
              </w:pBdr>
              <w:spacing w:after="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Triage Sensitivity Project Manager</w:t>
            </w:r>
          </w:p>
        </w:tc>
        <w:tc>
          <w:tcPr/>
          <w:p w:rsidR="00000000" w:rsidDel="00000000" w:rsidP="00000000" w:rsidRDefault="00000000" w:rsidRPr="00000000" w14:paraId="0000036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means the Project Manager who oversees the Triage Sensitivity Reviewer and Triage Sensitivity Review process.</w:t>
            </w:r>
          </w:p>
        </w:tc>
      </w:tr>
      <w:tr>
        <w:tc>
          <w:tcPr/>
          <w:p w:rsidR="00000000" w:rsidDel="00000000" w:rsidP="00000000" w:rsidRDefault="00000000" w:rsidRPr="00000000" w14:paraId="0000036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UK Bank Holidays</w:t>
            </w:r>
            <w:r w:rsidDel="00000000" w:rsidR="00000000" w:rsidRPr="00000000">
              <w:rPr>
                <w:rtl w:val="0"/>
              </w:rPr>
            </w:r>
          </w:p>
        </w:tc>
        <w:tc>
          <w:tcPr/>
          <w:p w:rsidR="00000000" w:rsidDel="00000000" w:rsidP="00000000" w:rsidRDefault="00000000" w:rsidRPr="00000000" w14:paraId="0000036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all UK Bank Holidays which are detailed in the link below: https://www.gov.uk/bank-holidays </w:t>
            </w:r>
            <w:r w:rsidDel="00000000" w:rsidR="00000000" w:rsidRPr="00000000">
              <w:rPr>
                <w:rtl w:val="0"/>
              </w:rPr>
            </w:r>
          </w:p>
        </w:tc>
      </w:tr>
      <w:tr>
        <w:tc>
          <w:tcPr/>
          <w:p w:rsidR="00000000" w:rsidDel="00000000" w:rsidP="00000000" w:rsidRDefault="00000000" w:rsidRPr="00000000" w14:paraId="0000036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User</w:t>
            </w:r>
            <w:r w:rsidDel="00000000" w:rsidR="00000000" w:rsidRPr="00000000">
              <w:rPr>
                <w:rtl w:val="0"/>
              </w:rPr>
            </w:r>
          </w:p>
        </w:tc>
        <w:tc>
          <w:tcPr/>
          <w:p w:rsidR="00000000" w:rsidDel="00000000" w:rsidP="00000000" w:rsidRDefault="00000000" w:rsidRPr="00000000" w14:paraId="0000036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either a member of Buyers’ Personnel or Supplier employee.</w:t>
            </w:r>
            <w:r w:rsidDel="00000000" w:rsidR="00000000" w:rsidRPr="00000000">
              <w:rPr>
                <w:rtl w:val="0"/>
              </w:rPr>
            </w:r>
          </w:p>
        </w:tc>
      </w:tr>
      <w:tr>
        <w:tc>
          <w:tcPr/>
          <w:p w:rsidR="00000000" w:rsidDel="00000000" w:rsidP="00000000" w:rsidRDefault="00000000" w:rsidRPr="00000000" w14:paraId="0000036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w:t>
            </w:r>
          </w:p>
        </w:tc>
        <w:tc>
          <w:tcPr/>
          <w:p w:rsidR="00000000" w:rsidDel="00000000" w:rsidP="00000000" w:rsidRDefault="00000000" w:rsidRPr="00000000" w14:paraId="0000036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to a Contract;</w:t>
            </w:r>
          </w:p>
        </w:tc>
      </w:tr>
      <w:tr>
        <w:tc>
          <w:tcPr/>
          <w:p w:rsidR="00000000" w:rsidDel="00000000" w:rsidP="00000000" w:rsidRDefault="00000000" w:rsidRPr="00000000" w14:paraId="0000036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Form</w:t>
            </w:r>
          </w:p>
        </w:tc>
        <w:tc>
          <w:tcPr/>
          <w:p w:rsidR="00000000" w:rsidDel="00000000" w:rsidP="00000000" w:rsidRDefault="00000000" w:rsidRPr="00000000" w14:paraId="0000036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form set out in Joint Schedule 2 (Variation Form);</w:t>
            </w:r>
          </w:p>
        </w:tc>
      </w:tr>
      <w:tr>
        <w:tc>
          <w:tcPr/>
          <w:p w:rsidR="00000000" w:rsidDel="00000000" w:rsidP="00000000" w:rsidRDefault="00000000" w:rsidRPr="00000000" w14:paraId="0000036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Procedure</w:t>
            </w:r>
          </w:p>
        </w:tc>
        <w:tc>
          <w:tcPr/>
          <w:p w:rsidR="00000000" w:rsidDel="00000000" w:rsidP="00000000" w:rsidRDefault="00000000" w:rsidRPr="00000000" w14:paraId="0000036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procedure set out in Clause 24 (Changing the contract);</w:t>
            </w:r>
          </w:p>
        </w:tc>
      </w:tr>
      <w:tr>
        <w:tc>
          <w:tcPr/>
          <w:p w:rsidR="00000000" w:rsidDel="00000000" w:rsidP="00000000" w:rsidRDefault="00000000" w:rsidRPr="00000000" w14:paraId="0000036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VAT</w:t>
            </w:r>
          </w:p>
        </w:tc>
        <w:tc>
          <w:tcPr/>
          <w:p w:rsidR="00000000" w:rsidDel="00000000" w:rsidP="00000000" w:rsidRDefault="00000000" w:rsidRPr="00000000" w14:paraId="0000036D">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value added tax in accordance with the provisions of the Value Added Tax Act 1994;</w:t>
            </w:r>
          </w:p>
        </w:tc>
      </w:tr>
      <w:tr>
        <w:tc>
          <w:tcPr/>
          <w:p w:rsidR="00000000" w:rsidDel="00000000" w:rsidP="00000000" w:rsidRDefault="00000000" w:rsidRPr="00000000" w14:paraId="0000036E">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VCSE</w:t>
            </w:r>
          </w:p>
        </w:tc>
        <w:tc>
          <w:tcPr/>
          <w:p w:rsidR="00000000" w:rsidDel="00000000" w:rsidP="00000000" w:rsidRDefault="00000000" w:rsidRPr="00000000" w14:paraId="0000036F">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non-governmental organisation that is value-driven and which principally reinvests its surpluses to further social, environmental or cultural objectives;</w:t>
            </w:r>
          </w:p>
        </w:tc>
      </w:tr>
      <w:tr>
        <w:tc>
          <w:tcPr/>
          <w:p w:rsidR="00000000" w:rsidDel="00000000" w:rsidP="00000000" w:rsidRDefault="00000000" w:rsidRPr="00000000" w14:paraId="0000037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Weeding Activity</w:t>
            </w:r>
            <w:r w:rsidDel="00000000" w:rsidR="00000000" w:rsidRPr="00000000">
              <w:rPr>
                <w:rtl w:val="0"/>
              </w:rPr>
            </w:r>
          </w:p>
        </w:tc>
        <w:tc>
          <w:tcPr/>
          <w:p w:rsidR="00000000" w:rsidDel="00000000" w:rsidP="00000000" w:rsidRDefault="00000000" w:rsidRPr="00000000" w14:paraId="00000371">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checking content within the Buyer’s Record(s) in order to identify specific information and/or content that can with removed from the Record(s).</w:t>
            </w:r>
            <w:r w:rsidDel="00000000" w:rsidR="00000000" w:rsidRPr="00000000">
              <w:rPr>
                <w:rtl w:val="0"/>
              </w:rPr>
            </w:r>
          </w:p>
        </w:tc>
      </w:tr>
      <w:tr>
        <w:tc>
          <w:tcPr/>
          <w:p w:rsidR="00000000" w:rsidDel="00000000" w:rsidP="00000000" w:rsidRDefault="00000000" w:rsidRPr="00000000" w14:paraId="0000037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Whitehall</w:t>
            </w:r>
            <w:r w:rsidDel="00000000" w:rsidR="00000000" w:rsidRPr="00000000">
              <w:rPr>
                <w:rtl w:val="0"/>
              </w:rPr>
            </w:r>
          </w:p>
        </w:tc>
        <w:tc>
          <w:tcPr/>
          <w:p w:rsidR="00000000" w:rsidDel="00000000" w:rsidP="00000000" w:rsidRDefault="00000000" w:rsidRPr="00000000" w14:paraId="00000373">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is the name of a street in London in which there are many government offices. You can also use Whitehall to mean the British Government itself.</w:t>
            </w:r>
            <w:r w:rsidDel="00000000" w:rsidR="00000000" w:rsidRPr="00000000">
              <w:rPr>
                <w:rtl w:val="0"/>
              </w:rPr>
            </w:r>
          </w:p>
        </w:tc>
      </w:tr>
      <w:tr>
        <w:tc>
          <w:tcPr/>
          <w:p w:rsidR="00000000" w:rsidDel="00000000" w:rsidP="00000000" w:rsidRDefault="00000000" w:rsidRPr="00000000" w14:paraId="00000374">
            <w:pPr>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Worker</w:t>
            </w:r>
          </w:p>
        </w:tc>
        <w:tc>
          <w:tcPr/>
          <w:p w:rsidR="00000000" w:rsidDel="00000000" w:rsidP="00000000" w:rsidRDefault="00000000" w:rsidRPr="00000000" w14:paraId="00000375">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tc>
          <w:tcPr/>
          <w:p w:rsidR="00000000" w:rsidDel="00000000" w:rsidP="00000000" w:rsidRDefault="00000000" w:rsidRPr="00000000" w14:paraId="0000037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Working Day</w:t>
            </w:r>
          </w:p>
        </w:tc>
        <w:tc>
          <w:tcPr/>
          <w:p w:rsidR="00000000" w:rsidDel="00000000" w:rsidP="00000000" w:rsidRDefault="00000000" w:rsidRPr="00000000" w14:paraId="00000377">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day other than a Saturday or Sunday or public holiday in England and Wales unless specified otherwise by the Parties in the Order Form;</w:t>
            </w:r>
          </w:p>
        </w:tc>
      </w:tr>
      <w:tr>
        <w:tc>
          <w:tcPr/>
          <w:p w:rsidR="00000000" w:rsidDel="00000000" w:rsidP="00000000" w:rsidRDefault="00000000" w:rsidRPr="00000000" w14:paraId="0000037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Day</w:t>
            </w:r>
          </w:p>
        </w:tc>
        <w:tc>
          <w:tcPr/>
          <w:p w:rsidR="00000000" w:rsidDel="00000000" w:rsidP="00000000" w:rsidRDefault="00000000" w:rsidRPr="00000000" w14:paraId="00000379">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8.0 Work Hours, whether or not such hours are worked consecutively and whether or not they are worked on the same day; and</w:t>
            </w:r>
          </w:p>
        </w:tc>
      </w:tr>
      <w:tr>
        <w:tc>
          <w:tcPr/>
          <w:p w:rsidR="00000000" w:rsidDel="00000000" w:rsidP="00000000" w:rsidRDefault="00000000" w:rsidRPr="00000000" w14:paraId="0000037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Hours</w:t>
            </w:r>
          </w:p>
        </w:tc>
        <w:tc>
          <w:tcPr/>
          <w:p w:rsidR="00000000" w:rsidDel="00000000" w:rsidP="00000000" w:rsidRDefault="00000000" w:rsidRPr="00000000" w14:paraId="0000037B">
            <w:pPr>
              <w:pBdr>
                <w:top w:space="0" w:sz="0" w:val="nil"/>
                <w:left w:space="0" w:sz="0" w:val="nil"/>
                <w:bottom w:space="0" w:sz="0" w:val="nil"/>
                <w:right w:space="0" w:sz="0" w:val="nil"/>
                <w:between w:space="0" w:sz="0" w:val="nil"/>
              </w:pBdr>
              <w:tabs>
                <w:tab w:val="left" w:pos="-179"/>
                <w:tab w:val="left"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hours spent by the Supplier Staff properly working on the provision of the Deliverables including time spent travelling (other than to and from the Supplier's offices, or to and from the Sites) but excluding lunch breaks.</w:t>
            </w:r>
          </w:p>
        </w:tc>
      </w:tr>
    </w:tbl>
    <w:p w:rsidR="00000000" w:rsidDel="00000000" w:rsidP="00000000" w:rsidRDefault="00000000" w:rsidRPr="00000000" w14:paraId="0000037C">
      <w:pPr>
        <w:spacing w:after="0" w:line="240" w:lineRule="auto"/>
        <w:rPr>
          <w:rFonts w:ascii="Arial" w:cs="Arial" w:eastAsia="Arial" w:hAnsi="Arial"/>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1">
    <w:pPr>
      <w:tabs>
        <w:tab w:val="center" w:pos="4513"/>
        <w:tab w:val="right"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38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Rule="auto"/>
      <w:rPr>
        <w:rFonts w:ascii="Arial" w:cs="Arial" w:eastAsia="Arial" w:hAnsi="Arial"/>
        <w:sz w:val="20"/>
        <w:szCs w:val="20"/>
      </w:rPr>
    </w:pPr>
    <w:r w:rsidDel="00000000" w:rsidR="00000000" w:rsidRPr="00000000">
      <w:rPr>
        <w:rFonts w:ascii="Arial" w:cs="Arial" w:eastAsia="Arial" w:hAnsi="Arial"/>
        <w:color w:val="bfbfbf"/>
        <w:sz w:val="20"/>
        <w:szCs w:val="20"/>
        <w:rtl w:val="0"/>
      </w:rPr>
      <w:t xml:space="preserve">Model Version: v3.0</w:t>
      <w:tab/>
      <w:tab/>
      <w:tab/>
      <w:tab/>
      <w:tab/>
      <w:tab/>
      <w:tab/>
      <w:tab/>
      <w:tab/>
    </w:r>
    <w:r w:rsidDel="00000000" w:rsidR="00000000" w:rsidRPr="00000000">
      <w:rPr>
        <w:rFonts w:ascii="Arial" w:cs="Arial" w:eastAsia="Arial" w:hAnsi="Arial"/>
        <w:sz w:val="20"/>
        <w:szCs w:val="2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4">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RM6175</w:t>
      <w:tab/>
      <w:t xml:space="preserve">                                           </w:t>
    </w:r>
  </w:p>
  <w:p w:rsidR="00000000" w:rsidDel="00000000" w:rsidP="00000000" w:rsidRDefault="00000000" w:rsidRPr="00000000" w14:paraId="0000038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v3.7</w:t>
      <w:tab/>
    </w:r>
    <w:r w:rsidDel="00000000" w:rsidR="00000000" w:rsidRPr="00000000">
      <w:rPr>
        <w:rFonts w:ascii="Arial" w:cs="Arial" w:eastAsia="Arial" w:hAnsi="Arial"/>
        <w:color w:val="bfbfbf"/>
        <w:sz w:val="20"/>
        <w:szCs w:val="20"/>
        <w:rtl w:val="0"/>
      </w:rPr>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Joint Schedule 1 (Definitions) </w:t>
    </w:r>
  </w:p>
  <w:p w:rsidR="00000000" w:rsidDel="00000000" w:rsidP="00000000" w:rsidRDefault="00000000" w:rsidRPr="00000000" w14:paraId="0000037E">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Fonts w:ascii="Arial" w:cs="Arial" w:eastAsia="Arial" w:hAnsi="Arial"/>
        <w:color w:val="bfbfbf"/>
        <w:sz w:val="20"/>
        <w:szCs w:val="20"/>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 (Definitions) </w:t>
    </w:r>
  </w:p>
  <w:p w:rsidR="00000000" w:rsidDel="00000000" w:rsidP="00000000" w:rsidRDefault="00000000" w:rsidRPr="00000000" w14:paraId="00000380">
    <w:pPr>
      <w:pBdr>
        <w:top w:space="0" w:sz="0" w:val="nil"/>
        <w:left w:space="0" w:sz="0" w:val="nil"/>
        <w:bottom w:space="0" w:sz="0" w:val="nil"/>
        <w:right w:space="0" w:sz="0" w:val="nil"/>
        <w:between w:space="0" w:sz="0" w:val="nil"/>
      </w:pBdr>
      <w:tabs>
        <w:tab w:val="center" w:pos="4513"/>
        <w:tab w:val="right" w:pos="9026"/>
        <w:tab w:val="left" w:pos="3800"/>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2020</w:t>
    </w:r>
    <w:r w:rsidDel="00000000" w:rsidR="00000000" w:rsidRPr="00000000">
      <w:rPr>
        <w:rFonts w:ascii="Arial" w:cs="Arial" w:eastAsia="Arial" w:hAnsi="Arial"/>
        <w:color w:val="bfbfbf"/>
        <w:sz w:val="20"/>
        <w:szCs w:val="2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3">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890" w:hanging="360"/>
      </w:pPr>
      <w:rPr/>
    </w:lvl>
    <w:lvl w:ilvl="1">
      <w:start w:val="1"/>
      <w:numFmt w:val="lowerRoman"/>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decimal"/>
      <w:lvlText w:val="%1."/>
      <w:lvlJc w:val="left"/>
      <w:pPr>
        <w:ind w:left="644" w:hanging="358.99999999999994"/>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odyText1" w:customStyle="1">
    <w:name w:val="Body Text 1"/>
    <w:basedOn w:val="BodyText"/>
    <w:pPr>
      <w:autoSpaceDN w:val="0"/>
      <w:spacing w:after="240" w:line="360" w:lineRule="auto"/>
      <w:ind w:left="851"/>
    </w:pPr>
    <w:rPr>
      <w:rFonts w:ascii="Arial" w:cs="Times New Roman" w:eastAsia="Times New Roman" w:hAnsi="Arial"/>
      <w:sz w:val="20"/>
      <w:szCs w:val="20"/>
    </w:rPr>
  </w:style>
  <w:style w:type="paragraph" w:styleId="BodyText">
    <w:name w:val="Body Text"/>
    <w:basedOn w:val="Normal"/>
    <w:link w:val="BodyTextChar"/>
    <w:uiPriority w:val="99"/>
    <w:unhideWhenUsed w:val="1"/>
    <w:pPr>
      <w:spacing w:after="120"/>
    </w:pPr>
  </w:style>
  <w:style w:type="character" w:styleId="BodyTextChar" w:customStyle="1">
    <w:name w:val="Body Text Char"/>
    <w:basedOn w:val="DefaultParagraphFont"/>
    <w:link w:val="BodyText"/>
    <w:uiPriority w:val="99"/>
  </w:style>
  <w:style w:type="paragraph" w:styleId="ListParagraph">
    <w:name w:val="List Paragraph"/>
    <w:basedOn w:val="Normal"/>
    <w:uiPriority w:val="34"/>
    <w:qFormat w:val="1"/>
    <w:pPr>
      <w:suppressAutoHyphens w:val="1"/>
      <w:autoSpaceDN w:val="0"/>
      <w:ind w:left="720"/>
      <w:textAlignment w:val="baseline"/>
    </w:pPr>
    <w:rPr>
      <w:rFonts w:cs="Times New Roman"/>
    </w:rPr>
  </w:style>
  <w:style w:type="character" w:styleId="Emphasis">
    <w:name w:val="Emphasis"/>
    <w:basedOn w:val="DefaultParagraphFont"/>
    <w:rPr>
      <w:i w:val="1"/>
      <w:iCs w:val="1"/>
    </w:rPr>
  </w:style>
  <w:style w:type="paragraph" w:styleId="GPSDefinitionL2" w:customStyle="1">
    <w:name w:val="GPS Definition L2"/>
    <w:basedOn w:val="Normal"/>
    <w:link w:val="GPSDefinitionL2Char"/>
    <w:qFormat w:val="1"/>
    <w:pPr>
      <w:tabs>
        <w:tab w:val="left" w:pos="-576"/>
      </w:tabs>
      <w:overflowPunct w:val="0"/>
      <w:autoSpaceDE w:val="0"/>
      <w:autoSpaceDN w:val="0"/>
      <w:spacing w:after="120" w:line="240" w:lineRule="auto"/>
      <w:ind w:hanging="545"/>
      <w:jc w:val="both"/>
      <w:textAlignment w:val="baseline"/>
    </w:pPr>
    <w:rPr>
      <w:rFonts w:ascii="Arial" w:cs="Arial" w:eastAsia="Times New Roman" w:hAnsi="Arial"/>
    </w:rPr>
  </w:style>
  <w:style w:type="paragraph" w:styleId="GPsDefinition" w:customStyle="1">
    <w:name w:val="GPs Definition"/>
    <w:basedOn w:val="Normal"/>
    <w:uiPriority w:val="99"/>
    <w:qFormat w:val="1"/>
    <w:pPr>
      <w:tabs>
        <w:tab w:val="left" w:pos="-179"/>
      </w:tabs>
      <w:overflowPunct w:val="0"/>
      <w:autoSpaceDE w:val="0"/>
      <w:autoSpaceDN w:val="0"/>
      <w:spacing w:after="120" w:line="240" w:lineRule="auto"/>
      <w:jc w:val="both"/>
      <w:textAlignment w:val="baseline"/>
    </w:pPr>
    <w:rPr>
      <w:rFonts w:ascii="Arial" w:cs="Arial" w:eastAsia="Times New Roman" w:hAnsi="Arial"/>
    </w:rPr>
  </w:style>
  <w:style w:type="paragraph" w:styleId="GPSDefinitionL3" w:customStyle="1">
    <w:name w:val="GPS Definition L3"/>
    <w:basedOn w:val="GPSDefinitionL2"/>
    <w:link w:val="GPSDefinitionL3Char"/>
    <w:qFormat w:val="1"/>
  </w:style>
  <w:style w:type="paragraph" w:styleId="GPSDefinitionL4" w:customStyle="1">
    <w:name w:val="GPS Definition L4"/>
    <w:basedOn w:val="GPSDefinitionL3"/>
    <w:qFormat w:val="1"/>
    <w:pPr>
      <w:numPr>
        <w:numId w:val="1"/>
      </w:numPr>
      <w:tabs>
        <w:tab w:val="clear" w:pos="-576"/>
        <w:tab w:val="left" w:pos="-2316"/>
        <w:tab w:val="left" w:pos="-2100"/>
      </w:tabs>
    </w:pPr>
  </w:style>
  <w:style w:type="numbering" w:styleId="LFO12" w:customStyle="1">
    <w:name w:val="LFO12"/>
    <w:basedOn w:val="NoList"/>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semiHidden w:val="1"/>
    <w:unhideWhenUsed w:val="1"/>
    <w:rPr>
      <w:b w:val="1"/>
      <w:bCs w:val="1"/>
    </w:rPr>
  </w:style>
  <w:style w:type="character" w:styleId="CommentSubjectChar" w:customStyle="1">
    <w:name w:val="Comment Subject Char"/>
    <w:basedOn w:val="CommentTextChar"/>
    <w:link w:val="CommentSubject"/>
    <w:semiHidden w:val="1"/>
    <w:rPr>
      <w:b w:val="1"/>
      <w:bCs w:val="1"/>
      <w:sz w:val="20"/>
      <w:szCs w:val="20"/>
    </w:rPr>
  </w:style>
  <w:style w:type="paragraph" w:styleId="Revision">
    <w:name w:val="Revision"/>
    <w:hidden w:val="1"/>
    <w:uiPriority w:val="99"/>
    <w:semiHidden w:val="1"/>
    <w:pPr>
      <w:spacing w:after="0" w:line="240" w:lineRule="auto"/>
    </w:p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GuidanceNumbered" w:customStyle="1">
    <w:name w:val="GPS L2 Guidance Numbered"/>
    <w:basedOn w:val="Normal"/>
    <w:link w:val="GPSL2GuidanceNumberedChar"/>
    <w:qFormat w:val="1"/>
    <w:pPr>
      <w:numPr>
        <w:numId w:val="4"/>
      </w:numPr>
      <w:tabs>
        <w:tab w:val="left" w:pos="1418"/>
      </w:tabs>
      <w:adjustRightInd w:val="0"/>
      <w:spacing w:after="120" w:before="120" w:line="240" w:lineRule="auto"/>
      <w:jc w:val="both"/>
    </w:pPr>
    <w:rPr>
      <w:rFonts w:ascii="Arial" w:cs="Arial" w:eastAsia="Times New Roman" w:hAnsi="Arial"/>
      <w:b w:val="1"/>
      <w:i w:val="1"/>
      <w:lang w:eastAsia="zh-CN"/>
    </w:rPr>
  </w:style>
  <w:style w:type="character" w:styleId="GPSL2GuidanceNumberedChar" w:customStyle="1">
    <w:name w:val="GPS L2 Guidance Numbered Char"/>
    <w:link w:val="GPSL2GuidanceNumbered"/>
    <w:rPr>
      <w:rFonts w:ascii="Arial" w:cs="Arial" w:eastAsia="Times New Roman" w:hAnsi="Arial"/>
      <w:b w:val="1"/>
      <w:i w:val="1"/>
      <w:lang w:eastAsia="zh-CN"/>
    </w:rPr>
  </w:style>
  <w:style w:type="paragraph" w:styleId="GPSDefinitionTerm" w:customStyle="1">
    <w:name w:val="GPS Definition Term"/>
    <w:basedOn w:val="Normal"/>
    <w:uiPriority w:val="99"/>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character" w:styleId="GPSDefinitionL2Char" w:customStyle="1">
    <w:name w:val="GPS Definition L2 Char"/>
    <w:link w:val="GPSDefinitionL2"/>
    <w:rPr>
      <w:rFonts w:ascii="Arial" w:cs="Arial" w:eastAsia="Times New Roman" w:hAnsi="Arial"/>
    </w:rPr>
  </w:style>
  <w:style w:type="character" w:styleId="GPSDefinitionL3Char" w:customStyle="1">
    <w:name w:val="GPS Definition L3 Char"/>
    <w:link w:val="GPSDefinitionL3"/>
    <w:rPr>
      <w:rFonts w:ascii="Arial" w:cs="Arial" w:eastAsia="Times New Roman" w:hAnsi="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val="1"/>
    <w:locked w:val="1"/>
    <w:rPr>
      <w:rFonts w:ascii="Calibri" w:hAnsi="Calibri"/>
      <w:b w:val="1"/>
      <w:lang w:eastAsia="en-GB" w:val="en-GB"/>
    </w:rPr>
  </w:style>
  <w:style w:type="paragraph" w:styleId="GPSL1CLAUSEHEADING" w:customStyle="1">
    <w:name w:val="GPS L1 CLAUSE HEADING"/>
    <w:basedOn w:val="Normal"/>
    <w:next w:val="Normal"/>
    <w:qFormat w:val="1"/>
    <w:pPr>
      <w:numPr>
        <w:numId w:val="6"/>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6"/>
      </w:numPr>
      <w:tabs>
        <w:tab w:val="left" w:pos="1134"/>
      </w:tabs>
      <w:adjustRightInd w:val="0"/>
      <w:spacing w:after="120" w:before="120" w:line="240" w:lineRule="auto"/>
      <w:ind w:left="1134" w:hanging="567"/>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985" w:hanging="851"/>
    </w:pPr>
  </w:style>
  <w:style w:type="paragraph" w:styleId="GPSL4numberedclause" w:customStyle="1">
    <w:name w:val="GPS L4 numbered clause"/>
    <w:basedOn w:val="GPSL3numberedclause"/>
    <w:link w:val="GPSL4numberedclauseChar"/>
    <w:qFormat w:val="1"/>
    <w:pPr>
      <w:numPr>
        <w:ilvl w:val="3"/>
      </w:numPr>
      <w:tabs>
        <w:tab w:val="clear" w:pos="2127"/>
      </w:tabs>
    </w:pPr>
    <w:rPr>
      <w:szCs w:val="20"/>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pPr>
  </w:style>
  <w:style w:type="paragraph" w:styleId="GPSL6numbered" w:customStyle="1">
    <w:name w:val="GPS L6 numbered"/>
    <w:basedOn w:val="GPSL5numberedclause"/>
    <w:qFormat w:val="1"/>
    <w:pPr>
      <w:numPr>
        <w:ilvl w:val="5"/>
      </w:numPr>
      <w:tabs>
        <w:tab w:val="left" w:pos="4253"/>
      </w:tabs>
      <w:ind w:left="4253" w:hanging="709"/>
    </w:p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ORDERFORML1PraraNo" w:customStyle="1">
    <w:name w:val="ORDER FORM L1 Prara No"/>
    <w:basedOn w:val="Normal"/>
    <w:qFormat w:val="1"/>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pPr>
      <w:numPr>
        <w:ilvl w:val="1"/>
        <w:numId w:val="7"/>
      </w:numPr>
      <w:adjustRightInd w:val="0"/>
      <w:spacing w:after="120" w:line="240" w:lineRule="auto"/>
      <w:ind w:left="993" w:hanging="567"/>
      <w:jc w:val="both"/>
    </w:pPr>
    <w:rPr>
      <w:rFonts w:ascii="Arial" w:cs="Times New Roman" w:eastAsia="STZhongsong" w:hAnsi="Arial"/>
      <w:b w:val="1"/>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cs="Times New Roman"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pPr>
      <w:spacing w:after="0" w:line="240" w:lineRule="auto"/>
    </w:pPr>
    <w:rPr>
      <w:rFonts w:cs="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LFO5" w:customStyle="1">
    <w:name w:val="LFO5"/>
    <w:basedOn w:val="NoList"/>
  </w:style>
  <w:style w:type="paragraph" w:styleId="Guidancenoteparagraphtext" w:customStyle="1">
    <w:name w:val="Guidance note paragraph text"/>
    <w:basedOn w:val="Normal"/>
    <w:link w:val="GuidancenoteparagraphtextChar"/>
    <w:qFormat w:val="1"/>
    <w:pPr>
      <w:spacing w:after="240" w:line="240" w:lineRule="auto"/>
      <w:ind w:left="709"/>
      <w:jc w:val="both"/>
    </w:pPr>
    <w:rPr>
      <w:rFonts w:ascii="Arial" w:cs="Times New Roman" w:eastAsia="STZhongsong" w:hAnsi="Arial"/>
      <w:b w:val="1"/>
      <w:i w:val="1"/>
      <w:color w:val="000000"/>
      <w:sz w:val="20"/>
      <w:szCs w:val="24"/>
      <w:lang w:eastAsia="zh-CN"/>
    </w:rPr>
  </w:style>
  <w:style w:type="character" w:styleId="GuidancenoteparagraphtextChar" w:customStyle="1">
    <w:name w:val="Guidance note paragraph text Char"/>
    <w:link w:val="Guidancenoteparagraphtext"/>
    <w:rPr>
      <w:rFonts w:ascii="Arial" w:cs="Times New Roman" w:eastAsia="STZhongsong" w:hAnsi="Arial"/>
      <w:b w:val="1"/>
      <w:i w:val="1"/>
      <w:color w:val="000000"/>
      <w:sz w:val="20"/>
      <w:szCs w:val="24"/>
      <w:lang w:eastAsia="zh-CN"/>
    </w:rPr>
  </w:style>
  <w:style w:type="paragraph" w:styleId="GPSL2Numbered" w:customStyle="1">
    <w:name w:val="GPS L2 Numbered"/>
    <w:basedOn w:val="Normal"/>
    <w:pPr>
      <w:tabs>
        <w:tab w:val="left" w:pos="709"/>
        <w:tab w:val="left" w:pos="1134"/>
      </w:tabs>
      <w:autoSpaceDN w:val="0"/>
      <w:spacing w:after="120" w:before="120" w:line="240" w:lineRule="auto"/>
      <w:ind w:left="1494" w:hanging="360"/>
      <w:jc w:val="both"/>
    </w:pPr>
    <w:rPr>
      <w:rFonts w:cs="Arial" w:eastAsia="Times New Roman"/>
      <w:lang w:eastAsia="zh-CN"/>
    </w:rPr>
  </w:style>
  <w:style w:type="paragraph" w:styleId="tabletxt" w:customStyle="1">
    <w:name w:val="tabletxt"/>
    <w:basedOn w:val="Normal"/>
    <w:pPr>
      <w:autoSpaceDE w:val="0"/>
      <w:autoSpaceDN w:val="0"/>
      <w:adjustRightInd w:val="0"/>
      <w:spacing w:after="20" w:before="20" w:line="240" w:lineRule="auto"/>
      <w:jc w:val="both"/>
    </w:pPr>
    <w:rPr>
      <w:rFonts w:ascii="Times New Roman" w:cs="Arial" w:eastAsia="Times New Roman" w:hAnsi="Times New Roman"/>
      <w:sz w:val="20"/>
      <w:szCs w:val="20"/>
      <w:lang w:val="en-US"/>
    </w:rPr>
  </w:style>
  <w:style w:type="paragraph" w:styleId="Tabletext" w:customStyle="1">
    <w:name w:val="Tabletext"/>
    <w:basedOn w:val="Normal"/>
    <w:pPr>
      <w:keepLines w:val="1"/>
      <w:widowControl w:val="0"/>
      <w:spacing w:after="0" w:line="240" w:lineRule="atLeast"/>
    </w:pPr>
    <w:rPr>
      <w:rFonts w:ascii="Arial" w:cs="Times New Roman" w:eastAsia="Times New Roman" w:hAnsi="Arial"/>
      <w:sz w:val="20"/>
      <w:szCs w:val="20"/>
      <w:lang w:val="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pPr>
      <w:spacing w:after="0" w:line="240" w:lineRule="auto"/>
    </w:pPr>
    <w:rPr>
      <w:sz w:val="20"/>
      <w:szCs w:val="20"/>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ir35-find-out-if-it-applies" TargetMode="External"/><Relationship Id="rId8"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RVdKlgLGZPdhj3ZH+HHyrYI5eg==">AMUW2mVuejhT3SVG8tMYn/YCb6CiQurcUC6UFQE1Y+UQ/d/boAaGEPBjsf6XjDW0OYQGTF5ad1Pv2uvxfpZOt2DAfkpjWyi14t7Iz28KUgrVCl7QiqPjRNZU827BuBemqNSpWIEy6n2EZtezf6VPoXNlTrjwK8AL7I7fYz9l2UuU/DSodaVdT4z5Y6BHjkEKja1v87qQ3l88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2020-11-02T17:35:00Z</dcterms:created>
  <dc:creator>David Tinkler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