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4179" w14:textId="420889F6" w:rsidR="00962C92" w:rsidRDefault="00962C92" w:rsidP="00962C92">
      <w:pPr>
        <w:keepNext/>
        <w:pBdr>
          <w:top w:val="nil"/>
          <w:left w:val="nil"/>
          <w:bottom w:val="nil"/>
          <w:right w:val="nil"/>
          <w:between w:val="nil"/>
        </w:pBdr>
        <w:rPr>
          <w:rFonts w:ascii="Arial" w:hAnsi="Arial" w:cs="Arial"/>
          <w:b/>
          <w:color w:val="000000"/>
          <w:sz w:val="24"/>
          <w:szCs w:val="24"/>
        </w:rPr>
      </w:pPr>
      <w:bookmarkStart w:id="0" w:name="_Hlk137569103"/>
      <w:r w:rsidRPr="008A72E5">
        <w:rPr>
          <w:rFonts w:ascii="Arial" w:hAnsi="Arial" w:cs="Arial"/>
          <w:b/>
          <w:color w:val="000000"/>
          <w:sz w:val="24"/>
          <w:szCs w:val="24"/>
        </w:rPr>
        <w:t>Call-Off Schedule 8 (Corporate Resolution Planning)</w:t>
      </w:r>
    </w:p>
    <w:p w14:paraId="44A865D9" w14:textId="77777777" w:rsidR="001050FF" w:rsidRPr="00A56744" w:rsidRDefault="001050FF" w:rsidP="001050FF">
      <w:pPr>
        <w:keepNext/>
        <w:pBdr>
          <w:top w:val="nil"/>
          <w:left w:val="nil"/>
          <w:bottom w:val="nil"/>
          <w:right w:val="nil"/>
          <w:between w:val="nil"/>
        </w:pBdr>
        <w:rPr>
          <w:rFonts w:ascii="Arial" w:hAnsi="Arial" w:cs="Arial"/>
          <w:bCs/>
          <w:color w:val="000000"/>
          <w:sz w:val="24"/>
          <w:szCs w:val="24"/>
          <w:highlight w:val="yellow"/>
        </w:rPr>
      </w:pPr>
      <w:r w:rsidRPr="00A56744">
        <w:rPr>
          <w:rFonts w:ascii="Arial" w:hAnsi="Arial" w:cs="Arial"/>
          <w:b/>
          <w:color w:val="000000"/>
          <w:sz w:val="24"/>
          <w:szCs w:val="24"/>
          <w:highlight w:val="yellow"/>
        </w:rPr>
        <w:t xml:space="preserve">[Buyer Guidance: </w:t>
      </w:r>
      <w:r w:rsidRPr="00A56744">
        <w:rPr>
          <w:rFonts w:ascii="Arial" w:hAnsi="Arial" w:cs="Arial"/>
          <w:bCs/>
          <w:color w:val="000000"/>
          <w:sz w:val="24"/>
          <w:szCs w:val="24"/>
          <w:highlight w:val="yellow"/>
        </w:rPr>
        <w:t>This Schedule should only be used if one or more of the following applies to this Contract:</w:t>
      </w:r>
    </w:p>
    <w:p w14:paraId="0B57FC7E" w14:textId="77777777" w:rsidR="001050FF" w:rsidRPr="00A56744" w:rsidRDefault="001050FF" w:rsidP="001050FF">
      <w:pPr>
        <w:keepNext/>
        <w:pBdr>
          <w:top w:val="nil"/>
          <w:left w:val="nil"/>
          <w:bottom w:val="nil"/>
          <w:right w:val="nil"/>
          <w:between w:val="nil"/>
        </w:pBdr>
        <w:rPr>
          <w:rFonts w:ascii="Arial" w:hAnsi="Arial" w:cs="Arial"/>
          <w:bCs/>
          <w:color w:val="000000"/>
          <w:sz w:val="24"/>
          <w:szCs w:val="24"/>
          <w:highlight w:val="yellow"/>
        </w:rPr>
      </w:pPr>
      <w:r w:rsidRPr="00A56744">
        <w:rPr>
          <w:rFonts w:ascii="Arial" w:hAnsi="Arial" w:cs="Arial"/>
          <w:bCs/>
          <w:color w:val="000000"/>
          <w:sz w:val="24"/>
          <w:szCs w:val="24"/>
          <w:highlight w:val="yellow"/>
        </w:rPr>
        <w:t>•        It is a Critical Goods Contract (as defined below)</w:t>
      </w:r>
    </w:p>
    <w:p w14:paraId="497E2C43" w14:textId="77777777" w:rsidR="001050FF" w:rsidRPr="00A56744" w:rsidRDefault="001050FF" w:rsidP="001050FF">
      <w:pPr>
        <w:keepNext/>
        <w:pBdr>
          <w:top w:val="nil"/>
          <w:left w:val="nil"/>
          <w:bottom w:val="nil"/>
          <w:right w:val="nil"/>
          <w:between w:val="nil"/>
        </w:pBdr>
        <w:rPr>
          <w:rFonts w:ascii="Arial" w:hAnsi="Arial" w:cs="Arial"/>
          <w:bCs/>
          <w:color w:val="000000"/>
          <w:sz w:val="24"/>
          <w:szCs w:val="24"/>
          <w:highlight w:val="yellow"/>
        </w:rPr>
      </w:pPr>
      <w:r w:rsidRPr="00A56744">
        <w:rPr>
          <w:rFonts w:ascii="Arial" w:hAnsi="Arial" w:cs="Arial"/>
          <w:bCs/>
          <w:color w:val="000000"/>
          <w:sz w:val="24"/>
          <w:szCs w:val="24"/>
          <w:highlight w:val="yellow"/>
        </w:rPr>
        <w:t>•        It is a Goods contract for over £10m per annum</w:t>
      </w:r>
    </w:p>
    <w:p w14:paraId="0874F2EA" w14:textId="77777777" w:rsidR="001050FF" w:rsidRPr="00A56744" w:rsidRDefault="001050FF" w:rsidP="001050FF">
      <w:pPr>
        <w:keepNext/>
        <w:pBdr>
          <w:top w:val="nil"/>
          <w:left w:val="nil"/>
          <w:bottom w:val="nil"/>
          <w:right w:val="nil"/>
          <w:between w:val="nil"/>
        </w:pBdr>
        <w:rPr>
          <w:rFonts w:ascii="Arial" w:hAnsi="Arial" w:cs="Arial"/>
          <w:bCs/>
          <w:color w:val="000000"/>
          <w:sz w:val="24"/>
          <w:szCs w:val="24"/>
          <w:highlight w:val="yellow"/>
        </w:rPr>
      </w:pPr>
      <w:r w:rsidRPr="00A56744">
        <w:rPr>
          <w:rFonts w:ascii="Arial" w:hAnsi="Arial" w:cs="Arial"/>
          <w:bCs/>
          <w:color w:val="000000"/>
          <w:sz w:val="24"/>
          <w:szCs w:val="24"/>
          <w:highlight w:val="yellow"/>
        </w:rPr>
        <w:t xml:space="preserve">•        The Supplier for this contract is a Public Sector Dependent Supplier (as defined below). </w:t>
      </w:r>
    </w:p>
    <w:p w14:paraId="5CA1850C" w14:textId="0997B60E" w:rsidR="001050FF" w:rsidRPr="00A56744" w:rsidRDefault="001050FF" w:rsidP="001050FF">
      <w:pPr>
        <w:keepNext/>
        <w:pBdr>
          <w:top w:val="nil"/>
          <w:left w:val="nil"/>
          <w:bottom w:val="nil"/>
          <w:right w:val="nil"/>
          <w:between w:val="nil"/>
        </w:pBdr>
        <w:rPr>
          <w:rFonts w:ascii="Arial" w:hAnsi="Arial" w:cs="Arial"/>
          <w:bCs/>
          <w:color w:val="000000"/>
          <w:sz w:val="24"/>
          <w:szCs w:val="24"/>
        </w:rPr>
      </w:pPr>
      <w:r w:rsidRPr="00A56744">
        <w:rPr>
          <w:rFonts w:ascii="Arial" w:hAnsi="Arial" w:cs="Arial"/>
          <w:bCs/>
          <w:color w:val="000000"/>
          <w:sz w:val="24"/>
          <w:szCs w:val="24"/>
          <w:highlight w:val="yellow"/>
        </w:rPr>
        <w:t>This Schedule requires Suppliers to provide CRP information, in line with the Playbook Guidance about Resolution Planning, to ensure that all applicable Suppliers have a Corporate Resolution Plan in place.]</w:t>
      </w:r>
    </w:p>
    <w:p w14:paraId="5C9E98A5" w14:textId="77777777" w:rsidR="00962C92" w:rsidRPr="008A72E5" w:rsidRDefault="00962C92" w:rsidP="00962C92">
      <w:pPr>
        <w:pStyle w:val="ListParagraph"/>
        <w:keepNext/>
        <w:numPr>
          <w:ilvl w:val="0"/>
          <w:numId w:val="16"/>
        </w:numPr>
        <w:pBdr>
          <w:top w:val="nil"/>
          <w:left w:val="nil"/>
          <w:bottom w:val="nil"/>
          <w:right w:val="nil"/>
          <w:between w:val="nil"/>
        </w:pBdr>
        <w:tabs>
          <w:tab w:val="left" w:pos="0"/>
        </w:tabs>
        <w:spacing w:before="240"/>
        <w:ind w:left="567" w:hanging="567"/>
        <w:jc w:val="left"/>
        <w:rPr>
          <w:b/>
          <w:smallCaps/>
          <w:color w:val="000000"/>
          <w:sz w:val="24"/>
          <w:szCs w:val="24"/>
        </w:rPr>
      </w:pPr>
      <w:bookmarkStart w:id="1" w:name="_heading=h.gjdgxs" w:colFirst="0" w:colLast="0"/>
      <w:bookmarkEnd w:id="1"/>
      <w:r w:rsidRPr="008A72E5">
        <w:rPr>
          <w:b/>
          <w:smallCaps/>
          <w:color w:val="000000"/>
          <w:sz w:val="24"/>
          <w:szCs w:val="24"/>
        </w:rPr>
        <w:t>D</w:t>
      </w:r>
      <w:r w:rsidRPr="008A72E5">
        <w:rPr>
          <w:b/>
          <w:color w:val="000000"/>
          <w:sz w:val="24"/>
          <w:szCs w:val="24"/>
        </w:rPr>
        <w:t>efinitions</w:t>
      </w:r>
    </w:p>
    <w:p w14:paraId="4B52DC0A" w14:textId="77777777" w:rsidR="00962C92" w:rsidRPr="008A72E5" w:rsidRDefault="00962C92" w:rsidP="00962C92">
      <w:pPr>
        <w:pStyle w:val="ListParagraph"/>
        <w:keepNext/>
        <w:pBdr>
          <w:top w:val="nil"/>
          <w:left w:val="nil"/>
          <w:bottom w:val="nil"/>
          <w:right w:val="nil"/>
          <w:between w:val="nil"/>
        </w:pBdr>
        <w:tabs>
          <w:tab w:val="left" w:pos="0"/>
        </w:tabs>
        <w:spacing w:before="240"/>
        <w:ind w:left="567"/>
        <w:jc w:val="left"/>
        <w:rPr>
          <w:b/>
          <w:smallCaps/>
          <w:color w:val="000000"/>
          <w:sz w:val="24"/>
          <w:szCs w:val="24"/>
        </w:rPr>
      </w:pPr>
    </w:p>
    <w:p w14:paraId="44D04D44"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240"/>
        <w:ind w:left="567" w:hanging="567"/>
        <w:jc w:val="left"/>
        <w:rPr>
          <w:b/>
          <w:smallCaps/>
          <w:color w:val="000000"/>
          <w:sz w:val="24"/>
          <w:szCs w:val="24"/>
        </w:rPr>
      </w:pPr>
      <w:r w:rsidRPr="008A72E5">
        <w:rPr>
          <w:color w:val="000000"/>
          <w:sz w:val="24"/>
          <w:szCs w:val="24"/>
        </w:rPr>
        <w:t>In this Schedule, the following words shall have the following meanings and they shall supplement Joint Schedule 1 (Definitions):</w:t>
      </w:r>
    </w:p>
    <w:tbl>
      <w:tblPr>
        <w:tblW w:w="8476" w:type="dxa"/>
        <w:tblInd w:w="704" w:type="dxa"/>
        <w:tblLayout w:type="fixed"/>
        <w:tblLook w:val="0400" w:firstRow="0" w:lastRow="0" w:firstColumn="0" w:lastColumn="0" w:noHBand="0" w:noVBand="1"/>
      </w:tblPr>
      <w:tblGrid>
        <w:gridCol w:w="3401"/>
        <w:gridCol w:w="5075"/>
      </w:tblGrid>
      <w:tr w:rsidR="00962C92" w:rsidRPr="008A72E5" w14:paraId="2A40B40E" w14:textId="77777777" w:rsidTr="00F66049">
        <w:tc>
          <w:tcPr>
            <w:tcW w:w="3401" w:type="dxa"/>
          </w:tcPr>
          <w:p w14:paraId="0630F72F"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"Accounting Reference Date"</w:t>
            </w:r>
          </w:p>
        </w:tc>
        <w:tc>
          <w:tcPr>
            <w:tcW w:w="5075" w:type="dxa"/>
          </w:tcPr>
          <w:p w14:paraId="1F877282"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means in each year the date to which the Supplier prepares its annual audited financial statements;</w:t>
            </w:r>
          </w:p>
        </w:tc>
      </w:tr>
      <w:tr w:rsidR="00962C92" w:rsidRPr="008A72E5" w14:paraId="2372E880" w14:textId="77777777" w:rsidTr="00F66049">
        <w:tc>
          <w:tcPr>
            <w:tcW w:w="3401" w:type="dxa"/>
          </w:tcPr>
          <w:p w14:paraId="0F4833DD"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“Annual Revenue”</w:t>
            </w:r>
          </w:p>
        </w:tc>
        <w:tc>
          <w:tcPr>
            <w:tcW w:w="5075" w:type="dxa"/>
          </w:tcPr>
          <w:p w14:paraId="5FFA504B"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20E73121" w14:textId="77777777" w:rsidR="00962C92" w:rsidRPr="008A72E5" w:rsidRDefault="00962C92" w:rsidP="00F66049">
            <w:pPr>
              <w:pBdr>
                <w:top w:val="nil"/>
                <w:left w:val="nil"/>
                <w:bottom w:val="nil"/>
                <w:right w:val="nil"/>
                <w:between w:val="nil"/>
              </w:pBdr>
              <w:spacing w:after="240"/>
              <w:rPr>
                <w:rFonts w:ascii="Arial" w:eastAsia="Arial" w:hAnsi="Arial" w:cs="Arial"/>
                <w:sz w:val="24"/>
                <w:szCs w:val="24"/>
              </w:rPr>
            </w:pPr>
            <w:r w:rsidRPr="008A72E5">
              <w:rPr>
                <w:rFonts w:ascii="Arial" w:eastAsia="Arial" w:hAnsi="Arial" w:cs="Arial"/>
                <w:sz w:val="24"/>
                <w:szCs w:val="24"/>
              </w:rPr>
              <w:t xml:space="preserve">figures for accounting periods of other than 12 months should be scaled pro rata to produce a proforma figure for a </w:t>
            </w:r>
            <w:proofErr w:type="gramStart"/>
            <w:r w:rsidRPr="008A72E5">
              <w:rPr>
                <w:rFonts w:ascii="Arial" w:eastAsia="Arial" w:hAnsi="Arial" w:cs="Arial"/>
                <w:sz w:val="24"/>
                <w:szCs w:val="24"/>
              </w:rPr>
              <w:t>12 month</w:t>
            </w:r>
            <w:proofErr w:type="gramEnd"/>
            <w:r w:rsidRPr="008A72E5">
              <w:rPr>
                <w:rFonts w:ascii="Arial" w:eastAsia="Arial" w:hAnsi="Arial" w:cs="Arial"/>
                <w:sz w:val="24"/>
                <w:szCs w:val="24"/>
              </w:rPr>
              <w:t xml:space="preserve"> period; and</w:t>
            </w:r>
          </w:p>
          <w:p w14:paraId="60547755"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962C92" w:rsidRPr="008A72E5" w14:paraId="208A51D6" w14:textId="77777777" w:rsidTr="00F66049">
        <w:tc>
          <w:tcPr>
            <w:tcW w:w="3401" w:type="dxa"/>
          </w:tcPr>
          <w:p w14:paraId="0A4E2A34"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lastRenderedPageBreak/>
              <w:t>“Appropriate Authority” or “Appropriate Authorities”</w:t>
            </w:r>
          </w:p>
        </w:tc>
        <w:tc>
          <w:tcPr>
            <w:tcW w:w="5075" w:type="dxa"/>
          </w:tcPr>
          <w:p w14:paraId="73B5CD1A"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means the Buyer and the Cabinet Office Markets and Suppliers Team or, where the Supplier is a Strategic Supplier, the Cabinet Office Markets and Suppliers Team;</w:t>
            </w:r>
          </w:p>
        </w:tc>
      </w:tr>
      <w:tr w:rsidR="00260DA1" w:rsidRPr="008A72E5" w14:paraId="42D14800" w14:textId="77777777" w:rsidTr="00F66049">
        <w:tc>
          <w:tcPr>
            <w:tcW w:w="3401" w:type="dxa"/>
          </w:tcPr>
          <w:p w14:paraId="180B49BE" w14:textId="1258C90F" w:rsidR="00260DA1" w:rsidRPr="008A72E5" w:rsidRDefault="00260DA1"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"Assurance”</w:t>
            </w:r>
          </w:p>
        </w:tc>
        <w:tc>
          <w:tcPr>
            <w:tcW w:w="5075" w:type="dxa"/>
          </w:tcPr>
          <w:p w14:paraId="0418B480" w14:textId="6D4A0836" w:rsidR="00260DA1" w:rsidRPr="008A72E5" w:rsidRDefault="001050FF" w:rsidP="00F66049">
            <w:pPr>
              <w:pBdr>
                <w:top w:val="nil"/>
                <w:left w:val="nil"/>
                <w:bottom w:val="nil"/>
                <w:right w:val="nil"/>
                <w:between w:val="nil"/>
              </w:pBdr>
              <w:tabs>
                <w:tab w:val="left" w:pos="-9"/>
              </w:tabs>
              <w:spacing w:after="120"/>
              <w:rPr>
                <w:rFonts w:ascii="Arial" w:eastAsia="Arial" w:hAnsi="Arial" w:cs="Arial"/>
                <w:sz w:val="24"/>
                <w:szCs w:val="24"/>
              </w:rPr>
            </w:pPr>
            <w:r w:rsidRPr="001050FF">
              <w:rPr>
                <w:rFonts w:ascii="Arial" w:eastAsia="Arial" w:hAnsi="Arial" w:cs="Arial"/>
                <w:sz w:val="24"/>
                <w:szCs w:val="24"/>
              </w:rPr>
              <w:t xml:space="preserve">written confirmation from a Relevant Buyer to the Supplier that the CRP Information is approved by the Relevant Buyer; </w:t>
            </w:r>
          </w:p>
        </w:tc>
      </w:tr>
      <w:tr w:rsidR="00962C92" w:rsidRPr="008A72E5" w14:paraId="29AB3252" w14:textId="77777777" w:rsidTr="00F66049">
        <w:tc>
          <w:tcPr>
            <w:tcW w:w="3401" w:type="dxa"/>
          </w:tcPr>
          <w:p w14:paraId="75724E17"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"Cabinet Office Markets and Suppliers Team"</w:t>
            </w:r>
          </w:p>
        </w:tc>
        <w:tc>
          <w:tcPr>
            <w:tcW w:w="5075" w:type="dxa"/>
          </w:tcPr>
          <w:p w14:paraId="3D2AAFE8"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means the UK Government’s team responsible for managing the relationship between government and its Strategic Suppliers, or any replacement or successor body carrying out the same function;</w:t>
            </w:r>
          </w:p>
        </w:tc>
      </w:tr>
      <w:tr w:rsidR="00962C92" w:rsidRPr="008A72E5" w14:paraId="0A376C74" w14:textId="77777777" w:rsidTr="00F66049">
        <w:tc>
          <w:tcPr>
            <w:tcW w:w="3401" w:type="dxa"/>
          </w:tcPr>
          <w:p w14:paraId="27B641DE"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“Class 1 Transaction”</w:t>
            </w:r>
          </w:p>
        </w:tc>
        <w:tc>
          <w:tcPr>
            <w:tcW w:w="5075" w:type="dxa"/>
          </w:tcPr>
          <w:p w14:paraId="16099F78"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has the meaning set out in the listing rules issued by the UK Listing Authority;</w:t>
            </w:r>
          </w:p>
        </w:tc>
      </w:tr>
      <w:tr w:rsidR="00962C92" w:rsidRPr="008A72E5" w14:paraId="3FDB06BF" w14:textId="77777777" w:rsidTr="00F66049">
        <w:tc>
          <w:tcPr>
            <w:tcW w:w="3401" w:type="dxa"/>
          </w:tcPr>
          <w:p w14:paraId="0B4857EA"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“Control”</w:t>
            </w:r>
          </w:p>
        </w:tc>
        <w:tc>
          <w:tcPr>
            <w:tcW w:w="5075" w:type="dxa"/>
          </w:tcPr>
          <w:p w14:paraId="71616134"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962C92" w:rsidRPr="008A72E5" w14:paraId="0A3ADA53" w14:textId="77777777" w:rsidTr="00F66049">
        <w:tc>
          <w:tcPr>
            <w:tcW w:w="3401" w:type="dxa"/>
          </w:tcPr>
          <w:p w14:paraId="509E94CB"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“Corporate Change Event”</w:t>
            </w:r>
          </w:p>
        </w:tc>
        <w:tc>
          <w:tcPr>
            <w:tcW w:w="5075" w:type="dxa"/>
          </w:tcPr>
          <w:p w14:paraId="6EBF0D8E"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means:</w:t>
            </w:r>
          </w:p>
          <w:p w14:paraId="3277EA50" w14:textId="77777777" w:rsidR="00962C92" w:rsidRPr="008A72E5" w:rsidRDefault="00962C92" w:rsidP="00962C92">
            <w:pPr>
              <w:numPr>
                <w:ilvl w:val="3"/>
                <w:numId w:val="11"/>
              </w:numPr>
              <w:pBdr>
                <w:top w:val="nil"/>
                <w:left w:val="nil"/>
                <w:bottom w:val="nil"/>
                <w:right w:val="nil"/>
                <w:between w:val="nil"/>
              </w:pBdr>
              <w:overflowPunct w:val="0"/>
              <w:autoSpaceDE w:val="0"/>
              <w:autoSpaceDN w:val="0"/>
              <w:adjustRightInd w:val="0"/>
              <w:spacing w:before="100" w:after="0" w:line="240" w:lineRule="auto"/>
              <w:ind w:left="605" w:hanging="605"/>
              <w:textAlignment w:val="baseline"/>
              <w:rPr>
                <w:rFonts w:ascii="Arial" w:eastAsia="Arial" w:hAnsi="Arial" w:cs="Arial"/>
                <w:color w:val="000000"/>
                <w:sz w:val="24"/>
                <w:szCs w:val="24"/>
              </w:rPr>
            </w:pPr>
            <w:r w:rsidRPr="008A72E5">
              <w:rPr>
                <w:rFonts w:ascii="Arial" w:eastAsia="Arial" w:hAnsi="Arial" w:cs="Arial"/>
                <w:color w:val="000000"/>
                <w:sz w:val="24"/>
                <w:szCs w:val="24"/>
              </w:rPr>
              <w:t>any change of Control of the Supplier or a Parent Undertaking of the Supplier;</w:t>
            </w:r>
          </w:p>
          <w:p w14:paraId="3D64BDEE" w14:textId="77777777" w:rsidR="00962C92" w:rsidRPr="008A72E5" w:rsidRDefault="00962C92" w:rsidP="00962C92">
            <w:pPr>
              <w:numPr>
                <w:ilvl w:val="3"/>
                <w:numId w:val="11"/>
              </w:numPr>
              <w:pBdr>
                <w:top w:val="nil"/>
                <w:left w:val="nil"/>
                <w:bottom w:val="nil"/>
                <w:right w:val="nil"/>
                <w:between w:val="nil"/>
              </w:pBdr>
              <w:overflowPunct w:val="0"/>
              <w:autoSpaceDE w:val="0"/>
              <w:autoSpaceDN w:val="0"/>
              <w:adjustRightInd w:val="0"/>
              <w:spacing w:after="0" w:line="240" w:lineRule="auto"/>
              <w:ind w:left="605" w:hanging="605"/>
              <w:textAlignment w:val="baseline"/>
              <w:rPr>
                <w:rFonts w:ascii="Arial" w:eastAsia="Arial" w:hAnsi="Arial" w:cs="Arial"/>
                <w:color w:val="000000"/>
                <w:sz w:val="24"/>
                <w:szCs w:val="24"/>
              </w:rPr>
            </w:pPr>
            <w:r w:rsidRPr="008A72E5">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5CD71625" w14:textId="77777777" w:rsidR="00962C92" w:rsidRPr="008A72E5" w:rsidRDefault="00962C92" w:rsidP="00962C92">
            <w:pPr>
              <w:numPr>
                <w:ilvl w:val="3"/>
                <w:numId w:val="11"/>
              </w:numPr>
              <w:pBdr>
                <w:top w:val="nil"/>
                <w:left w:val="nil"/>
                <w:bottom w:val="nil"/>
                <w:right w:val="nil"/>
                <w:between w:val="nil"/>
              </w:pBdr>
              <w:overflowPunct w:val="0"/>
              <w:autoSpaceDE w:val="0"/>
              <w:autoSpaceDN w:val="0"/>
              <w:adjustRightInd w:val="0"/>
              <w:spacing w:after="0" w:line="240" w:lineRule="auto"/>
              <w:ind w:left="605" w:hanging="605"/>
              <w:textAlignment w:val="baseline"/>
              <w:rPr>
                <w:rFonts w:ascii="Arial" w:eastAsia="Arial" w:hAnsi="Arial" w:cs="Arial"/>
                <w:color w:val="000000"/>
                <w:sz w:val="24"/>
                <w:szCs w:val="24"/>
              </w:rPr>
            </w:pPr>
            <w:r w:rsidRPr="008A72E5">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14:paraId="42797C9B" w14:textId="77777777" w:rsidR="00962C92" w:rsidRPr="008A72E5" w:rsidRDefault="00962C92" w:rsidP="00962C92">
            <w:pPr>
              <w:numPr>
                <w:ilvl w:val="3"/>
                <w:numId w:val="11"/>
              </w:numPr>
              <w:pBdr>
                <w:top w:val="nil"/>
                <w:left w:val="nil"/>
                <w:bottom w:val="nil"/>
                <w:right w:val="nil"/>
                <w:between w:val="nil"/>
              </w:pBdr>
              <w:overflowPunct w:val="0"/>
              <w:autoSpaceDE w:val="0"/>
              <w:autoSpaceDN w:val="0"/>
              <w:adjustRightInd w:val="0"/>
              <w:spacing w:after="0" w:line="240" w:lineRule="auto"/>
              <w:ind w:left="605" w:hanging="605"/>
              <w:textAlignment w:val="baseline"/>
              <w:rPr>
                <w:rFonts w:ascii="Arial" w:eastAsia="Arial" w:hAnsi="Arial" w:cs="Arial"/>
                <w:color w:val="000000"/>
                <w:sz w:val="24"/>
                <w:szCs w:val="24"/>
              </w:rPr>
            </w:pPr>
            <w:r w:rsidRPr="008A72E5">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14:paraId="49AE271E" w14:textId="77777777" w:rsidR="00962C92" w:rsidRPr="008A72E5" w:rsidRDefault="00962C92" w:rsidP="00962C92">
            <w:pPr>
              <w:numPr>
                <w:ilvl w:val="3"/>
                <w:numId w:val="11"/>
              </w:numPr>
              <w:pBdr>
                <w:top w:val="nil"/>
                <w:left w:val="nil"/>
                <w:bottom w:val="nil"/>
                <w:right w:val="nil"/>
                <w:between w:val="nil"/>
              </w:pBdr>
              <w:overflowPunct w:val="0"/>
              <w:autoSpaceDE w:val="0"/>
              <w:autoSpaceDN w:val="0"/>
              <w:adjustRightInd w:val="0"/>
              <w:spacing w:after="0" w:line="240" w:lineRule="auto"/>
              <w:ind w:left="605" w:hanging="605"/>
              <w:textAlignment w:val="baseline"/>
              <w:rPr>
                <w:rFonts w:ascii="Arial" w:eastAsia="Arial" w:hAnsi="Arial" w:cs="Arial"/>
                <w:color w:val="000000"/>
                <w:sz w:val="24"/>
                <w:szCs w:val="24"/>
              </w:rPr>
            </w:pPr>
            <w:r w:rsidRPr="008A72E5">
              <w:rPr>
                <w:rFonts w:ascii="Arial" w:eastAsia="Arial" w:hAnsi="Arial" w:cs="Arial"/>
                <w:color w:val="000000"/>
                <w:sz w:val="24"/>
                <w:szCs w:val="24"/>
              </w:rPr>
              <w:t xml:space="preserve">an event that could reasonably be regarded as being equivalent to a Class 1 Transaction taking place in respect of </w:t>
            </w:r>
            <w:r w:rsidRPr="008A72E5">
              <w:rPr>
                <w:rFonts w:ascii="Arial" w:eastAsia="Arial" w:hAnsi="Arial" w:cs="Arial"/>
                <w:color w:val="000000"/>
                <w:sz w:val="24"/>
                <w:szCs w:val="24"/>
              </w:rPr>
              <w:lastRenderedPageBreak/>
              <w:t>the Supplier or any Parent Undertaking of the Supplier;</w:t>
            </w:r>
          </w:p>
          <w:p w14:paraId="391F7773" w14:textId="77777777" w:rsidR="00962C92" w:rsidRPr="008A72E5" w:rsidRDefault="00962C92" w:rsidP="00962C92">
            <w:pPr>
              <w:numPr>
                <w:ilvl w:val="3"/>
                <w:numId w:val="11"/>
              </w:numPr>
              <w:pBdr>
                <w:top w:val="nil"/>
                <w:left w:val="nil"/>
                <w:bottom w:val="nil"/>
                <w:right w:val="nil"/>
                <w:between w:val="nil"/>
              </w:pBdr>
              <w:overflowPunct w:val="0"/>
              <w:autoSpaceDE w:val="0"/>
              <w:autoSpaceDN w:val="0"/>
              <w:adjustRightInd w:val="0"/>
              <w:spacing w:after="0" w:line="240" w:lineRule="auto"/>
              <w:ind w:left="605" w:hanging="605"/>
              <w:textAlignment w:val="baseline"/>
              <w:rPr>
                <w:rFonts w:ascii="Arial" w:eastAsia="Arial" w:hAnsi="Arial" w:cs="Arial"/>
                <w:color w:val="000000"/>
                <w:sz w:val="24"/>
                <w:szCs w:val="24"/>
              </w:rPr>
            </w:pPr>
            <w:r w:rsidRPr="008A72E5">
              <w:rPr>
                <w:rFonts w:ascii="Arial" w:eastAsia="Arial" w:hAnsi="Arial" w:cs="Arial"/>
                <w:color w:val="000000"/>
                <w:sz w:val="24"/>
                <w:szCs w:val="24"/>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sidRPr="008A72E5">
              <w:rPr>
                <w:rFonts w:ascii="Arial" w:eastAsia="Arial" w:hAnsi="Arial" w:cs="Arial"/>
                <w:color w:val="000000"/>
                <w:sz w:val="24"/>
                <w:szCs w:val="24"/>
              </w:rPr>
              <w:t>12 month</w:t>
            </w:r>
            <w:proofErr w:type="gramEnd"/>
            <w:r w:rsidRPr="008A72E5">
              <w:rPr>
                <w:rFonts w:ascii="Arial" w:eastAsia="Arial" w:hAnsi="Arial" w:cs="Arial"/>
                <w:color w:val="000000"/>
                <w:sz w:val="24"/>
                <w:szCs w:val="24"/>
              </w:rPr>
              <w:t xml:space="preserve"> period;</w:t>
            </w:r>
          </w:p>
          <w:p w14:paraId="0736508C" w14:textId="77777777" w:rsidR="00962C92" w:rsidRPr="008A72E5" w:rsidRDefault="00962C92" w:rsidP="00962C92">
            <w:pPr>
              <w:numPr>
                <w:ilvl w:val="3"/>
                <w:numId w:val="11"/>
              </w:numPr>
              <w:pBdr>
                <w:top w:val="nil"/>
                <w:left w:val="nil"/>
                <w:bottom w:val="nil"/>
                <w:right w:val="nil"/>
                <w:between w:val="nil"/>
              </w:pBdr>
              <w:overflowPunct w:val="0"/>
              <w:autoSpaceDE w:val="0"/>
              <w:autoSpaceDN w:val="0"/>
              <w:adjustRightInd w:val="0"/>
              <w:spacing w:after="0" w:line="240" w:lineRule="auto"/>
              <w:ind w:left="605" w:hanging="605"/>
              <w:textAlignment w:val="baseline"/>
              <w:rPr>
                <w:rFonts w:ascii="Arial" w:eastAsia="Arial" w:hAnsi="Arial" w:cs="Arial"/>
                <w:color w:val="000000"/>
                <w:sz w:val="24"/>
                <w:szCs w:val="24"/>
              </w:rPr>
            </w:pPr>
            <w:r w:rsidRPr="008A72E5">
              <w:rPr>
                <w:rFonts w:ascii="Arial" w:eastAsia="Arial" w:hAnsi="Arial" w:cs="Arial"/>
                <w:color w:val="000000"/>
                <w:sz w:val="24"/>
                <w:szCs w:val="24"/>
              </w:rPr>
              <w:t xml:space="preserve">an order is made or an effective resolution is passed for the winding up of any member of the Supplier Group; </w:t>
            </w:r>
          </w:p>
          <w:p w14:paraId="49BCAF33" w14:textId="77777777" w:rsidR="00962C92" w:rsidRPr="008A72E5" w:rsidRDefault="00962C92" w:rsidP="00962C92">
            <w:pPr>
              <w:numPr>
                <w:ilvl w:val="3"/>
                <w:numId w:val="11"/>
              </w:numPr>
              <w:pBdr>
                <w:top w:val="nil"/>
                <w:left w:val="nil"/>
                <w:bottom w:val="nil"/>
                <w:right w:val="nil"/>
                <w:between w:val="nil"/>
              </w:pBdr>
              <w:overflowPunct w:val="0"/>
              <w:autoSpaceDE w:val="0"/>
              <w:autoSpaceDN w:val="0"/>
              <w:adjustRightInd w:val="0"/>
              <w:spacing w:after="0" w:line="240" w:lineRule="auto"/>
              <w:ind w:left="605" w:hanging="605"/>
              <w:textAlignment w:val="baseline"/>
              <w:rPr>
                <w:rFonts w:ascii="Arial" w:eastAsia="Arial" w:hAnsi="Arial" w:cs="Arial"/>
                <w:color w:val="000000"/>
                <w:sz w:val="24"/>
                <w:szCs w:val="24"/>
              </w:rPr>
            </w:pPr>
            <w:r w:rsidRPr="008A72E5">
              <w:rPr>
                <w:rFonts w:ascii="Arial" w:eastAsia="Arial" w:hAnsi="Arial" w:cs="Arial"/>
                <w:color w:val="000000"/>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669A1509" w14:textId="77777777" w:rsidR="00962C92" w:rsidRPr="008A72E5" w:rsidRDefault="00962C92" w:rsidP="00962C92">
            <w:pPr>
              <w:numPr>
                <w:ilvl w:val="3"/>
                <w:numId w:val="11"/>
              </w:numPr>
              <w:pBdr>
                <w:top w:val="nil"/>
                <w:left w:val="nil"/>
                <w:bottom w:val="nil"/>
                <w:right w:val="nil"/>
                <w:between w:val="nil"/>
              </w:pBdr>
              <w:overflowPunct w:val="0"/>
              <w:autoSpaceDE w:val="0"/>
              <w:autoSpaceDN w:val="0"/>
              <w:adjustRightInd w:val="0"/>
              <w:spacing w:after="0" w:line="240" w:lineRule="auto"/>
              <w:ind w:left="605" w:hanging="605"/>
              <w:textAlignment w:val="baseline"/>
              <w:rPr>
                <w:rFonts w:ascii="Arial" w:eastAsia="Arial" w:hAnsi="Arial" w:cs="Arial"/>
                <w:color w:val="000000"/>
                <w:sz w:val="24"/>
                <w:szCs w:val="24"/>
              </w:rPr>
            </w:pPr>
            <w:r w:rsidRPr="008A72E5">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14:paraId="4025EE7C" w14:textId="77777777" w:rsidR="00962C92" w:rsidRPr="008A72E5" w:rsidRDefault="00962C92" w:rsidP="00962C92">
            <w:pPr>
              <w:numPr>
                <w:ilvl w:val="3"/>
                <w:numId w:val="11"/>
              </w:numPr>
              <w:pBdr>
                <w:top w:val="nil"/>
                <w:left w:val="nil"/>
                <w:bottom w:val="nil"/>
                <w:right w:val="nil"/>
                <w:between w:val="nil"/>
              </w:pBdr>
              <w:overflowPunct w:val="0"/>
              <w:autoSpaceDE w:val="0"/>
              <w:autoSpaceDN w:val="0"/>
              <w:adjustRightInd w:val="0"/>
              <w:spacing w:line="240" w:lineRule="auto"/>
              <w:ind w:left="605" w:hanging="605"/>
              <w:textAlignment w:val="baseline"/>
              <w:rPr>
                <w:rFonts w:ascii="Arial" w:eastAsia="Arial" w:hAnsi="Arial" w:cs="Arial"/>
                <w:color w:val="000000"/>
                <w:sz w:val="24"/>
                <w:szCs w:val="24"/>
              </w:rPr>
            </w:pPr>
            <w:r w:rsidRPr="008A72E5">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962C92" w:rsidRPr="008A72E5" w14:paraId="0635DF73" w14:textId="77777777" w:rsidTr="00F66049">
        <w:tc>
          <w:tcPr>
            <w:tcW w:w="3401" w:type="dxa"/>
          </w:tcPr>
          <w:p w14:paraId="0ED65C60"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lastRenderedPageBreak/>
              <w:t>"Corporate Change Event Grace Period"</w:t>
            </w:r>
          </w:p>
        </w:tc>
        <w:tc>
          <w:tcPr>
            <w:tcW w:w="5075" w:type="dxa"/>
          </w:tcPr>
          <w:p w14:paraId="50A28785"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means a grace period agreed to by the Appropriate Authority for providing CRP Information and/or updates to Business Continuity Plan after a Corporate Change Event;</w:t>
            </w:r>
          </w:p>
        </w:tc>
      </w:tr>
      <w:tr w:rsidR="00962C92" w:rsidRPr="008A72E5" w14:paraId="090CFCA4" w14:textId="77777777" w:rsidTr="00F66049">
        <w:tc>
          <w:tcPr>
            <w:tcW w:w="3401" w:type="dxa"/>
          </w:tcPr>
          <w:p w14:paraId="5BC9E1FE"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"Corporate Resolvability Assessment (Structural Review)"</w:t>
            </w:r>
          </w:p>
        </w:tc>
        <w:tc>
          <w:tcPr>
            <w:tcW w:w="5075" w:type="dxa"/>
          </w:tcPr>
          <w:p w14:paraId="6AEFB559"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means part of the CRP Information relating to the Supplier Group to be provided by the Supplier in accordance with Paragraph 3 and Annex 2 of this Schedule;</w:t>
            </w:r>
          </w:p>
        </w:tc>
      </w:tr>
      <w:tr w:rsidR="00962C92" w:rsidRPr="008A72E5" w14:paraId="1C79876D" w14:textId="77777777" w:rsidTr="00F66049">
        <w:tc>
          <w:tcPr>
            <w:tcW w:w="3401" w:type="dxa"/>
          </w:tcPr>
          <w:p w14:paraId="5244C2DE"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“Critical National Infrastructure” or “CNI”</w:t>
            </w:r>
          </w:p>
        </w:tc>
        <w:tc>
          <w:tcPr>
            <w:tcW w:w="5075" w:type="dxa"/>
          </w:tcPr>
          <w:p w14:paraId="32F4ADB1"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 xml:space="preserve">means those critical elements of UK national infrastructure (namely assets, facilities, systems, networks or processes and the essential workers that operate and facilitate </w:t>
            </w:r>
            <w:r w:rsidRPr="008A72E5">
              <w:rPr>
                <w:rFonts w:ascii="Arial" w:eastAsia="Arial" w:hAnsi="Arial" w:cs="Arial"/>
                <w:sz w:val="24"/>
                <w:szCs w:val="24"/>
              </w:rPr>
              <w:lastRenderedPageBreak/>
              <w:t>them), the loss or compromise of which could result in:</w:t>
            </w:r>
          </w:p>
          <w:p w14:paraId="6FB8407B" w14:textId="77777777" w:rsidR="00962C92" w:rsidRPr="008A72E5" w:rsidRDefault="00962C92" w:rsidP="00F66049">
            <w:pPr>
              <w:pBdr>
                <w:top w:val="nil"/>
                <w:left w:val="nil"/>
                <w:bottom w:val="nil"/>
                <w:right w:val="nil"/>
                <w:between w:val="nil"/>
              </w:pBdr>
              <w:spacing w:after="240"/>
              <w:rPr>
                <w:rFonts w:ascii="Arial" w:eastAsia="Arial" w:hAnsi="Arial" w:cs="Arial"/>
                <w:sz w:val="24"/>
                <w:szCs w:val="24"/>
              </w:rPr>
            </w:pPr>
            <w:r w:rsidRPr="008A72E5">
              <w:rPr>
                <w:rFonts w:ascii="Arial" w:eastAsia="Arial" w:hAnsi="Arial" w:cs="Arial"/>
                <w:sz w:val="24"/>
                <w:szCs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0A8E9F14"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significant impact on the national security, national defence, or the functioning of the UK;</w:t>
            </w:r>
          </w:p>
        </w:tc>
      </w:tr>
      <w:tr w:rsidR="00962C92" w:rsidRPr="008A72E5" w14:paraId="467CE83D" w14:textId="77777777" w:rsidTr="00F66049">
        <w:tc>
          <w:tcPr>
            <w:tcW w:w="3401" w:type="dxa"/>
          </w:tcPr>
          <w:p w14:paraId="7D4D2D2C"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lastRenderedPageBreak/>
              <w:t>“Critical Service Contract”</w:t>
            </w:r>
          </w:p>
        </w:tc>
        <w:tc>
          <w:tcPr>
            <w:tcW w:w="5075" w:type="dxa"/>
          </w:tcPr>
          <w:p w14:paraId="14CAE341" w14:textId="1EE279EF"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 xml:space="preserve">means the overall status of the </w:t>
            </w:r>
            <w:r w:rsidR="00664CBA" w:rsidRPr="008A72E5">
              <w:rPr>
                <w:rFonts w:ascii="Arial" w:eastAsia="Arial" w:hAnsi="Arial" w:cs="Arial"/>
                <w:sz w:val="24"/>
                <w:szCs w:val="24"/>
              </w:rPr>
              <w:t xml:space="preserve">Deliverables </w:t>
            </w:r>
            <w:r w:rsidRPr="008A72E5">
              <w:rPr>
                <w:rFonts w:ascii="Arial" w:eastAsia="Arial" w:hAnsi="Arial" w:cs="Arial"/>
                <w:sz w:val="24"/>
                <w:szCs w:val="24"/>
              </w:rPr>
              <w:t>provided under the Contract as determined by the Buyer and specified in Paragraph 2 of this Schedule;</w:t>
            </w:r>
          </w:p>
        </w:tc>
      </w:tr>
      <w:tr w:rsidR="00962C92" w:rsidRPr="008A72E5" w14:paraId="68B4E2CC" w14:textId="77777777" w:rsidTr="00F66049">
        <w:tc>
          <w:tcPr>
            <w:tcW w:w="3401" w:type="dxa"/>
          </w:tcPr>
          <w:p w14:paraId="40E64BC5"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“CRP Information”</w:t>
            </w:r>
          </w:p>
        </w:tc>
        <w:tc>
          <w:tcPr>
            <w:tcW w:w="5075" w:type="dxa"/>
          </w:tcPr>
          <w:p w14:paraId="5DF595B6"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means the corporate resolution planning information, together, the:</w:t>
            </w:r>
          </w:p>
          <w:p w14:paraId="317D5C75" w14:textId="77777777" w:rsidR="00962C92" w:rsidRPr="008A72E5" w:rsidRDefault="00962C92" w:rsidP="00F66049">
            <w:pPr>
              <w:pBdr>
                <w:top w:val="nil"/>
                <w:left w:val="nil"/>
                <w:bottom w:val="nil"/>
                <w:right w:val="nil"/>
                <w:between w:val="nil"/>
              </w:pBdr>
              <w:spacing w:before="100"/>
              <w:rPr>
                <w:rFonts w:ascii="Arial" w:eastAsia="Arial" w:hAnsi="Arial" w:cs="Arial"/>
                <w:color w:val="000000"/>
                <w:sz w:val="24"/>
                <w:szCs w:val="24"/>
              </w:rPr>
            </w:pPr>
            <w:r w:rsidRPr="008A72E5">
              <w:rPr>
                <w:rFonts w:ascii="Arial" w:eastAsia="Arial" w:hAnsi="Arial" w:cs="Arial"/>
                <w:color w:val="000000"/>
                <w:sz w:val="24"/>
                <w:szCs w:val="24"/>
              </w:rPr>
              <w:t>(a) Exposure Information (Contracts List);</w:t>
            </w:r>
          </w:p>
          <w:p w14:paraId="3150B937" w14:textId="77777777" w:rsidR="00962C92" w:rsidRPr="008A72E5" w:rsidRDefault="00962C92" w:rsidP="00F66049">
            <w:pPr>
              <w:pBdr>
                <w:top w:val="nil"/>
                <w:left w:val="nil"/>
                <w:bottom w:val="nil"/>
                <w:right w:val="nil"/>
                <w:between w:val="nil"/>
              </w:pBdr>
              <w:spacing w:before="100"/>
              <w:rPr>
                <w:rFonts w:ascii="Arial" w:eastAsia="Arial" w:hAnsi="Arial" w:cs="Arial"/>
                <w:color w:val="000000"/>
                <w:sz w:val="24"/>
                <w:szCs w:val="24"/>
              </w:rPr>
            </w:pPr>
            <w:r w:rsidRPr="008A72E5">
              <w:rPr>
                <w:rFonts w:ascii="Arial" w:eastAsia="Arial" w:hAnsi="Arial" w:cs="Arial"/>
                <w:color w:val="000000"/>
                <w:sz w:val="24"/>
                <w:szCs w:val="24"/>
              </w:rPr>
              <w:t>(b) Corporate Resolvability Assessment (Structural Review); and</w:t>
            </w:r>
          </w:p>
          <w:p w14:paraId="00DE3C1D" w14:textId="28BEA74F"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(c) Financial Information and Commentary</w:t>
            </w:r>
            <w:r w:rsidR="00260DA1" w:rsidRPr="008A72E5">
              <w:rPr>
                <w:rFonts w:ascii="Arial" w:eastAsia="Arial" w:hAnsi="Arial" w:cs="Arial"/>
                <w:sz w:val="24"/>
                <w:szCs w:val="24"/>
              </w:rPr>
              <w:t>;</w:t>
            </w:r>
          </w:p>
        </w:tc>
      </w:tr>
      <w:tr w:rsidR="00962C92" w:rsidRPr="008A72E5" w14:paraId="3595B539" w14:textId="77777777" w:rsidTr="00F66049">
        <w:tc>
          <w:tcPr>
            <w:tcW w:w="3401" w:type="dxa"/>
          </w:tcPr>
          <w:p w14:paraId="7E6DAA23"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“Public Sector Dependent Supplier”</w:t>
            </w:r>
          </w:p>
        </w:tc>
        <w:tc>
          <w:tcPr>
            <w:tcW w:w="5075" w:type="dxa"/>
          </w:tcPr>
          <w:p w14:paraId="5024F9F3"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means a supplier where that supplier, or that supplier’s group has Annual Revenue of £50 million or more of which over 50% is generated from UK Public Sector Business;</w:t>
            </w:r>
          </w:p>
        </w:tc>
      </w:tr>
      <w:tr w:rsidR="00962C92" w:rsidRPr="008A72E5" w14:paraId="471FC301" w14:textId="77777777" w:rsidTr="00F66049">
        <w:trPr>
          <w:trHeight w:val="567"/>
        </w:trPr>
        <w:tc>
          <w:tcPr>
            <w:tcW w:w="3401" w:type="dxa"/>
          </w:tcPr>
          <w:p w14:paraId="4B560C4B"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“Strategic Supplier”</w:t>
            </w:r>
          </w:p>
        </w:tc>
        <w:tc>
          <w:tcPr>
            <w:tcW w:w="5075" w:type="dxa"/>
          </w:tcPr>
          <w:p w14:paraId="3F22891D" w14:textId="77777777" w:rsidR="00962C92" w:rsidRPr="008A72E5" w:rsidRDefault="00962C92" w:rsidP="00F66049">
            <w:pPr>
              <w:tabs>
                <w:tab w:val="left" w:pos="-9"/>
              </w:tabs>
              <w:spacing w:after="120"/>
              <w:rPr>
                <w:rFonts w:ascii="Arial" w:eastAsia="Arial" w:hAnsi="Arial" w:cs="Arial"/>
                <w:sz w:val="24"/>
                <w:szCs w:val="24"/>
              </w:rPr>
            </w:pPr>
            <w:r w:rsidRPr="008A72E5">
              <w:rPr>
                <w:rFonts w:ascii="Arial" w:eastAsia="Arial" w:hAnsi="Arial" w:cs="Arial"/>
                <w:sz w:val="24"/>
                <w:szCs w:val="24"/>
              </w:rPr>
              <w:t>means those suppliers to government listed at</w:t>
            </w:r>
          </w:p>
          <w:p w14:paraId="2AF2FEA5" w14:textId="77777777" w:rsidR="00962C92" w:rsidRPr="008A72E5" w:rsidRDefault="00962C92" w:rsidP="00F66049">
            <w:pPr>
              <w:tabs>
                <w:tab w:val="left" w:pos="-9"/>
              </w:tabs>
              <w:spacing w:after="120"/>
              <w:rPr>
                <w:rFonts w:ascii="Arial" w:eastAsia="Arial" w:hAnsi="Arial" w:cs="Arial"/>
                <w:sz w:val="24"/>
                <w:szCs w:val="24"/>
              </w:rPr>
            </w:pPr>
            <w:r w:rsidRPr="008A72E5">
              <w:rPr>
                <w:rFonts w:ascii="Arial" w:eastAsia="Arial" w:hAnsi="Arial" w:cs="Arial"/>
                <w:sz w:val="24"/>
                <w:szCs w:val="24"/>
              </w:rPr>
              <w:t>https://www.gov.uk/government/publications/strategic-suppliers;</w:t>
            </w:r>
          </w:p>
        </w:tc>
      </w:tr>
      <w:tr w:rsidR="00962C92" w:rsidRPr="008A72E5" w14:paraId="11297EDE" w14:textId="77777777" w:rsidTr="00F66049">
        <w:tc>
          <w:tcPr>
            <w:tcW w:w="3401" w:type="dxa"/>
          </w:tcPr>
          <w:p w14:paraId="2888C6A5"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t>“UK Public Sector Business”</w:t>
            </w:r>
          </w:p>
        </w:tc>
        <w:tc>
          <w:tcPr>
            <w:tcW w:w="5075" w:type="dxa"/>
          </w:tcPr>
          <w:p w14:paraId="22397425"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962C92" w:rsidRPr="008A72E5" w14:paraId="5B259DF8" w14:textId="77777777" w:rsidTr="00F66049">
        <w:tc>
          <w:tcPr>
            <w:tcW w:w="3401" w:type="dxa"/>
          </w:tcPr>
          <w:p w14:paraId="7FF4D2CD" w14:textId="77777777" w:rsidR="00962C92" w:rsidRPr="008A72E5" w:rsidRDefault="00962C92" w:rsidP="00F66049">
            <w:pPr>
              <w:pBdr>
                <w:top w:val="nil"/>
                <w:left w:val="nil"/>
                <w:bottom w:val="nil"/>
                <w:right w:val="nil"/>
                <w:between w:val="nil"/>
              </w:pBdr>
              <w:spacing w:after="120"/>
              <w:ind w:left="-108"/>
              <w:rPr>
                <w:rFonts w:ascii="Arial" w:eastAsia="Arial" w:hAnsi="Arial" w:cs="Arial"/>
                <w:b/>
                <w:sz w:val="24"/>
                <w:szCs w:val="24"/>
              </w:rPr>
            </w:pPr>
            <w:r w:rsidRPr="008A72E5">
              <w:rPr>
                <w:rFonts w:ascii="Arial" w:eastAsia="Arial" w:hAnsi="Arial" w:cs="Arial"/>
                <w:b/>
                <w:sz w:val="24"/>
                <w:szCs w:val="24"/>
              </w:rPr>
              <w:lastRenderedPageBreak/>
              <w:t>“UK Public Sector / CNI Contract Information”</w:t>
            </w:r>
          </w:p>
        </w:tc>
        <w:tc>
          <w:tcPr>
            <w:tcW w:w="5075" w:type="dxa"/>
          </w:tcPr>
          <w:p w14:paraId="6E47FF9A" w14:textId="77777777" w:rsidR="00962C92" w:rsidRPr="008A72E5" w:rsidRDefault="00962C92" w:rsidP="00F66049">
            <w:pPr>
              <w:pBdr>
                <w:top w:val="nil"/>
                <w:left w:val="nil"/>
                <w:bottom w:val="nil"/>
                <w:right w:val="nil"/>
                <w:between w:val="nil"/>
              </w:pBdr>
              <w:tabs>
                <w:tab w:val="left" w:pos="-9"/>
              </w:tabs>
              <w:spacing w:after="120"/>
              <w:rPr>
                <w:rFonts w:ascii="Arial" w:eastAsia="Arial" w:hAnsi="Arial" w:cs="Arial"/>
                <w:sz w:val="24"/>
                <w:szCs w:val="24"/>
              </w:rPr>
            </w:pPr>
            <w:r w:rsidRPr="008A72E5">
              <w:rPr>
                <w:rFonts w:ascii="Arial" w:eastAsia="Arial" w:hAnsi="Arial" w:cs="Arial"/>
                <w:sz w:val="24"/>
                <w:szCs w:val="24"/>
              </w:rPr>
              <w:t>means the information relating to the Supplier Group to be provided by the Supplier in accordance with Paragraphs 3 to 5 and Annex 1.</w:t>
            </w:r>
          </w:p>
        </w:tc>
      </w:tr>
    </w:tbl>
    <w:p w14:paraId="4D2A2A01" w14:textId="77777777" w:rsidR="00962C92" w:rsidRPr="008A72E5" w:rsidRDefault="00962C92" w:rsidP="00962C92">
      <w:pPr>
        <w:pStyle w:val="ListParagraph"/>
        <w:keepNext/>
        <w:numPr>
          <w:ilvl w:val="0"/>
          <w:numId w:val="16"/>
        </w:numPr>
        <w:pBdr>
          <w:top w:val="nil"/>
          <w:left w:val="nil"/>
          <w:bottom w:val="nil"/>
          <w:right w:val="nil"/>
          <w:between w:val="nil"/>
        </w:pBdr>
        <w:tabs>
          <w:tab w:val="left" w:pos="0"/>
        </w:tabs>
        <w:spacing w:before="120" w:after="120" w:line="276" w:lineRule="auto"/>
        <w:ind w:left="567" w:hanging="567"/>
        <w:contextualSpacing w:val="0"/>
        <w:jc w:val="left"/>
        <w:rPr>
          <w:b/>
          <w:color w:val="000000"/>
          <w:sz w:val="24"/>
          <w:szCs w:val="24"/>
        </w:rPr>
      </w:pPr>
      <w:bookmarkStart w:id="2" w:name="_heading=h.2xcytpi" w:colFirst="0" w:colLast="0"/>
      <w:bookmarkEnd w:id="2"/>
      <w:r w:rsidRPr="008A72E5">
        <w:rPr>
          <w:b/>
          <w:color w:val="000000"/>
          <w:sz w:val="24"/>
          <w:szCs w:val="24"/>
        </w:rPr>
        <w:t>Service Status and Supplier Status</w:t>
      </w:r>
    </w:p>
    <w:p w14:paraId="659A4C51"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 xml:space="preserve">This Contract </w:t>
      </w:r>
      <w:r w:rsidRPr="008A72E5">
        <w:rPr>
          <w:color w:val="000000"/>
          <w:sz w:val="24"/>
          <w:szCs w:val="24"/>
          <w:highlight w:val="yellow"/>
        </w:rPr>
        <w:t>[insert ‘is’ or ‘is not’</w:t>
      </w:r>
      <w:r w:rsidRPr="008A72E5">
        <w:rPr>
          <w:color w:val="000000"/>
          <w:sz w:val="24"/>
          <w:szCs w:val="24"/>
        </w:rPr>
        <w:t>] a Critical Service Contract.</w:t>
      </w:r>
    </w:p>
    <w:p w14:paraId="6B6EA51A" w14:textId="77777777" w:rsidR="00962C92" w:rsidRPr="008A72E5" w:rsidRDefault="00962C92" w:rsidP="00962C92">
      <w:pPr>
        <w:pBdr>
          <w:top w:val="nil"/>
          <w:left w:val="nil"/>
          <w:bottom w:val="nil"/>
          <w:right w:val="nil"/>
          <w:between w:val="nil"/>
        </w:pBdr>
        <w:spacing w:before="120" w:after="120"/>
        <w:ind w:left="720"/>
        <w:rPr>
          <w:rFonts w:ascii="Arial" w:eastAsia="Arial" w:hAnsi="Arial" w:cs="Arial"/>
          <w:color w:val="000000"/>
          <w:sz w:val="24"/>
          <w:szCs w:val="24"/>
        </w:rPr>
      </w:pPr>
      <w:r w:rsidRPr="008A72E5">
        <w:rPr>
          <w:rFonts w:ascii="Arial" w:eastAsia="Arial" w:hAnsi="Arial" w:cs="Arial"/>
          <w:b/>
          <w:i/>
          <w:color w:val="000000"/>
          <w:sz w:val="24"/>
          <w:szCs w:val="24"/>
          <w:highlight w:val="yellow"/>
        </w:rPr>
        <w:t xml:space="preserve">[Guidance: A Critical Service Contract is a service contract which the Buyer has categorised as a </w:t>
      </w:r>
      <w:proofErr w:type="gramStart"/>
      <w:r w:rsidRPr="008A72E5">
        <w:rPr>
          <w:rFonts w:ascii="Arial" w:eastAsia="Arial" w:hAnsi="Arial" w:cs="Arial"/>
          <w:b/>
          <w:i/>
          <w:color w:val="000000"/>
          <w:sz w:val="24"/>
          <w:szCs w:val="24"/>
          <w:highlight w:val="yellow"/>
        </w:rPr>
        <w:t>Gold</w:t>
      </w:r>
      <w:proofErr w:type="gramEnd"/>
      <w:r w:rsidRPr="008A72E5">
        <w:rPr>
          <w:rFonts w:ascii="Arial" w:eastAsia="Arial" w:hAnsi="Arial" w:cs="Arial"/>
          <w:b/>
          <w:i/>
          <w:color w:val="000000"/>
          <w:sz w:val="24"/>
          <w:szCs w:val="24"/>
          <w:highlight w:val="yellow"/>
        </w:rPr>
        <w:t xml:space="preserve"> contract using the Cabinet Office Contract Tiering Tool available on the Knowledge Hub or which the Buyer, in consultation with the Cabinet Office Markets and Suppliers Team if appropriate, otherwise considers should be classed as a Critical Service Contract.]</w:t>
      </w:r>
    </w:p>
    <w:p w14:paraId="0EC0C2F2" w14:textId="28A5F0E0"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 xml:space="preserve">The Supplier shall notify the Buyer and the Cabinet Office Markets and Suppliers </w:t>
      </w:r>
      <w:r w:rsidRPr="008A72E5">
        <w:rPr>
          <w:sz w:val="24"/>
          <w:szCs w:val="24"/>
        </w:rPr>
        <w:t>Team</w:t>
      </w:r>
      <w:r w:rsidRPr="008A72E5">
        <w:rPr>
          <w:color w:val="000000"/>
          <w:sz w:val="24"/>
          <w:szCs w:val="24"/>
        </w:rPr>
        <w:t xml:space="preserve"> in writing within 5 Working Days of the Effective Date and throughout the Call-Off Contract Period within 120 days after each Accounting Reference Date as to whether or not it is a Public Sector Dependent Supplier. The contact email address for the Markets and Suppliers Team is </w:t>
      </w:r>
      <w:hyperlink r:id="rId8">
        <w:r w:rsidRPr="008A72E5">
          <w:rPr>
            <w:color w:val="0000FF"/>
            <w:sz w:val="24"/>
            <w:szCs w:val="24"/>
            <w:u w:val="single"/>
          </w:rPr>
          <w:t>resolution.planning@cabinetoffice.gov.uk</w:t>
        </w:r>
      </w:hyperlink>
      <w:r w:rsidRPr="008A72E5">
        <w:rPr>
          <w:color w:val="000000"/>
          <w:sz w:val="24"/>
          <w:szCs w:val="24"/>
        </w:rPr>
        <w:t>.</w:t>
      </w:r>
    </w:p>
    <w:p w14:paraId="140371FE"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The Buyer and the Supplier recognise that, where specified in Framework Schedule 4 (Framework Management), CCS shall have the right to enforce the Buyer's rights under this Schedule.</w:t>
      </w:r>
    </w:p>
    <w:p w14:paraId="6338D9F7" w14:textId="77777777" w:rsidR="00962C92" w:rsidRPr="008A72E5" w:rsidRDefault="00962C92" w:rsidP="00962C92">
      <w:pPr>
        <w:pStyle w:val="ListParagraph"/>
        <w:keepNext/>
        <w:numPr>
          <w:ilvl w:val="0"/>
          <w:numId w:val="16"/>
        </w:numPr>
        <w:pBdr>
          <w:top w:val="nil"/>
          <w:left w:val="nil"/>
          <w:bottom w:val="nil"/>
          <w:right w:val="nil"/>
          <w:between w:val="nil"/>
        </w:pBdr>
        <w:tabs>
          <w:tab w:val="left" w:pos="0"/>
        </w:tabs>
        <w:spacing w:before="120" w:after="120" w:line="276" w:lineRule="auto"/>
        <w:ind w:left="567" w:hanging="567"/>
        <w:contextualSpacing w:val="0"/>
        <w:jc w:val="left"/>
        <w:rPr>
          <w:b/>
          <w:color w:val="000000"/>
          <w:sz w:val="24"/>
          <w:szCs w:val="24"/>
        </w:rPr>
      </w:pPr>
      <w:r w:rsidRPr="008A72E5">
        <w:rPr>
          <w:b/>
          <w:color w:val="000000"/>
          <w:sz w:val="24"/>
          <w:szCs w:val="24"/>
        </w:rPr>
        <w:t>Provision of Corporate Resolution Planning Information</w:t>
      </w:r>
    </w:p>
    <w:p w14:paraId="170EB785"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Paragraphs 3 to 5 shall apply if the Contract has been specified as a Critical Service Contract under Paragraph 2.1 or the Supplier is or becomes a Public Sector Dependent Supplier.</w:t>
      </w:r>
    </w:p>
    <w:p w14:paraId="2AA3142D"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Subject to Paragraphs 3.6, 3.10 and 3.11:</w:t>
      </w:r>
    </w:p>
    <w:p w14:paraId="4D49D84A"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color w:val="000000"/>
          <w:sz w:val="24"/>
          <w:szCs w:val="24"/>
        </w:rPr>
      </w:pPr>
      <w:r w:rsidRPr="008A72E5">
        <w:rPr>
          <w:sz w:val="24"/>
          <w:szCs w:val="24"/>
        </w:rPr>
        <w:t>where the Contract is a Critical Service Contract, the Supplier shall provide the Appropriate Authority or Appropriate Authorities with the CRP Information within 60 days of the Effective Date; and</w:t>
      </w:r>
    </w:p>
    <w:p w14:paraId="24FB75D6"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 xml:space="preserve">except where it has already been provided, where the Supplier is a Public Sector Dependent Supplier, it shall provide the Appropriate Authority or Appropriate Authorities with the CRP Information within 60 </w:t>
      </w:r>
      <w:r w:rsidRPr="008A72E5">
        <w:rPr>
          <w:sz w:val="24"/>
          <w:szCs w:val="24"/>
        </w:rPr>
        <w:lastRenderedPageBreak/>
        <w:t>days of the date of the Appropriate Authority’s or Appropriate Authorities’ request.</w:t>
      </w:r>
    </w:p>
    <w:p w14:paraId="5DE45C3F"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The Supplier shall ensure that the CRP Information provided pursuant to Paragraphs 3.2, 3.8 and 3.9:</w:t>
      </w:r>
    </w:p>
    <w:p w14:paraId="1CB3BDFF"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is full, comprehensive, accurate and up to date;</w:t>
      </w:r>
    </w:p>
    <w:p w14:paraId="368CA2B3"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is split into three parts:</w:t>
      </w:r>
    </w:p>
    <w:p w14:paraId="4C4A764F" w14:textId="77777777" w:rsidR="00962C92" w:rsidRPr="008A72E5" w:rsidRDefault="00962C92" w:rsidP="00962C92">
      <w:pPr>
        <w:numPr>
          <w:ilvl w:val="3"/>
          <w:numId w:val="1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hAnsi="Arial" w:cs="Arial"/>
          <w:color w:val="000000"/>
          <w:sz w:val="24"/>
          <w:szCs w:val="24"/>
        </w:rPr>
      </w:pPr>
      <w:r w:rsidRPr="008A72E5">
        <w:rPr>
          <w:rFonts w:ascii="Arial" w:hAnsi="Arial" w:cs="Arial"/>
          <w:color w:val="000000"/>
          <w:sz w:val="24"/>
          <w:szCs w:val="24"/>
        </w:rPr>
        <w:t>Exposure Information (Contracts List);</w:t>
      </w:r>
    </w:p>
    <w:p w14:paraId="5FA980E6" w14:textId="77777777" w:rsidR="00962C92" w:rsidRPr="008A72E5" w:rsidRDefault="00962C92" w:rsidP="00962C92">
      <w:pPr>
        <w:numPr>
          <w:ilvl w:val="3"/>
          <w:numId w:val="1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hAnsi="Arial" w:cs="Arial"/>
          <w:color w:val="000000"/>
          <w:sz w:val="24"/>
          <w:szCs w:val="24"/>
        </w:rPr>
      </w:pPr>
      <w:r w:rsidRPr="008A72E5">
        <w:rPr>
          <w:rFonts w:ascii="Arial" w:hAnsi="Arial" w:cs="Arial"/>
          <w:color w:val="000000"/>
          <w:sz w:val="24"/>
          <w:szCs w:val="24"/>
        </w:rPr>
        <w:t>Corporate Resolvability Assessment (Structural Review);</w:t>
      </w:r>
    </w:p>
    <w:p w14:paraId="04C2ED59" w14:textId="77777777" w:rsidR="00962C92" w:rsidRPr="008A72E5" w:rsidRDefault="00962C92" w:rsidP="00962C92">
      <w:pPr>
        <w:numPr>
          <w:ilvl w:val="3"/>
          <w:numId w:val="15"/>
        </w:numPr>
        <w:pBdr>
          <w:top w:val="nil"/>
          <w:left w:val="nil"/>
          <w:bottom w:val="nil"/>
          <w:right w:val="nil"/>
          <w:between w:val="nil"/>
        </w:pBdr>
        <w:tabs>
          <w:tab w:val="left" w:pos="1985"/>
          <w:tab w:val="left" w:pos="2127"/>
        </w:tabs>
        <w:overflowPunct w:val="0"/>
        <w:autoSpaceDE w:val="0"/>
        <w:autoSpaceDN w:val="0"/>
        <w:adjustRightInd w:val="0"/>
        <w:spacing w:before="120" w:after="120"/>
        <w:ind w:left="2127"/>
        <w:jc w:val="both"/>
        <w:textAlignment w:val="baseline"/>
        <w:rPr>
          <w:rFonts w:ascii="Arial" w:hAnsi="Arial" w:cs="Arial"/>
          <w:color w:val="000000"/>
          <w:sz w:val="24"/>
          <w:szCs w:val="24"/>
        </w:rPr>
      </w:pPr>
      <w:r w:rsidRPr="008A72E5">
        <w:rPr>
          <w:rFonts w:ascii="Arial" w:hAnsi="Arial" w:cs="Arial"/>
          <w:color w:val="000000"/>
          <w:sz w:val="24"/>
          <w:szCs w:val="24"/>
        </w:rPr>
        <w:t xml:space="preserve"> Financial Information and Commentary</w:t>
      </w:r>
    </w:p>
    <w:p w14:paraId="45181120" w14:textId="01168258" w:rsidR="00962C92" w:rsidRPr="008A72E5" w:rsidRDefault="00962C92" w:rsidP="00962C92">
      <w:pPr>
        <w:pBdr>
          <w:top w:val="nil"/>
          <w:left w:val="nil"/>
          <w:bottom w:val="nil"/>
          <w:right w:val="nil"/>
          <w:between w:val="nil"/>
        </w:pBdr>
        <w:spacing w:before="120" w:after="120"/>
        <w:rPr>
          <w:rFonts w:ascii="Arial" w:eastAsia="Arial" w:hAnsi="Arial" w:cs="Arial"/>
          <w:color w:val="000000"/>
          <w:sz w:val="24"/>
          <w:szCs w:val="24"/>
        </w:rPr>
      </w:pPr>
      <w:r w:rsidRPr="008A72E5">
        <w:rPr>
          <w:rFonts w:ascii="Arial" w:eastAsia="Arial" w:hAnsi="Arial" w:cs="Arial"/>
          <w:color w:val="000000"/>
          <w:sz w:val="24"/>
          <w:szCs w:val="24"/>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9">
        <w:r w:rsidRPr="008A72E5">
          <w:rPr>
            <w:rFonts w:ascii="Arial" w:eastAsia="Arial" w:hAnsi="Arial" w:cs="Arial"/>
            <w:color w:val="0000FF"/>
            <w:sz w:val="24"/>
            <w:szCs w:val="24"/>
            <w:u w:val="single"/>
          </w:rPr>
          <w:t>https://www.gov.uk/government/publications/the-sourcing-and-consultancy-playbooks</w:t>
        </w:r>
      </w:hyperlink>
      <w:r w:rsidRPr="008A72E5">
        <w:rPr>
          <w:rFonts w:ascii="Arial" w:eastAsia="Arial" w:hAnsi="Arial" w:cs="Arial"/>
          <w:color w:val="000000"/>
          <w:sz w:val="24"/>
          <w:szCs w:val="24"/>
        </w:rPr>
        <w:t xml:space="preserve"> and contains the level of detail required (adapted as necessary to the Supplier’s circumstances);</w:t>
      </w:r>
    </w:p>
    <w:p w14:paraId="4755CF64" w14:textId="77777777" w:rsidR="00962C92" w:rsidRPr="008A72E5" w:rsidRDefault="00962C92" w:rsidP="00962C92">
      <w:pPr>
        <w:keepNext/>
        <w:numPr>
          <w:ilvl w:val="2"/>
          <w:numId w:val="15"/>
        </w:numPr>
        <w:pBdr>
          <w:top w:val="nil"/>
          <w:left w:val="nil"/>
          <w:bottom w:val="nil"/>
          <w:right w:val="nil"/>
          <w:between w:val="nil"/>
        </w:pBdr>
        <w:overflowPunct w:val="0"/>
        <w:autoSpaceDE w:val="0"/>
        <w:autoSpaceDN w:val="0"/>
        <w:adjustRightInd w:val="0"/>
        <w:spacing w:before="120" w:after="120"/>
        <w:textAlignment w:val="baseline"/>
        <w:rPr>
          <w:rFonts w:ascii="Arial" w:hAnsi="Arial" w:cs="Arial"/>
          <w:sz w:val="24"/>
          <w:szCs w:val="24"/>
        </w:rPr>
      </w:pPr>
      <w:r w:rsidRPr="008A72E5">
        <w:rPr>
          <w:rFonts w:ascii="Arial" w:hAnsi="Arial" w:cs="Arial"/>
          <w:sz w:val="24"/>
          <w:szCs w:val="24"/>
        </w:rPr>
        <w:t>incorporates any additional commentary, supporting documents and evidence which would reasonably be required by the Appropriate Authority or Appropriate Authorities to understand and consider the information for approval;</w:t>
      </w:r>
    </w:p>
    <w:p w14:paraId="42021634"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651AB1CA"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 xml:space="preserve">complies with the requirements set out at </w:t>
      </w:r>
      <w:r w:rsidRPr="008A72E5">
        <w:rPr>
          <w:color w:val="000000"/>
          <w:sz w:val="24"/>
          <w:szCs w:val="24"/>
        </w:rPr>
        <w:t xml:space="preserve">Annex 1 (Exposure </w:t>
      </w:r>
      <w:r w:rsidRPr="008A72E5">
        <w:rPr>
          <w:sz w:val="24"/>
          <w:szCs w:val="24"/>
        </w:rPr>
        <w:t>Information</w:t>
      </w:r>
      <w:r w:rsidRPr="008A72E5">
        <w:rPr>
          <w:color w:val="000000"/>
          <w:sz w:val="24"/>
          <w:szCs w:val="24"/>
        </w:rPr>
        <w:t xml:space="preserve"> (Contracts List)), Annex 2 (Corporate Resolvability Assessment (Structural Review)) and Annex 3 (Financial Information and Commentary) </w:t>
      </w:r>
      <w:r w:rsidRPr="008A72E5">
        <w:rPr>
          <w:sz w:val="24"/>
          <w:szCs w:val="24"/>
        </w:rPr>
        <w:t>respectively.</w:t>
      </w:r>
    </w:p>
    <w:p w14:paraId="4C23779C"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w:t>
      </w:r>
      <w:r w:rsidRPr="008A72E5">
        <w:rPr>
          <w:color w:val="000000"/>
          <w:sz w:val="24"/>
          <w:szCs w:val="24"/>
        </w:rPr>
        <w:lastRenderedPageBreak/>
        <w:t>Authority or Appropriate Authorities approve the CRP Information or that the Appropriate Authority or Appropriate Authorities reject the CRP Information.</w:t>
      </w:r>
    </w:p>
    <w:p w14:paraId="07B084BA"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If the Appropriate Authority or Appropriate Authorities reject the CRP Information:</w:t>
      </w:r>
    </w:p>
    <w:p w14:paraId="19E07A03"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the Buyer shall (and shall procure that the Cabinet Office Markets and Suppliers Team shall) inform the Supplier in writing of its reasons for its rejection; and</w:t>
      </w:r>
    </w:p>
    <w:p w14:paraId="53B57F88"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by the Dispute Resolution Procedure under Clause 34 of the Core Terms at any time.</w:t>
      </w:r>
    </w:p>
    <w:p w14:paraId="74EA7851"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 xml:space="preserve">Where the Supplier or a member of the Supplier Group has already provided CRP Information to a </w:t>
      </w:r>
      <w:r w:rsidRPr="00A56744">
        <w:rPr>
          <w:color w:val="000000"/>
          <w:sz w:val="24"/>
          <w:szCs w:val="24"/>
        </w:rPr>
        <w:t>Central Government Body</w:t>
      </w:r>
      <w:r w:rsidRPr="001050FF">
        <w:rPr>
          <w:color w:val="000000"/>
          <w:sz w:val="24"/>
          <w:szCs w:val="24"/>
        </w:rPr>
        <w:t xml:space="preserve"> </w:t>
      </w:r>
      <w:r w:rsidRPr="008A72E5">
        <w:rPr>
          <w:color w:val="000000"/>
          <w:sz w:val="24"/>
          <w:szCs w:val="24"/>
        </w:rPr>
        <w:t xml:space="preserve">or the Cabinet Office Markets and Suppliers Team (or, in the case of a Strategic Supplier, solely to the Cabinet Office Markets and Suppliers Team) and has received an Assurance of its CRP Information from that </w:t>
      </w:r>
      <w:r w:rsidRPr="00A56744">
        <w:rPr>
          <w:color w:val="000000"/>
          <w:sz w:val="24"/>
          <w:szCs w:val="24"/>
        </w:rPr>
        <w:t>Central Government Body</w:t>
      </w:r>
      <w:r w:rsidRPr="001050FF">
        <w:rPr>
          <w:color w:val="000000"/>
          <w:sz w:val="24"/>
          <w:szCs w:val="24"/>
        </w:rPr>
        <w:t xml:space="preserve"> </w:t>
      </w:r>
      <w:r w:rsidRPr="008A72E5">
        <w:rPr>
          <w:color w:val="000000"/>
          <w:sz w:val="24"/>
          <w:szCs w:val="24"/>
        </w:rPr>
        <w:t>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6216BB8D"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An Assurance shall be deemed Valid for the purposes of Paragraph 3.6 if:</w:t>
      </w:r>
    </w:p>
    <w:p w14:paraId="1D260171"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56121122" w14:textId="6DD47E56"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 xml:space="preserve">no </w:t>
      </w:r>
      <w:r w:rsidR="00260DA1" w:rsidRPr="008A72E5">
        <w:rPr>
          <w:sz w:val="24"/>
          <w:szCs w:val="24"/>
        </w:rPr>
        <w:t>Change of Control</w:t>
      </w:r>
      <w:r w:rsidRPr="008A72E5">
        <w:rPr>
          <w:sz w:val="24"/>
          <w:szCs w:val="24"/>
        </w:rPr>
        <w:t xml:space="preserve"> or Financial Distress Events (or events which would be deemed to be </w:t>
      </w:r>
      <w:r w:rsidR="00260DA1" w:rsidRPr="008A72E5">
        <w:rPr>
          <w:sz w:val="24"/>
          <w:szCs w:val="24"/>
        </w:rPr>
        <w:t>Change of Control</w:t>
      </w:r>
      <w:r w:rsidRPr="008A72E5">
        <w:rPr>
          <w:sz w:val="24"/>
          <w:szCs w:val="24"/>
        </w:rPr>
        <w:t xml:space="preserve"> or Financial Distress Events </w:t>
      </w:r>
      <w:r w:rsidRPr="008A72E5">
        <w:rPr>
          <w:sz w:val="24"/>
          <w:szCs w:val="24"/>
        </w:rPr>
        <w:lastRenderedPageBreak/>
        <w:t>if the Contract had then been in force) have occurred since the date of issue of the Assurance.</w:t>
      </w:r>
    </w:p>
    <w:p w14:paraId="0E283154"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If the Contract is a Critical Service Contract, the Supplier shall provide an updated version of the CRP Information (or, in the case of Paragraph 3.8.3 of its initial CRP Information) to the Appropriate Authority or Appropriate Authorities:</w:t>
      </w:r>
    </w:p>
    <w:p w14:paraId="36F90D2D"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within 14 days of the occurrence of a Financial Distress Event (along with any additional highly confidential information no longer exempted from disclosure under Paragraph 3.11) unless the Supplier is relieved of the consequences of the Financial Distress Event under Paragraph 7.1 of Joint Schedule 7 (Financial Difficulties) (if applicable);</w:t>
      </w:r>
    </w:p>
    <w:p w14:paraId="0B7B50E4"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within 30 days of a Corporate Change Event unless</w:t>
      </w:r>
    </w:p>
    <w:p w14:paraId="14DAF0A1" w14:textId="77777777" w:rsidR="00962C92" w:rsidRPr="008A72E5" w:rsidRDefault="00962C92" w:rsidP="00962C92">
      <w:pPr>
        <w:keepNext/>
        <w:numPr>
          <w:ilvl w:val="3"/>
          <w:numId w:val="15"/>
        </w:numPr>
        <w:pBdr>
          <w:top w:val="nil"/>
          <w:left w:val="nil"/>
          <w:bottom w:val="nil"/>
          <w:right w:val="nil"/>
          <w:between w:val="nil"/>
        </w:pBdr>
        <w:overflowPunct w:val="0"/>
        <w:autoSpaceDE w:val="0"/>
        <w:autoSpaceDN w:val="0"/>
        <w:adjustRightInd w:val="0"/>
        <w:spacing w:before="120" w:after="120"/>
        <w:ind w:left="2268" w:hanging="850"/>
        <w:textAlignment w:val="baseline"/>
        <w:rPr>
          <w:rFonts w:ascii="Arial" w:hAnsi="Arial" w:cs="Arial"/>
          <w:sz w:val="24"/>
          <w:szCs w:val="24"/>
        </w:rPr>
      </w:pPr>
      <w:r w:rsidRPr="008A72E5">
        <w:rPr>
          <w:rFonts w:ascii="Arial" w:hAnsi="Arial" w:cs="Arial"/>
          <w:sz w:val="24"/>
          <w:szCs w:val="24"/>
        </w:rPr>
        <w:t xml:space="preserve">the Supplier requests and the Appropriate Authority (acting reasonably) agrees to a </w:t>
      </w:r>
      <w:r w:rsidRPr="00A56744">
        <w:rPr>
          <w:rFonts w:ascii="Arial" w:hAnsi="Arial" w:cs="Arial"/>
          <w:sz w:val="24"/>
          <w:szCs w:val="24"/>
        </w:rPr>
        <w:t>Corporate Change Event Grace Period</w:t>
      </w:r>
      <w:r w:rsidRPr="008A72E5">
        <w:rPr>
          <w:rFonts w:ascii="Arial" w:hAnsi="Arial" w:cs="Arial"/>
          <w:sz w:val="24"/>
          <w:szCs w:val="24"/>
        </w:rPr>
        <w:t>,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2E4E1400" w14:textId="77777777" w:rsidR="00962C92" w:rsidRPr="008A72E5" w:rsidRDefault="00962C92" w:rsidP="00962C92">
      <w:pPr>
        <w:keepNext/>
        <w:numPr>
          <w:ilvl w:val="3"/>
          <w:numId w:val="15"/>
        </w:numPr>
        <w:pBdr>
          <w:top w:val="nil"/>
          <w:left w:val="nil"/>
          <w:bottom w:val="nil"/>
          <w:right w:val="nil"/>
          <w:between w:val="nil"/>
        </w:pBdr>
        <w:overflowPunct w:val="0"/>
        <w:autoSpaceDE w:val="0"/>
        <w:autoSpaceDN w:val="0"/>
        <w:adjustRightInd w:val="0"/>
        <w:spacing w:before="120" w:after="120"/>
        <w:ind w:left="2268" w:hanging="850"/>
        <w:textAlignment w:val="baseline"/>
        <w:rPr>
          <w:rFonts w:ascii="Arial" w:hAnsi="Arial" w:cs="Arial"/>
          <w:sz w:val="24"/>
          <w:szCs w:val="24"/>
        </w:rPr>
      </w:pPr>
      <w:r w:rsidRPr="008A72E5">
        <w:rPr>
          <w:rFonts w:ascii="Arial" w:hAnsi="Arial" w:cs="Arial"/>
          <w:sz w:val="24"/>
          <w:szCs w:val="24"/>
        </w:rPr>
        <w:t xml:space="preserve"> not required pursuant to Paragraph 3.10;</w:t>
      </w:r>
    </w:p>
    <w:p w14:paraId="046210BB"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within 30 days of the date that:</w:t>
      </w:r>
    </w:p>
    <w:p w14:paraId="41288969" w14:textId="77777777" w:rsidR="00962C92" w:rsidRPr="008A72E5" w:rsidRDefault="00962C92" w:rsidP="00962C92">
      <w:pPr>
        <w:keepNext/>
        <w:numPr>
          <w:ilvl w:val="3"/>
          <w:numId w:val="18"/>
        </w:numPr>
        <w:pBdr>
          <w:top w:val="nil"/>
          <w:left w:val="nil"/>
          <w:bottom w:val="nil"/>
          <w:right w:val="nil"/>
          <w:between w:val="nil"/>
        </w:pBdr>
        <w:overflowPunct w:val="0"/>
        <w:autoSpaceDE w:val="0"/>
        <w:autoSpaceDN w:val="0"/>
        <w:adjustRightInd w:val="0"/>
        <w:spacing w:before="120" w:after="120"/>
        <w:ind w:left="2268" w:hanging="850"/>
        <w:textAlignment w:val="baseline"/>
        <w:rPr>
          <w:rFonts w:ascii="Arial" w:hAnsi="Arial" w:cs="Arial"/>
          <w:color w:val="000000"/>
          <w:sz w:val="24"/>
          <w:szCs w:val="24"/>
        </w:rPr>
      </w:pPr>
      <w:r w:rsidRPr="008A72E5">
        <w:rPr>
          <w:rFonts w:ascii="Arial" w:hAnsi="Arial" w:cs="Arial"/>
          <w:color w:val="000000"/>
          <w:sz w:val="24"/>
          <w:szCs w:val="24"/>
        </w:rPr>
        <w:t xml:space="preserve">the credit rating(s) of each of the Supplier and its Parent </w:t>
      </w:r>
      <w:r w:rsidRPr="008A72E5">
        <w:rPr>
          <w:rFonts w:ascii="Arial" w:hAnsi="Arial" w:cs="Arial"/>
          <w:sz w:val="24"/>
          <w:szCs w:val="24"/>
        </w:rPr>
        <w:t>Undertakings</w:t>
      </w:r>
      <w:r w:rsidRPr="008A72E5">
        <w:rPr>
          <w:rFonts w:ascii="Arial" w:hAnsi="Arial" w:cs="Arial"/>
          <w:color w:val="000000"/>
          <w:sz w:val="24"/>
          <w:szCs w:val="24"/>
        </w:rPr>
        <w:t xml:space="preserve"> fail to meet </w:t>
      </w:r>
      <w:r w:rsidRPr="008A72E5">
        <w:rPr>
          <w:rFonts w:ascii="Arial" w:hAnsi="Arial" w:cs="Arial"/>
          <w:sz w:val="24"/>
          <w:szCs w:val="24"/>
        </w:rPr>
        <w:t>any</w:t>
      </w:r>
      <w:r w:rsidRPr="008A72E5">
        <w:rPr>
          <w:rFonts w:ascii="Arial" w:hAnsi="Arial" w:cs="Arial"/>
          <w:color w:val="000000"/>
          <w:sz w:val="24"/>
          <w:szCs w:val="24"/>
        </w:rPr>
        <w:t xml:space="preserve"> of the criteria specified in Paragraph 3.10; or</w:t>
      </w:r>
    </w:p>
    <w:p w14:paraId="4B2C52D1" w14:textId="77777777" w:rsidR="00962C92" w:rsidRPr="008A72E5" w:rsidRDefault="00962C92" w:rsidP="00962C92">
      <w:pPr>
        <w:keepNext/>
        <w:numPr>
          <w:ilvl w:val="3"/>
          <w:numId w:val="18"/>
        </w:numPr>
        <w:pBdr>
          <w:top w:val="nil"/>
          <w:left w:val="nil"/>
          <w:bottom w:val="nil"/>
          <w:right w:val="nil"/>
          <w:between w:val="nil"/>
        </w:pBdr>
        <w:overflowPunct w:val="0"/>
        <w:autoSpaceDE w:val="0"/>
        <w:autoSpaceDN w:val="0"/>
        <w:adjustRightInd w:val="0"/>
        <w:spacing w:before="120" w:after="120"/>
        <w:ind w:left="2268" w:hanging="850"/>
        <w:textAlignment w:val="baseline"/>
        <w:rPr>
          <w:rFonts w:ascii="Arial" w:hAnsi="Arial" w:cs="Arial"/>
          <w:color w:val="000000"/>
          <w:sz w:val="24"/>
          <w:szCs w:val="24"/>
        </w:rPr>
      </w:pPr>
      <w:r w:rsidRPr="008A72E5">
        <w:rPr>
          <w:rFonts w:ascii="Arial" w:hAnsi="Arial" w:cs="Arial"/>
          <w:color w:val="000000"/>
          <w:sz w:val="24"/>
          <w:szCs w:val="24"/>
        </w:rPr>
        <w:t>none of the credit rating agencies specified at Paragraph 3.10 hold a public credit rating for the Supplier or any of its Parent Undertakings; and</w:t>
      </w:r>
    </w:p>
    <w:p w14:paraId="7E71F550"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in any event, within 6 months after each Accounting Reference Date or within 15 months of the date of the previous Assurance received from the Appropriate Authority (whichever is the earlier), unless:</w:t>
      </w:r>
    </w:p>
    <w:p w14:paraId="74DCF2A6" w14:textId="77777777" w:rsidR="00962C92" w:rsidRPr="008A72E5" w:rsidRDefault="00962C92" w:rsidP="00962C92">
      <w:pPr>
        <w:keepNext/>
        <w:numPr>
          <w:ilvl w:val="3"/>
          <w:numId w:val="19"/>
        </w:numPr>
        <w:pBdr>
          <w:top w:val="nil"/>
          <w:left w:val="nil"/>
          <w:bottom w:val="nil"/>
          <w:right w:val="nil"/>
          <w:between w:val="nil"/>
        </w:pBdr>
        <w:overflowPunct w:val="0"/>
        <w:autoSpaceDE w:val="0"/>
        <w:autoSpaceDN w:val="0"/>
        <w:adjustRightInd w:val="0"/>
        <w:spacing w:before="120" w:after="120"/>
        <w:ind w:left="2268" w:hanging="850"/>
        <w:textAlignment w:val="baseline"/>
        <w:rPr>
          <w:rFonts w:ascii="Arial" w:hAnsi="Arial" w:cs="Arial"/>
          <w:color w:val="000000"/>
          <w:sz w:val="24"/>
          <w:szCs w:val="24"/>
        </w:rPr>
      </w:pPr>
      <w:r w:rsidRPr="008A72E5">
        <w:rPr>
          <w:rFonts w:ascii="Arial" w:hAnsi="Arial" w:cs="Arial"/>
          <w:color w:val="000000"/>
          <w:sz w:val="24"/>
          <w:szCs w:val="24"/>
        </w:rPr>
        <w:t xml:space="preserve">updated CRP Information has been provided under any of Paragraphs 3.8.1 3.8.2 or 3.8.3 since the most recent Accounting Reference Date (being no more than 12 months previously) within the timescales that would ordinarily be </w:t>
      </w:r>
      <w:r w:rsidRPr="008A72E5">
        <w:rPr>
          <w:rFonts w:ascii="Arial" w:hAnsi="Arial" w:cs="Arial"/>
          <w:color w:val="000000"/>
          <w:sz w:val="24"/>
          <w:szCs w:val="24"/>
        </w:rPr>
        <w:lastRenderedPageBreak/>
        <w:t>required for the provision of that information under this Paragraph 3.8.4; or</w:t>
      </w:r>
    </w:p>
    <w:p w14:paraId="5B55BC6B" w14:textId="77777777" w:rsidR="00962C92" w:rsidRPr="008A72E5" w:rsidRDefault="00962C92" w:rsidP="00962C92">
      <w:pPr>
        <w:keepNext/>
        <w:numPr>
          <w:ilvl w:val="3"/>
          <w:numId w:val="19"/>
        </w:numPr>
        <w:pBdr>
          <w:top w:val="nil"/>
          <w:left w:val="nil"/>
          <w:bottom w:val="nil"/>
          <w:right w:val="nil"/>
          <w:between w:val="nil"/>
        </w:pBdr>
        <w:overflowPunct w:val="0"/>
        <w:autoSpaceDE w:val="0"/>
        <w:autoSpaceDN w:val="0"/>
        <w:adjustRightInd w:val="0"/>
        <w:spacing w:before="120" w:after="120"/>
        <w:ind w:left="2268" w:hanging="850"/>
        <w:textAlignment w:val="baseline"/>
        <w:rPr>
          <w:rFonts w:ascii="Arial" w:hAnsi="Arial" w:cs="Arial"/>
          <w:color w:val="000000"/>
          <w:sz w:val="24"/>
          <w:szCs w:val="24"/>
        </w:rPr>
      </w:pPr>
      <w:r w:rsidRPr="008A72E5">
        <w:rPr>
          <w:rFonts w:ascii="Arial" w:hAnsi="Arial" w:cs="Arial"/>
          <w:color w:val="000000"/>
          <w:sz w:val="24"/>
          <w:szCs w:val="24"/>
        </w:rPr>
        <w:t>not required pursuant to Paragraph 3.10.</w:t>
      </w:r>
    </w:p>
    <w:p w14:paraId="032A474A"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Where the Supplier is a Public Sector Dependent Supplier and the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07FDA360"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 xml:space="preserve">Where the Supplier or a </w:t>
      </w:r>
      <w:r w:rsidRPr="00A56744">
        <w:rPr>
          <w:color w:val="000000"/>
          <w:sz w:val="24"/>
          <w:szCs w:val="24"/>
        </w:rPr>
        <w:t>Parent Undertaking</w:t>
      </w:r>
      <w:r w:rsidRPr="008A72E5">
        <w:rPr>
          <w:color w:val="000000"/>
          <w:sz w:val="24"/>
          <w:szCs w:val="24"/>
        </w:rPr>
        <w:t xml:space="preserve"> of the Supplier has a credit rating of either:</w:t>
      </w:r>
    </w:p>
    <w:p w14:paraId="287143EA"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Aa3 or better from Moody’s;</w:t>
      </w:r>
    </w:p>
    <w:p w14:paraId="1C472EA9"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 xml:space="preserve">AA- or better from Standard and </w:t>
      </w:r>
      <w:proofErr w:type="spellStart"/>
      <w:r w:rsidRPr="008A72E5">
        <w:rPr>
          <w:sz w:val="24"/>
          <w:szCs w:val="24"/>
        </w:rPr>
        <w:t>Poors</w:t>
      </w:r>
      <w:proofErr w:type="spellEnd"/>
      <w:r w:rsidRPr="008A72E5">
        <w:rPr>
          <w:sz w:val="24"/>
          <w:szCs w:val="24"/>
        </w:rPr>
        <w:t>;</w:t>
      </w:r>
    </w:p>
    <w:p w14:paraId="71D5B8A2"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AA- or better from Fitch;</w:t>
      </w:r>
    </w:p>
    <w:p w14:paraId="2F191FFE" w14:textId="77777777" w:rsidR="00962C92" w:rsidRPr="008A72E5" w:rsidRDefault="00962C92" w:rsidP="00962C92">
      <w:pPr>
        <w:pStyle w:val="ListParagraph"/>
        <w:keepNext/>
        <w:pBdr>
          <w:top w:val="nil"/>
          <w:left w:val="nil"/>
          <w:bottom w:val="nil"/>
          <w:right w:val="nil"/>
          <w:between w:val="nil"/>
        </w:pBdr>
        <w:tabs>
          <w:tab w:val="left" w:pos="0"/>
        </w:tabs>
        <w:spacing w:before="120" w:after="120" w:line="276" w:lineRule="auto"/>
        <w:ind w:left="567"/>
        <w:contextualSpacing w:val="0"/>
        <w:jc w:val="left"/>
        <w:rPr>
          <w:sz w:val="24"/>
          <w:szCs w:val="24"/>
        </w:rPr>
      </w:pPr>
      <w:r w:rsidRPr="008A72E5">
        <w:rPr>
          <w:sz w:val="24"/>
          <w:szCs w:val="24"/>
        </w:rPr>
        <w:t xml:space="preserve">the </w:t>
      </w:r>
      <w:r w:rsidRPr="008A72E5">
        <w:rPr>
          <w:color w:val="000000"/>
          <w:sz w:val="24"/>
          <w:szCs w:val="24"/>
        </w:rPr>
        <w:t>Supplier</w:t>
      </w:r>
      <w:r w:rsidRPr="008A72E5">
        <w:rPr>
          <w:sz w:val="24"/>
          <w:szCs w:val="24"/>
        </w:rPr>
        <w:t xml:space="preserve"> will not be required to provide any CRP Information unless or until either (</w:t>
      </w:r>
      <w:proofErr w:type="spellStart"/>
      <w:r w:rsidRPr="008A72E5">
        <w:rPr>
          <w:sz w:val="24"/>
          <w:szCs w:val="24"/>
        </w:rPr>
        <w:t>i</w:t>
      </w:r>
      <w:proofErr w:type="spellEnd"/>
      <w:r w:rsidRPr="008A72E5">
        <w:rPr>
          <w:sz w:val="24"/>
          <w:szCs w:val="24"/>
        </w:rPr>
        <w:t>) a Financial Distress Event occurs (unless the Supplier is relieved of the consequences of the Financial Distress Event under Paragraph 7.1 of Joint Schedule 7 (Financial Difficulties), if applicable) or (ii) the Supplier and its Parent Undertakings cease to fulfil the criteria set out in this Paragraph 3.10, in which cases the Supplier shall provide the updated version of the CRP Information in accordance with paragraph 3.8.</w:t>
      </w:r>
    </w:p>
    <w:p w14:paraId="71ED1C2D"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305EE070" w14:textId="77777777" w:rsidR="00962C92" w:rsidRPr="008A72E5" w:rsidRDefault="00962C92" w:rsidP="00962C92">
      <w:pPr>
        <w:pStyle w:val="ListParagraph"/>
        <w:keepNext/>
        <w:numPr>
          <w:ilvl w:val="0"/>
          <w:numId w:val="16"/>
        </w:numPr>
        <w:pBdr>
          <w:top w:val="nil"/>
          <w:left w:val="nil"/>
          <w:bottom w:val="nil"/>
          <w:right w:val="nil"/>
          <w:between w:val="nil"/>
        </w:pBdr>
        <w:tabs>
          <w:tab w:val="left" w:pos="0"/>
        </w:tabs>
        <w:spacing w:before="120" w:after="120" w:line="276" w:lineRule="auto"/>
        <w:ind w:left="567" w:hanging="567"/>
        <w:contextualSpacing w:val="0"/>
        <w:jc w:val="left"/>
        <w:rPr>
          <w:b/>
          <w:color w:val="000000"/>
          <w:sz w:val="24"/>
          <w:szCs w:val="24"/>
        </w:rPr>
      </w:pPr>
      <w:r w:rsidRPr="008A72E5">
        <w:rPr>
          <w:b/>
          <w:color w:val="000000"/>
          <w:sz w:val="24"/>
          <w:szCs w:val="24"/>
        </w:rPr>
        <w:t>Termination Rights</w:t>
      </w:r>
    </w:p>
    <w:p w14:paraId="42D4E65B"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The Buyer shall be entitled to terminate the Contract if the Supplier is required to provide CRP Information under Paragraph 3 and either:</w:t>
      </w:r>
    </w:p>
    <w:p w14:paraId="7C95F757"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 xml:space="preserve">the Supplier fails to provide the CRP Information within 4 months of the </w:t>
      </w:r>
      <w:r w:rsidRPr="00A56744">
        <w:rPr>
          <w:sz w:val="24"/>
          <w:szCs w:val="24"/>
        </w:rPr>
        <w:t>Effective Date</w:t>
      </w:r>
      <w:r w:rsidRPr="008A72E5">
        <w:rPr>
          <w:sz w:val="24"/>
          <w:szCs w:val="24"/>
        </w:rPr>
        <w:t xml:space="preserve"> if this is a Critical Service Contract or otherwise within 4 </w:t>
      </w:r>
      <w:r w:rsidRPr="008A72E5">
        <w:rPr>
          <w:sz w:val="24"/>
          <w:szCs w:val="24"/>
        </w:rPr>
        <w:lastRenderedPageBreak/>
        <w:t>months of the Appropriate Authority’s or Appropriate Authorities’ request; or</w:t>
      </w:r>
    </w:p>
    <w:p w14:paraId="203EACFC"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the Supplier fails to obtain an Assurance from the Appropriate Authority or Appropriate Authorities within 4 months of the date that it was first required to provide the CRP Information under the Contract,</w:t>
      </w:r>
    </w:p>
    <w:p w14:paraId="1F7EF413" w14:textId="77777777" w:rsidR="00962C92" w:rsidRPr="008A72E5" w:rsidRDefault="00962C92" w:rsidP="00962C92">
      <w:pPr>
        <w:pStyle w:val="ListParagraph"/>
        <w:keepNext/>
        <w:pBdr>
          <w:top w:val="nil"/>
          <w:left w:val="nil"/>
          <w:bottom w:val="nil"/>
          <w:right w:val="nil"/>
          <w:between w:val="nil"/>
        </w:pBdr>
        <w:tabs>
          <w:tab w:val="left" w:pos="0"/>
        </w:tabs>
        <w:spacing w:before="120" w:after="120" w:line="276" w:lineRule="auto"/>
        <w:ind w:left="567"/>
        <w:contextualSpacing w:val="0"/>
        <w:jc w:val="left"/>
        <w:rPr>
          <w:color w:val="000000"/>
          <w:sz w:val="24"/>
          <w:szCs w:val="24"/>
        </w:rPr>
      </w:pPr>
      <w:r w:rsidRPr="008A72E5">
        <w:rPr>
          <w:color w:val="000000"/>
          <w:sz w:val="24"/>
          <w:szCs w:val="24"/>
        </w:rPr>
        <w:t>which shall be deemed to be an event to which Clause 10.4.1 of the Core Terms applies and Clauses 10.6.1 and 10.6.2 of the Core Terms shall apply accordingly.</w:t>
      </w:r>
    </w:p>
    <w:p w14:paraId="64663D0A" w14:textId="77777777" w:rsidR="00962C92" w:rsidRPr="008A72E5" w:rsidRDefault="00962C92" w:rsidP="00962C92">
      <w:pPr>
        <w:pStyle w:val="ListParagraph"/>
        <w:keepNext/>
        <w:numPr>
          <w:ilvl w:val="0"/>
          <w:numId w:val="16"/>
        </w:numPr>
        <w:pBdr>
          <w:top w:val="nil"/>
          <w:left w:val="nil"/>
          <w:bottom w:val="nil"/>
          <w:right w:val="nil"/>
          <w:between w:val="nil"/>
        </w:pBdr>
        <w:tabs>
          <w:tab w:val="left" w:pos="0"/>
        </w:tabs>
        <w:spacing w:before="120" w:after="120" w:line="276" w:lineRule="auto"/>
        <w:ind w:left="567" w:hanging="567"/>
        <w:contextualSpacing w:val="0"/>
        <w:jc w:val="left"/>
        <w:rPr>
          <w:b/>
          <w:color w:val="000000"/>
          <w:sz w:val="24"/>
          <w:szCs w:val="24"/>
        </w:rPr>
      </w:pPr>
      <w:r w:rsidRPr="008A72E5">
        <w:rPr>
          <w:b/>
          <w:color w:val="000000"/>
          <w:sz w:val="24"/>
          <w:szCs w:val="24"/>
        </w:rPr>
        <w:t>Confidentiality and usage of CRP Information</w:t>
      </w:r>
    </w:p>
    <w:p w14:paraId="4140950E"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65A30D8E"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bookmarkStart w:id="3" w:name="_heading=h.23ckvvd" w:colFirst="0" w:colLast="0"/>
      <w:bookmarkEnd w:id="3"/>
      <w:r w:rsidRPr="008A72E5">
        <w:rPr>
          <w:color w:val="000000"/>
          <w:sz w:val="24"/>
          <w:szCs w:val="24"/>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Clause 15 of the Core Terms.</w:t>
      </w:r>
    </w:p>
    <w:p w14:paraId="3B4BE7C3"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6A07023F"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Where the Supplier is unable to procure consent pursuant to Paragraph 5.3, the Supplier shall use all reasonable endeavours to disclose the CRP Information to the fullest extent possible by limiting the amount of information it withholds including by:</w:t>
      </w:r>
    </w:p>
    <w:p w14:paraId="29EE25FF"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redacting only those parts of the information which are subject to such obligations of confidentiality;</w:t>
      </w:r>
    </w:p>
    <w:p w14:paraId="30346BD3" w14:textId="77777777" w:rsidR="00962C92" w:rsidRPr="008A72E5" w:rsidRDefault="00962C92" w:rsidP="00962C92">
      <w:pPr>
        <w:pStyle w:val="ListParagraph"/>
        <w:keepNext/>
        <w:numPr>
          <w:ilvl w:val="2"/>
          <w:numId w:val="16"/>
        </w:numPr>
        <w:pBdr>
          <w:top w:val="nil"/>
          <w:left w:val="nil"/>
          <w:bottom w:val="nil"/>
          <w:right w:val="nil"/>
          <w:between w:val="nil"/>
        </w:pBdr>
        <w:tabs>
          <w:tab w:val="left" w:pos="0"/>
        </w:tabs>
        <w:spacing w:before="120" w:after="120" w:line="276" w:lineRule="auto"/>
        <w:ind w:left="1418" w:hanging="851"/>
        <w:contextualSpacing w:val="0"/>
        <w:jc w:val="left"/>
        <w:rPr>
          <w:sz w:val="24"/>
          <w:szCs w:val="24"/>
        </w:rPr>
      </w:pPr>
      <w:r w:rsidRPr="008A72E5">
        <w:rPr>
          <w:sz w:val="24"/>
          <w:szCs w:val="24"/>
        </w:rPr>
        <w:t>providing the information in a form that does not breach its obligations of confidentiality including (where possible) by:</w:t>
      </w:r>
    </w:p>
    <w:p w14:paraId="66193C5E" w14:textId="77777777" w:rsidR="00962C92" w:rsidRPr="008A72E5" w:rsidRDefault="00962C92" w:rsidP="00962C92">
      <w:pPr>
        <w:numPr>
          <w:ilvl w:val="3"/>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hAnsi="Arial" w:cs="Arial"/>
          <w:color w:val="000000"/>
          <w:sz w:val="24"/>
          <w:szCs w:val="24"/>
        </w:rPr>
      </w:pPr>
      <w:r w:rsidRPr="008A72E5">
        <w:rPr>
          <w:rFonts w:ascii="Arial" w:hAnsi="Arial" w:cs="Arial"/>
          <w:color w:val="000000"/>
          <w:sz w:val="24"/>
          <w:szCs w:val="24"/>
        </w:rPr>
        <w:t>summarising the information;</w:t>
      </w:r>
    </w:p>
    <w:p w14:paraId="712DBD42" w14:textId="77777777" w:rsidR="00962C92" w:rsidRPr="008A72E5" w:rsidRDefault="00962C92" w:rsidP="00962C92">
      <w:pPr>
        <w:numPr>
          <w:ilvl w:val="3"/>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hAnsi="Arial" w:cs="Arial"/>
          <w:color w:val="000000"/>
          <w:sz w:val="24"/>
          <w:szCs w:val="24"/>
        </w:rPr>
      </w:pPr>
      <w:r w:rsidRPr="008A72E5">
        <w:rPr>
          <w:rFonts w:ascii="Arial" w:hAnsi="Arial" w:cs="Arial"/>
          <w:color w:val="000000"/>
          <w:sz w:val="24"/>
          <w:szCs w:val="24"/>
        </w:rPr>
        <w:t>grouping the information;</w:t>
      </w:r>
    </w:p>
    <w:p w14:paraId="02C28863" w14:textId="77777777" w:rsidR="00962C92" w:rsidRPr="008A72E5" w:rsidRDefault="00962C92" w:rsidP="00962C92">
      <w:pPr>
        <w:numPr>
          <w:ilvl w:val="3"/>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hAnsi="Arial" w:cs="Arial"/>
          <w:color w:val="000000"/>
          <w:sz w:val="24"/>
          <w:szCs w:val="24"/>
        </w:rPr>
      </w:pPr>
      <w:r w:rsidRPr="008A72E5">
        <w:rPr>
          <w:rFonts w:ascii="Arial" w:hAnsi="Arial" w:cs="Arial"/>
          <w:color w:val="000000"/>
          <w:sz w:val="24"/>
          <w:szCs w:val="24"/>
        </w:rPr>
        <w:t>anonymising the information; and</w:t>
      </w:r>
    </w:p>
    <w:p w14:paraId="7BF6F7BB" w14:textId="77777777" w:rsidR="00962C92" w:rsidRPr="008A72E5" w:rsidRDefault="00962C92" w:rsidP="00962C92">
      <w:pPr>
        <w:numPr>
          <w:ilvl w:val="3"/>
          <w:numId w:val="1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27"/>
        <w:jc w:val="both"/>
        <w:textAlignment w:val="baseline"/>
        <w:rPr>
          <w:rFonts w:ascii="Arial" w:hAnsi="Arial" w:cs="Arial"/>
          <w:color w:val="000000"/>
          <w:sz w:val="24"/>
          <w:szCs w:val="24"/>
        </w:rPr>
      </w:pPr>
      <w:r w:rsidRPr="008A72E5">
        <w:rPr>
          <w:rFonts w:ascii="Arial" w:hAnsi="Arial" w:cs="Arial"/>
          <w:color w:val="000000"/>
          <w:sz w:val="24"/>
          <w:szCs w:val="24"/>
        </w:rPr>
        <w:t>presenting the information in general terms</w:t>
      </w:r>
    </w:p>
    <w:p w14:paraId="4C8AC2DC" w14:textId="77777777" w:rsidR="00962C92" w:rsidRPr="008A72E5" w:rsidRDefault="00962C92" w:rsidP="00962C92">
      <w:pPr>
        <w:pStyle w:val="ListParagraph"/>
        <w:keepNext/>
        <w:numPr>
          <w:ilvl w:val="1"/>
          <w:numId w:val="16"/>
        </w:numPr>
        <w:pBdr>
          <w:top w:val="nil"/>
          <w:left w:val="nil"/>
          <w:bottom w:val="nil"/>
          <w:right w:val="nil"/>
          <w:between w:val="nil"/>
        </w:pBdr>
        <w:tabs>
          <w:tab w:val="left" w:pos="0"/>
        </w:tabs>
        <w:spacing w:before="120" w:after="120" w:line="276" w:lineRule="auto"/>
        <w:ind w:left="567" w:hanging="567"/>
        <w:contextualSpacing w:val="0"/>
        <w:jc w:val="left"/>
        <w:rPr>
          <w:color w:val="000000"/>
          <w:sz w:val="24"/>
          <w:szCs w:val="24"/>
        </w:rPr>
      </w:pPr>
      <w:r w:rsidRPr="008A72E5">
        <w:rPr>
          <w:color w:val="000000"/>
          <w:sz w:val="24"/>
          <w:szCs w:val="24"/>
        </w:rPr>
        <w:t xml:space="preserve">The Supplier shall provide the Appropriate Authority or Appropriate Authorities with contact details of any third party which has not provided consent to </w:t>
      </w:r>
      <w:r w:rsidRPr="008A72E5">
        <w:rPr>
          <w:color w:val="000000"/>
          <w:sz w:val="24"/>
          <w:szCs w:val="24"/>
        </w:rPr>
        <w:lastRenderedPageBreak/>
        <w:t>disclose CRP Information where that third party is also a public sector body and where the Supplier is legally permitted to do so.</w:t>
      </w:r>
    </w:p>
    <w:p w14:paraId="0262617F" w14:textId="77777777" w:rsidR="00962C92" w:rsidRPr="008A72E5" w:rsidRDefault="00962C92" w:rsidP="00962C92">
      <w:pPr>
        <w:pBdr>
          <w:top w:val="nil"/>
          <w:left w:val="nil"/>
          <w:bottom w:val="nil"/>
          <w:right w:val="nil"/>
          <w:between w:val="nil"/>
        </w:pBdr>
        <w:spacing w:before="120" w:after="120"/>
        <w:ind w:left="720" w:hanging="720"/>
        <w:rPr>
          <w:rFonts w:ascii="Arial" w:hAnsi="Arial" w:cs="Arial"/>
          <w:color w:val="000000"/>
          <w:sz w:val="24"/>
          <w:szCs w:val="24"/>
        </w:rPr>
      </w:pPr>
    </w:p>
    <w:p w14:paraId="1342E403" w14:textId="77777777" w:rsidR="00962C92" w:rsidRPr="008A72E5" w:rsidRDefault="00962C92" w:rsidP="00962C92">
      <w:pPr>
        <w:ind w:firstLine="1418"/>
        <w:rPr>
          <w:rFonts w:ascii="Arial" w:hAnsi="Arial" w:cs="Arial"/>
          <w:sz w:val="24"/>
          <w:szCs w:val="24"/>
        </w:rPr>
      </w:pPr>
      <w:r w:rsidRPr="008A72E5">
        <w:rPr>
          <w:rFonts w:ascii="Arial" w:hAnsi="Arial" w:cs="Arial"/>
          <w:sz w:val="24"/>
          <w:szCs w:val="24"/>
        </w:rPr>
        <w:br w:type="page"/>
      </w:r>
    </w:p>
    <w:p w14:paraId="0831F447" w14:textId="77777777" w:rsidR="00962C92" w:rsidRPr="008A72E5" w:rsidRDefault="00962C92" w:rsidP="00962C92">
      <w:pPr>
        <w:pBdr>
          <w:top w:val="nil"/>
          <w:left w:val="nil"/>
          <w:bottom w:val="nil"/>
          <w:right w:val="nil"/>
          <w:between w:val="nil"/>
        </w:pBdr>
        <w:spacing w:before="100" w:after="300"/>
        <w:ind w:hanging="1276"/>
        <w:jc w:val="center"/>
        <w:rPr>
          <w:rFonts w:ascii="Arial" w:hAnsi="Arial" w:cs="Arial"/>
          <w:b/>
          <w:smallCaps/>
          <w:color w:val="000000"/>
          <w:sz w:val="24"/>
          <w:szCs w:val="24"/>
        </w:rPr>
      </w:pPr>
      <w:r w:rsidRPr="008A72E5">
        <w:rPr>
          <w:rFonts w:ascii="Arial" w:hAnsi="Arial" w:cs="Arial"/>
          <w:b/>
          <w:smallCaps/>
          <w:sz w:val="24"/>
          <w:szCs w:val="24"/>
        </w:rPr>
        <w:lastRenderedPageBreak/>
        <w:t>ANNEX 1</w:t>
      </w:r>
      <w:r w:rsidRPr="008A72E5">
        <w:rPr>
          <w:rFonts w:ascii="Arial" w:hAnsi="Arial" w:cs="Arial"/>
          <w:b/>
          <w:smallCaps/>
          <w:color w:val="000000"/>
          <w:sz w:val="24"/>
          <w:szCs w:val="24"/>
        </w:rPr>
        <w:t>: EXPOSURE: CRITICAL CONTRACTS LIST</w:t>
      </w:r>
    </w:p>
    <w:p w14:paraId="7F750036" w14:textId="77777777" w:rsidR="00962C92" w:rsidRPr="008A72E5" w:rsidRDefault="00962C92" w:rsidP="00962C92">
      <w:pPr>
        <w:numPr>
          <w:ilvl w:val="0"/>
          <w:numId w:val="13"/>
        </w:numPr>
        <w:pBdr>
          <w:top w:val="nil"/>
          <w:left w:val="nil"/>
          <w:bottom w:val="nil"/>
          <w:right w:val="nil"/>
          <w:between w:val="nil"/>
        </w:pBdr>
        <w:tabs>
          <w:tab w:val="left" w:pos="567"/>
        </w:tabs>
        <w:overflowPunct w:val="0"/>
        <w:autoSpaceDE w:val="0"/>
        <w:autoSpaceDN w:val="0"/>
        <w:adjustRightInd w:val="0"/>
        <w:spacing w:before="120" w:after="120"/>
        <w:ind w:left="567" w:hanging="567"/>
        <w:textAlignment w:val="baseline"/>
        <w:rPr>
          <w:rFonts w:ascii="Arial" w:hAnsi="Arial" w:cs="Arial"/>
          <w:color w:val="000000"/>
          <w:sz w:val="24"/>
          <w:szCs w:val="24"/>
        </w:rPr>
      </w:pPr>
      <w:r w:rsidRPr="008A72E5">
        <w:rPr>
          <w:rFonts w:ascii="Arial" w:hAnsi="Arial" w:cs="Arial"/>
          <w:color w:val="000000"/>
          <w:sz w:val="24"/>
          <w:szCs w:val="24"/>
        </w:rPr>
        <w:t>The Supplier shall:</w:t>
      </w:r>
    </w:p>
    <w:p w14:paraId="46960F34" w14:textId="77777777" w:rsidR="00962C92" w:rsidRPr="008A72E5" w:rsidRDefault="00962C92" w:rsidP="00962C92">
      <w:pPr>
        <w:numPr>
          <w:ilvl w:val="1"/>
          <w:numId w:val="13"/>
        </w:numPr>
        <w:pBdr>
          <w:top w:val="nil"/>
          <w:left w:val="nil"/>
          <w:bottom w:val="nil"/>
          <w:right w:val="nil"/>
          <w:between w:val="nil"/>
        </w:pBdr>
        <w:overflowPunct w:val="0"/>
        <w:autoSpaceDE w:val="0"/>
        <w:autoSpaceDN w:val="0"/>
        <w:adjustRightInd w:val="0"/>
        <w:spacing w:before="120" w:after="120"/>
        <w:ind w:left="567" w:hanging="567"/>
        <w:textAlignment w:val="baseline"/>
        <w:rPr>
          <w:rFonts w:ascii="Arial" w:hAnsi="Arial" w:cs="Arial"/>
          <w:color w:val="000000"/>
          <w:sz w:val="24"/>
          <w:szCs w:val="24"/>
        </w:rPr>
      </w:pPr>
      <w:r w:rsidRPr="008A72E5">
        <w:rPr>
          <w:rFonts w:ascii="Arial" w:hAnsi="Arial" w:cs="Arial"/>
          <w:color w:val="000000"/>
          <w:sz w:val="24"/>
          <w:szCs w:val="24"/>
        </w:rPr>
        <w:t>provide details of all agreements held by members of the Supplier Group where those agreements are for goods, services or works provision and:</w:t>
      </w:r>
    </w:p>
    <w:p w14:paraId="05D213D6" w14:textId="77777777" w:rsidR="00962C92" w:rsidRPr="008A72E5" w:rsidRDefault="00962C92" w:rsidP="00962C92">
      <w:pPr>
        <w:numPr>
          <w:ilvl w:val="3"/>
          <w:numId w:val="13"/>
        </w:numPr>
        <w:pBdr>
          <w:top w:val="nil"/>
          <w:left w:val="nil"/>
          <w:bottom w:val="nil"/>
          <w:right w:val="nil"/>
          <w:between w:val="nil"/>
        </w:pBdr>
        <w:tabs>
          <w:tab w:val="left" w:pos="720"/>
          <w:tab w:val="left" w:pos="1418"/>
        </w:tabs>
        <w:overflowPunct w:val="0"/>
        <w:autoSpaceDE w:val="0"/>
        <w:autoSpaceDN w:val="0"/>
        <w:adjustRightInd w:val="0"/>
        <w:spacing w:before="120" w:after="120"/>
        <w:ind w:left="1418" w:hanging="851"/>
        <w:textAlignment w:val="baseline"/>
        <w:rPr>
          <w:rFonts w:ascii="Arial" w:hAnsi="Arial" w:cs="Arial"/>
          <w:color w:val="000000"/>
          <w:sz w:val="24"/>
          <w:szCs w:val="24"/>
        </w:rPr>
      </w:pPr>
      <w:bookmarkStart w:id="4" w:name="_heading=h.1baon6m" w:colFirst="0" w:colLast="0"/>
      <w:bookmarkEnd w:id="4"/>
      <w:r w:rsidRPr="008A72E5">
        <w:rPr>
          <w:rFonts w:ascii="Arial" w:hAnsi="Arial" w:cs="Arial"/>
          <w:color w:val="000000"/>
          <w:sz w:val="24"/>
          <w:szCs w:val="24"/>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674FB954" w14:textId="77777777" w:rsidR="00962C92" w:rsidRPr="008A72E5" w:rsidRDefault="00962C92" w:rsidP="00962C92">
      <w:pPr>
        <w:numPr>
          <w:ilvl w:val="3"/>
          <w:numId w:val="13"/>
        </w:numPr>
        <w:pBdr>
          <w:top w:val="nil"/>
          <w:left w:val="nil"/>
          <w:bottom w:val="nil"/>
          <w:right w:val="nil"/>
          <w:between w:val="nil"/>
        </w:pBdr>
        <w:tabs>
          <w:tab w:val="left" w:pos="720"/>
          <w:tab w:val="left" w:pos="1418"/>
        </w:tabs>
        <w:overflowPunct w:val="0"/>
        <w:autoSpaceDE w:val="0"/>
        <w:autoSpaceDN w:val="0"/>
        <w:adjustRightInd w:val="0"/>
        <w:spacing w:before="120" w:after="120"/>
        <w:ind w:left="1418" w:hanging="851"/>
        <w:textAlignment w:val="baseline"/>
        <w:rPr>
          <w:rFonts w:ascii="Arial" w:hAnsi="Arial" w:cs="Arial"/>
          <w:color w:val="000000"/>
          <w:sz w:val="24"/>
          <w:szCs w:val="24"/>
        </w:rPr>
      </w:pPr>
      <w:bookmarkStart w:id="5" w:name="_heading=h.3vac5uf" w:colFirst="0" w:colLast="0"/>
      <w:bookmarkEnd w:id="5"/>
      <w:r w:rsidRPr="008A72E5">
        <w:rPr>
          <w:rFonts w:ascii="Arial" w:hAnsi="Arial" w:cs="Arial"/>
          <w:color w:val="000000"/>
          <w:sz w:val="24"/>
          <w:szCs w:val="24"/>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7885BB61" w14:textId="77777777" w:rsidR="00962C92" w:rsidRPr="008A72E5" w:rsidRDefault="00962C92" w:rsidP="00962C92">
      <w:pPr>
        <w:numPr>
          <w:ilvl w:val="3"/>
          <w:numId w:val="13"/>
        </w:numPr>
        <w:pBdr>
          <w:top w:val="nil"/>
          <w:left w:val="nil"/>
          <w:bottom w:val="nil"/>
          <w:right w:val="nil"/>
          <w:between w:val="nil"/>
        </w:pBdr>
        <w:tabs>
          <w:tab w:val="left" w:pos="720"/>
          <w:tab w:val="left" w:pos="1418"/>
        </w:tabs>
        <w:overflowPunct w:val="0"/>
        <w:autoSpaceDE w:val="0"/>
        <w:autoSpaceDN w:val="0"/>
        <w:adjustRightInd w:val="0"/>
        <w:spacing w:before="120" w:after="120"/>
        <w:ind w:left="1418" w:hanging="851"/>
        <w:textAlignment w:val="baseline"/>
        <w:rPr>
          <w:rFonts w:ascii="Arial" w:hAnsi="Arial" w:cs="Arial"/>
          <w:color w:val="000000"/>
          <w:sz w:val="24"/>
          <w:szCs w:val="24"/>
        </w:rPr>
      </w:pPr>
      <w:r w:rsidRPr="008A72E5">
        <w:rPr>
          <w:rFonts w:ascii="Arial" w:hAnsi="Arial" w:cs="Arial"/>
          <w:color w:val="000000"/>
          <w:sz w:val="24"/>
          <w:szCs w:val="24"/>
        </w:rPr>
        <w:t>involve or could reasonably be considered to involve CNI;</w:t>
      </w:r>
    </w:p>
    <w:p w14:paraId="3D727FB6" w14:textId="77777777" w:rsidR="00962C92" w:rsidRPr="008A72E5" w:rsidRDefault="00962C92" w:rsidP="00962C92">
      <w:pPr>
        <w:numPr>
          <w:ilvl w:val="1"/>
          <w:numId w:val="13"/>
        </w:numPr>
        <w:pBdr>
          <w:top w:val="nil"/>
          <w:left w:val="nil"/>
          <w:bottom w:val="nil"/>
          <w:right w:val="nil"/>
          <w:between w:val="nil"/>
        </w:pBdr>
        <w:overflowPunct w:val="0"/>
        <w:autoSpaceDE w:val="0"/>
        <w:autoSpaceDN w:val="0"/>
        <w:adjustRightInd w:val="0"/>
        <w:spacing w:before="120" w:after="120"/>
        <w:ind w:left="567" w:hanging="567"/>
        <w:textAlignment w:val="baseline"/>
        <w:rPr>
          <w:rFonts w:ascii="Arial" w:hAnsi="Arial" w:cs="Arial"/>
          <w:sz w:val="24"/>
          <w:szCs w:val="24"/>
        </w:rPr>
      </w:pPr>
      <w:r w:rsidRPr="008A72E5">
        <w:rPr>
          <w:rFonts w:ascii="Arial" w:hAnsi="Arial" w:cs="Arial"/>
          <w:sz w:val="24"/>
          <w:szCs w:val="24"/>
        </w:rPr>
        <w:t xml:space="preserve">provide the Appropriate Authority with a copy of the latest version of each underlying </w:t>
      </w:r>
      <w:r w:rsidRPr="008A72E5">
        <w:rPr>
          <w:rFonts w:ascii="Arial" w:hAnsi="Arial" w:cs="Arial"/>
          <w:color w:val="000000"/>
          <w:sz w:val="24"/>
          <w:szCs w:val="24"/>
        </w:rPr>
        <w:t>contract</w:t>
      </w:r>
      <w:r w:rsidRPr="008A72E5">
        <w:rPr>
          <w:rFonts w:ascii="Arial" w:hAnsi="Arial" w:cs="Arial"/>
          <w:sz w:val="24"/>
          <w:szCs w:val="24"/>
        </w:rPr>
        <w:t xml:space="preserve"> worth more than £5m per contract year and their related key sub-contracts, which shall be included as embedded documents within the CRP Information or via a directly accessible link. </w:t>
      </w:r>
    </w:p>
    <w:p w14:paraId="6C9A2C2D" w14:textId="77777777" w:rsidR="00962C92" w:rsidRPr="008A72E5" w:rsidRDefault="00962C92" w:rsidP="00962C92">
      <w:pPr>
        <w:ind w:firstLine="1418"/>
        <w:rPr>
          <w:rFonts w:ascii="Arial" w:hAnsi="Arial" w:cs="Arial"/>
          <w:sz w:val="24"/>
          <w:szCs w:val="24"/>
        </w:rPr>
      </w:pPr>
      <w:r w:rsidRPr="008A72E5">
        <w:rPr>
          <w:rFonts w:ascii="Arial" w:hAnsi="Arial" w:cs="Arial"/>
          <w:sz w:val="24"/>
          <w:szCs w:val="24"/>
        </w:rPr>
        <w:br w:type="page"/>
      </w:r>
    </w:p>
    <w:p w14:paraId="719DA9FD" w14:textId="77777777" w:rsidR="00962C92" w:rsidRPr="008A72E5" w:rsidRDefault="00962C92" w:rsidP="00962C92">
      <w:pPr>
        <w:ind w:hanging="1134"/>
        <w:jc w:val="center"/>
        <w:rPr>
          <w:rFonts w:ascii="Arial" w:hAnsi="Arial" w:cs="Arial"/>
          <w:b/>
          <w:sz w:val="24"/>
          <w:szCs w:val="24"/>
        </w:rPr>
      </w:pPr>
      <w:r w:rsidRPr="008A72E5">
        <w:rPr>
          <w:rFonts w:ascii="Arial" w:hAnsi="Arial" w:cs="Arial"/>
          <w:b/>
          <w:sz w:val="24"/>
          <w:szCs w:val="24"/>
        </w:rPr>
        <w:lastRenderedPageBreak/>
        <w:t>ANNEX 2: CORPORATE RESOLVABILITY ASSESSMENT (STRUCTURAL REVIEW)</w:t>
      </w:r>
      <w:r w:rsidRPr="008A72E5">
        <w:rPr>
          <w:rFonts w:ascii="Arial" w:hAnsi="Arial" w:cs="Arial"/>
          <w:sz w:val="24"/>
          <w:szCs w:val="24"/>
        </w:rPr>
        <w:t xml:space="preserve">     </w:t>
      </w:r>
    </w:p>
    <w:p w14:paraId="488F41A0" w14:textId="77777777" w:rsidR="00962C92" w:rsidRPr="008A72E5" w:rsidRDefault="00962C92" w:rsidP="00962C92">
      <w:pPr>
        <w:numPr>
          <w:ilvl w:val="0"/>
          <w:numId w:val="12"/>
        </w:numPr>
        <w:pBdr>
          <w:top w:val="nil"/>
          <w:left w:val="nil"/>
          <w:bottom w:val="nil"/>
          <w:right w:val="nil"/>
          <w:between w:val="nil"/>
        </w:pBdr>
        <w:overflowPunct w:val="0"/>
        <w:autoSpaceDE w:val="0"/>
        <w:autoSpaceDN w:val="0"/>
        <w:adjustRightInd w:val="0"/>
        <w:spacing w:before="120" w:after="120"/>
        <w:ind w:left="567" w:hanging="567"/>
        <w:textAlignment w:val="baseline"/>
        <w:rPr>
          <w:rFonts w:ascii="Arial" w:eastAsia="Arial" w:hAnsi="Arial" w:cs="Arial"/>
          <w:b/>
          <w:color w:val="000000"/>
          <w:sz w:val="24"/>
          <w:szCs w:val="24"/>
        </w:rPr>
      </w:pPr>
      <w:bookmarkStart w:id="6" w:name="_heading=h.ihv636" w:colFirst="0" w:colLast="0"/>
      <w:bookmarkEnd w:id="6"/>
      <w:r w:rsidRPr="008A72E5">
        <w:rPr>
          <w:rFonts w:ascii="Arial" w:eastAsia="Arial" w:hAnsi="Arial" w:cs="Arial"/>
          <w:color w:val="000000"/>
          <w:sz w:val="24"/>
          <w:szCs w:val="24"/>
        </w:rPr>
        <w:t>The Supplier shall:</w:t>
      </w:r>
    </w:p>
    <w:p w14:paraId="3AD57490" w14:textId="77777777" w:rsidR="00962C92" w:rsidRPr="008A72E5" w:rsidRDefault="00962C92" w:rsidP="00962C92">
      <w:pPr>
        <w:numPr>
          <w:ilvl w:val="1"/>
          <w:numId w:val="12"/>
        </w:numPr>
        <w:pBdr>
          <w:top w:val="nil"/>
          <w:left w:val="nil"/>
          <w:bottom w:val="nil"/>
          <w:right w:val="nil"/>
          <w:between w:val="nil"/>
        </w:pBdr>
        <w:overflowPunct w:val="0"/>
        <w:autoSpaceDE w:val="0"/>
        <w:autoSpaceDN w:val="0"/>
        <w:adjustRightInd w:val="0"/>
        <w:spacing w:before="120" w:after="120"/>
        <w:ind w:left="567" w:hanging="567"/>
        <w:textAlignment w:val="baseline"/>
        <w:rPr>
          <w:rFonts w:ascii="Arial" w:eastAsia="Arial" w:hAnsi="Arial" w:cs="Arial"/>
          <w:color w:val="000000"/>
          <w:sz w:val="24"/>
          <w:szCs w:val="24"/>
        </w:rPr>
      </w:pPr>
      <w:r w:rsidRPr="008A72E5">
        <w:rPr>
          <w:rFonts w:ascii="Arial" w:eastAsia="Arial" w:hAnsi="Arial" w:cs="Arial"/>
          <w:color w:val="000000"/>
          <w:sz w:val="24"/>
          <w:szCs w:val="24"/>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29E57F32" w14:textId="77777777" w:rsidR="00962C92" w:rsidRPr="008A72E5" w:rsidRDefault="00962C92" w:rsidP="00962C92">
      <w:pPr>
        <w:numPr>
          <w:ilvl w:val="1"/>
          <w:numId w:val="12"/>
        </w:numPr>
        <w:pBdr>
          <w:top w:val="nil"/>
          <w:left w:val="nil"/>
          <w:bottom w:val="nil"/>
          <w:right w:val="nil"/>
          <w:between w:val="nil"/>
        </w:pBdr>
        <w:overflowPunct w:val="0"/>
        <w:autoSpaceDE w:val="0"/>
        <w:autoSpaceDN w:val="0"/>
        <w:adjustRightInd w:val="0"/>
        <w:spacing w:before="120" w:after="120"/>
        <w:ind w:left="567" w:hanging="567"/>
        <w:textAlignment w:val="baseline"/>
        <w:rPr>
          <w:rFonts w:ascii="Arial" w:eastAsia="Arial" w:hAnsi="Arial" w:cs="Arial"/>
          <w:color w:val="000000"/>
          <w:sz w:val="24"/>
          <w:szCs w:val="24"/>
        </w:rPr>
      </w:pPr>
      <w:r w:rsidRPr="008A72E5">
        <w:rPr>
          <w:rFonts w:ascii="Arial" w:eastAsia="Arial" w:hAnsi="Arial" w:cs="Arial"/>
          <w:color w:val="000000"/>
          <w:sz w:val="24"/>
          <w:szCs w:val="24"/>
        </w:rPr>
        <w:t>ensure that the information is presented so as to provide a simple, effective and easily understood overview of the Supplier Group; and</w:t>
      </w:r>
    </w:p>
    <w:p w14:paraId="644D748F" w14:textId="77777777" w:rsidR="00962C92" w:rsidRPr="008A72E5" w:rsidRDefault="00962C92" w:rsidP="00962C92">
      <w:pPr>
        <w:numPr>
          <w:ilvl w:val="1"/>
          <w:numId w:val="12"/>
        </w:numPr>
        <w:pBdr>
          <w:top w:val="nil"/>
          <w:left w:val="nil"/>
          <w:bottom w:val="nil"/>
          <w:right w:val="nil"/>
          <w:between w:val="nil"/>
        </w:pBdr>
        <w:overflowPunct w:val="0"/>
        <w:autoSpaceDE w:val="0"/>
        <w:autoSpaceDN w:val="0"/>
        <w:adjustRightInd w:val="0"/>
        <w:spacing w:before="120" w:after="120"/>
        <w:ind w:left="567" w:hanging="567"/>
        <w:textAlignment w:val="baseline"/>
        <w:rPr>
          <w:rFonts w:ascii="Arial" w:eastAsia="Arial" w:hAnsi="Arial" w:cs="Arial"/>
          <w:color w:val="000000"/>
          <w:sz w:val="24"/>
          <w:szCs w:val="24"/>
        </w:rPr>
      </w:pPr>
      <w:r w:rsidRPr="008A72E5">
        <w:rPr>
          <w:rFonts w:ascii="Arial" w:eastAsia="Arial" w:hAnsi="Arial" w:cs="Arial"/>
          <w:color w:val="000000"/>
          <w:sz w:val="24"/>
          <w:szCs w:val="24"/>
        </w:rPr>
        <w:t>provide full details of the importance of each member of the Supplier Group to the Supplier Group’s UK Public Sector Business and CNI agreements listed pursuant to Annex 1 and the dependencies between each.</w:t>
      </w:r>
    </w:p>
    <w:p w14:paraId="0A7D7229" w14:textId="77777777" w:rsidR="00962C92" w:rsidRPr="008A72E5" w:rsidRDefault="00962C92" w:rsidP="00962C92">
      <w:pPr>
        <w:pBdr>
          <w:top w:val="nil"/>
          <w:left w:val="nil"/>
          <w:bottom w:val="nil"/>
          <w:right w:val="nil"/>
          <w:between w:val="nil"/>
        </w:pBdr>
        <w:spacing w:before="100"/>
        <w:ind w:left="720"/>
        <w:rPr>
          <w:rFonts w:ascii="Arial" w:eastAsia="Arial" w:hAnsi="Arial" w:cs="Arial"/>
          <w:color w:val="000000"/>
          <w:sz w:val="24"/>
          <w:szCs w:val="24"/>
        </w:rPr>
      </w:pPr>
      <w:r w:rsidRPr="008A72E5">
        <w:rPr>
          <w:rFonts w:ascii="Arial" w:hAnsi="Arial" w:cs="Arial"/>
          <w:sz w:val="24"/>
          <w:szCs w:val="24"/>
        </w:rPr>
        <w:br w:type="page"/>
      </w:r>
    </w:p>
    <w:p w14:paraId="09914B11" w14:textId="77777777" w:rsidR="00962C92" w:rsidRPr="008A72E5" w:rsidRDefault="00962C92" w:rsidP="00962C92">
      <w:pPr>
        <w:pBdr>
          <w:top w:val="nil"/>
          <w:left w:val="nil"/>
          <w:bottom w:val="nil"/>
          <w:right w:val="nil"/>
          <w:between w:val="nil"/>
        </w:pBdr>
        <w:spacing w:before="100" w:after="300"/>
        <w:jc w:val="center"/>
        <w:rPr>
          <w:rFonts w:ascii="Arial" w:eastAsia="Arial" w:hAnsi="Arial" w:cs="Arial"/>
          <w:b/>
          <w:smallCaps/>
          <w:color w:val="000000"/>
          <w:sz w:val="24"/>
          <w:szCs w:val="24"/>
        </w:rPr>
      </w:pPr>
      <w:r w:rsidRPr="008A72E5">
        <w:rPr>
          <w:rFonts w:ascii="Arial" w:eastAsia="Arial" w:hAnsi="Arial" w:cs="Arial"/>
          <w:b/>
          <w:smallCaps/>
          <w:color w:val="000000"/>
          <w:sz w:val="24"/>
          <w:szCs w:val="24"/>
        </w:rPr>
        <w:lastRenderedPageBreak/>
        <w:t>ANNEX 3: FINANCIAL INFORMATION AND COMMENTARY</w:t>
      </w:r>
    </w:p>
    <w:p w14:paraId="25F9792F" w14:textId="77777777" w:rsidR="00962C92" w:rsidRPr="008A72E5" w:rsidRDefault="00962C92" w:rsidP="00962C92">
      <w:pPr>
        <w:numPr>
          <w:ilvl w:val="0"/>
          <w:numId w:val="14"/>
        </w:numPr>
        <w:pBdr>
          <w:top w:val="nil"/>
          <w:left w:val="nil"/>
          <w:bottom w:val="nil"/>
          <w:right w:val="nil"/>
          <w:between w:val="nil"/>
        </w:pBdr>
        <w:overflowPunct w:val="0"/>
        <w:autoSpaceDE w:val="0"/>
        <w:autoSpaceDN w:val="0"/>
        <w:adjustRightInd w:val="0"/>
        <w:spacing w:before="120" w:after="120"/>
        <w:ind w:left="567" w:hanging="567"/>
        <w:textAlignment w:val="baseline"/>
        <w:rPr>
          <w:rFonts w:ascii="Arial" w:eastAsia="Arial" w:hAnsi="Arial" w:cs="Arial"/>
          <w:color w:val="000000"/>
          <w:sz w:val="24"/>
          <w:szCs w:val="24"/>
        </w:rPr>
      </w:pPr>
      <w:r w:rsidRPr="008A72E5">
        <w:rPr>
          <w:rFonts w:ascii="Arial" w:eastAsia="Arial" w:hAnsi="Arial" w:cs="Arial"/>
          <w:color w:val="000000"/>
          <w:sz w:val="24"/>
          <w:szCs w:val="24"/>
        </w:rPr>
        <w:t>The Supplier shall:</w:t>
      </w:r>
    </w:p>
    <w:p w14:paraId="6EAAC7C7" w14:textId="77777777" w:rsidR="00962C92" w:rsidRPr="008A72E5" w:rsidRDefault="00962C92" w:rsidP="00962C92">
      <w:pPr>
        <w:numPr>
          <w:ilvl w:val="1"/>
          <w:numId w:val="14"/>
        </w:numPr>
        <w:pBdr>
          <w:top w:val="nil"/>
          <w:left w:val="nil"/>
          <w:bottom w:val="nil"/>
          <w:right w:val="nil"/>
          <w:between w:val="nil"/>
        </w:pBdr>
        <w:overflowPunct w:val="0"/>
        <w:autoSpaceDE w:val="0"/>
        <w:autoSpaceDN w:val="0"/>
        <w:adjustRightInd w:val="0"/>
        <w:spacing w:before="120" w:after="120"/>
        <w:ind w:left="567" w:hanging="567"/>
        <w:textAlignment w:val="baseline"/>
        <w:rPr>
          <w:rFonts w:ascii="Arial" w:eastAsia="Arial" w:hAnsi="Arial" w:cs="Arial"/>
          <w:color w:val="000000"/>
          <w:sz w:val="24"/>
          <w:szCs w:val="24"/>
        </w:rPr>
      </w:pPr>
      <w:r w:rsidRPr="008A72E5">
        <w:rPr>
          <w:rFonts w:ascii="Arial" w:eastAsia="Arial" w:hAnsi="Arial" w:cs="Arial"/>
          <w:color w:val="000000"/>
          <w:sz w:val="24"/>
          <w:szCs w:val="24"/>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8BF16FA" w14:textId="77777777" w:rsidR="00962C92" w:rsidRPr="008A72E5" w:rsidRDefault="00962C92" w:rsidP="00962C92">
      <w:pPr>
        <w:numPr>
          <w:ilvl w:val="1"/>
          <w:numId w:val="14"/>
        </w:numPr>
        <w:pBdr>
          <w:top w:val="nil"/>
          <w:left w:val="nil"/>
          <w:bottom w:val="nil"/>
          <w:right w:val="nil"/>
          <w:between w:val="nil"/>
        </w:pBdr>
        <w:overflowPunct w:val="0"/>
        <w:autoSpaceDE w:val="0"/>
        <w:autoSpaceDN w:val="0"/>
        <w:adjustRightInd w:val="0"/>
        <w:spacing w:before="120" w:after="120"/>
        <w:ind w:left="567" w:hanging="567"/>
        <w:textAlignment w:val="baseline"/>
        <w:rPr>
          <w:rFonts w:ascii="Arial" w:eastAsia="Arial" w:hAnsi="Arial" w:cs="Arial"/>
          <w:color w:val="000000"/>
          <w:sz w:val="24"/>
          <w:szCs w:val="24"/>
        </w:rPr>
      </w:pPr>
      <w:r w:rsidRPr="008A72E5">
        <w:rPr>
          <w:rFonts w:ascii="Arial" w:eastAsia="Arial" w:hAnsi="Arial" w:cs="Arial"/>
          <w:color w:val="000000"/>
          <w:sz w:val="24"/>
          <w:szCs w:val="24"/>
        </w:rPr>
        <w:t>ensure that the information is presented in a simple, effective and easily understood manner.</w:t>
      </w:r>
    </w:p>
    <w:p w14:paraId="45E14E0F" w14:textId="77777777" w:rsidR="00962C92" w:rsidRPr="008A72E5" w:rsidRDefault="00962C92" w:rsidP="00962C92">
      <w:pPr>
        <w:numPr>
          <w:ilvl w:val="1"/>
          <w:numId w:val="14"/>
        </w:numPr>
        <w:pBdr>
          <w:top w:val="nil"/>
          <w:left w:val="nil"/>
          <w:bottom w:val="nil"/>
          <w:right w:val="nil"/>
          <w:between w:val="nil"/>
        </w:pBdr>
        <w:overflowPunct w:val="0"/>
        <w:autoSpaceDE w:val="0"/>
        <w:autoSpaceDN w:val="0"/>
        <w:adjustRightInd w:val="0"/>
        <w:spacing w:before="120" w:after="120"/>
        <w:ind w:left="567" w:hanging="567"/>
        <w:textAlignment w:val="baseline"/>
        <w:rPr>
          <w:rFonts w:ascii="Arial" w:eastAsia="Arial" w:hAnsi="Arial" w:cs="Arial"/>
          <w:color w:val="000000"/>
          <w:sz w:val="24"/>
          <w:szCs w:val="24"/>
        </w:rPr>
      </w:pPr>
      <w:r w:rsidRPr="008A72E5">
        <w:rPr>
          <w:rFonts w:ascii="Arial" w:eastAsia="Arial" w:hAnsi="Arial" w:cs="Arial"/>
          <w:color w:val="000000"/>
          <w:sz w:val="24"/>
          <w:szCs w:val="24"/>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6F7C7C19" w14:textId="77777777" w:rsidR="00962C92" w:rsidRPr="008A72E5" w:rsidRDefault="00962C92" w:rsidP="00962C92">
      <w:pPr>
        <w:ind w:firstLine="1418"/>
        <w:rPr>
          <w:rFonts w:ascii="Arial" w:hAnsi="Arial" w:cs="Arial"/>
          <w:color w:val="000000"/>
          <w:sz w:val="24"/>
          <w:szCs w:val="24"/>
        </w:rPr>
      </w:pPr>
      <w:r w:rsidRPr="008A72E5">
        <w:rPr>
          <w:rFonts w:ascii="Arial" w:hAnsi="Arial" w:cs="Arial"/>
          <w:sz w:val="24"/>
          <w:szCs w:val="24"/>
        </w:rPr>
        <w:t xml:space="preserve">     </w:t>
      </w:r>
    </w:p>
    <w:p w14:paraId="15B1C571" w14:textId="77777777" w:rsidR="00962C92" w:rsidRPr="008A72E5" w:rsidRDefault="00962C92" w:rsidP="00962C92">
      <w:pPr>
        <w:rPr>
          <w:rFonts w:ascii="Arial" w:hAnsi="Arial" w:cs="Arial"/>
          <w:color w:val="000000"/>
          <w:sz w:val="24"/>
          <w:szCs w:val="24"/>
        </w:rPr>
      </w:pPr>
    </w:p>
    <w:bookmarkEnd w:id="0"/>
    <w:p w14:paraId="3D710CA6" w14:textId="77777777" w:rsidR="00705B94" w:rsidRPr="008A72E5" w:rsidRDefault="00705B94" w:rsidP="00962C92">
      <w:pPr>
        <w:rPr>
          <w:rFonts w:ascii="Arial" w:hAnsi="Arial" w:cs="Arial"/>
          <w:sz w:val="24"/>
          <w:szCs w:val="24"/>
        </w:rPr>
      </w:pPr>
    </w:p>
    <w:sectPr w:rsidR="00705B94" w:rsidRPr="008A72E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029C" w14:textId="77777777" w:rsidR="00372422" w:rsidRDefault="00372422">
      <w:pPr>
        <w:spacing w:after="0" w:line="240" w:lineRule="auto"/>
      </w:pPr>
      <w:r>
        <w:separator/>
      </w:r>
    </w:p>
  </w:endnote>
  <w:endnote w:type="continuationSeparator" w:id="0">
    <w:p w14:paraId="51FBC461" w14:textId="77777777" w:rsidR="00372422" w:rsidRDefault="0037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AD35" w14:textId="77777777" w:rsidR="00705B94" w:rsidRDefault="00705B94">
    <w:pPr>
      <w:tabs>
        <w:tab w:val="center" w:pos="4513"/>
        <w:tab w:val="right" w:pos="9026"/>
      </w:tabs>
      <w:spacing w:after="0" w:line="240" w:lineRule="auto"/>
    </w:pPr>
  </w:p>
  <w:p w14:paraId="5F5EB9F8" w14:textId="25F5B922" w:rsidR="00705B94" w:rsidRDefault="00181F0F">
    <w:pPr>
      <w:tabs>
        <w:tab w:val="center" w:pos="4513"/>
        <w:tab w:val="right" w:pos="9026"/>
      </w:tabs>
      <w:spacing w:after="0" w:line="240" w:lineRule="auto"/>
    </w:pPr>
    <w:r>
      <w:t>78555715.778555715.778555715.778555715.7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E3CB" w14:textId="3ED6B061" w:rsidR="00705B94" w:rsidRDefault="00352A25">
    <w:pPr>
      <w:tabs>
        <w:tab w:val="center" w:pos="4513"/>
        <w:tab w:val="right" w:pos="9026"/>
      </w:tabs>
      <w:spacing w:after="0"/>
      <w:rPr>
        <w:rFonts w:ascii="Arial" w:eastAsia="Arial" w:hAnsi="Arial" w:cs="Arial"/>
        <w:sz w:val="20"/>
        <w:szCs w:val="20"/>
      </w:rPr>
    </w:pPr>
    <w:bookmarkStart w:id="7" w:name="_heading=h.1fob9te" w:colFirst="0" w:colLast="0"/>
    <w:bookmarkEnd w:id="7"/>
    <w:r>
      <w:rPr>
        <w:rFonts w:ascii="Arial" w:eastAsia="Arial" w:hAnsi="Arial" w:cs="Arial"/>
        <w:sz w:val="20"/>
        <w:szCs w:val="20"/>
      </w:rPr>
      <w:t>Framework Ref: RM</w:t>
    </w:r>
    <w:r w:rsidR="001050FF">
      <w:rPr>
        <w:rFonts w:ascii="Arial" w:eastAsia="Arial" w:hAnsi="Arial" w:cs="Arial"/>
        <w:sz w:val="20"/>
        <w:szCs w:val="20"/>
      </w:rPr>
      <w:t>6279</w:t>
    </w:r>
    <w:r>
      <w:rPr>
        <w:rFonts w:ascii="Arial" w:eastAsia="Arial" w:hAnsi="Arial" w:cs="Arial"/>
        <w:sz w:val="20"/>
        <w:szCs w:val="20"/>
      </w:rPr>
      <w:tab/>
      <w:t xml:space="preserve">                                           </w:t>
    </w:r>
  </w:p>
  <w:p w14:paraId="460CAB47" w14:textId="004C60CD" w:rsidR="00705B94" w:rsidRDefault="00352A25">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 xml:space="preserve">Project Version: </w:t>
    </w:r>
    <w:r w:rsidR="001050FF">
      <w:rPr>
        <w:rFonts w:ascii="Arial" w:eastAsia="Arial" w:hAnsi="Arial" w:cs="Arial"/>
        <w:sz w:val="20"/>
        <w:szCs w:val="20"/>
      </w:rPr>
      <w:t>v</w:t>
    </w:r>
    <w:r w:rsidR="00A56744">
      <w:rPr>
        <w:rFonts w:ascii="Arial" w:eastAsia="Arial" w:hAnsi="Arial" w:cs="Arial"/>
        <w:sz w:val="20"/>
        <w:szCs w:val="20"/>
      </w:rPr>
      <w:t>2</w:t>
    </w:r>
    <w:r>
      <w:rPr>
        <w:rFonts w:ascii="Arial" w:eastAsia="Arial" w:hAnsi="Arial" w:cs="Arial"/>
        <w:sz w:val="20"/>
        <w:szCs w:val="20"/>
      </w:rPr>
      <w:t>.0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962C92">
      <w:rPr>
        <w:rFonts w:ascii="Arial" w:eastAsia="Arial" w:hAnsi="Arial" w:cs="Arial"/>
        <w:noProof/>
        <w:sz w:val="20"/>
        <w:szCs w:val="20"/>
      </w:rPr>
      <w:t>1</w:t>
    </w:r>
    <w:r>
      <w:rPr>
        <w:rFonts w:ascii="Arial" w:eastAsia="Arial" w:hAnsi="Arial" w:cs="Arial"/>
        <w:sz w:val="20"/>
        <w:szCs w:val="20"/>
      </w:rPr>
      <w:fldChar w:fldCharType="end"/>
    </w:r>
  </w:p>
  <w:p w14:paraId="5D6FCFE7" w14:textId="7181696E" w:rsidR="00705B94" w:rsidRDefault="00352A25">
    <w:pPr>
      <w:spacing w:after="0"/>
    </w:pPr>
    <w:r>
      <w:rPr>
        <w:rFonts w:ascii="Arial" w:eastAsia="Arial" w:hAnsi="Arial" w:cs="Arial"/>
        <w:sz w:val="20"/>
        <w:szCs w:val="20"/>
      </w:rPr>
      <w:t xml:space="preserve">Model Version: </w:t>
    </w:r>
    <w:r w:rsidR="001050FF">
      <w:rPr>
        <w:rFonts w:ascii="Arial" w:eastAsia="Arial" w:hAnsi="Arial" w:cs="Arial"/>
        <w:sz w:val="20"/>
        <w:szCs w:val="20"/>
      </w:rPr>
      <w:t>v1</w:t>
    </w:r>
    <w:r>
      <w:rPr>
        <w:rFonts w:ascii="Arial" w:eastAsia="Arial" w:hAnsi="Arial" w:cs="Arial"/>
        <w:sz w:val="20"/>
        <w:szCs w:val="20"/>
      </w:rPr>
      <w:t>.</w:t>
    </w:r>
    <w:r w:rsidR="001050FF">
      <w:rPr>
        <w:rFonts w:ascii="Arial" w:eastAsia="Arial" w:hAnsi="Arial" w:cs="Arial"/>
        <w:sz w:val="20"/>
        <w:szCs w:val="20"/>
      </w:rPr>
      <w:t>0</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8" w:name="bookmark=id.3znysh7" w:colFirst="0" w:colLast="0"/>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9537" w14:textId="77777777" w:rsidR="00705B94" w:rsidRDefault="00705B94">
    <w:pPr>
      <w:tabs>
        <w:tab w:val="center" w:pos="4513"/>
        <w:tab w:val="right" w:pos="9026"/>
      </w:tabs>
      <w:spacing w:after="0"/>
      <w:rPr>
        <w:color w:val="BFBFBF"/>
      </w:rPr>
    </w:pPr>
  </w:p>
  <w:p w14:paraId="0A4B1947" w14:textId="77777777" w:rsidR="00705B94" w:rsidRDefault="00352A25">
    <w:pPr>
      <w:tabs>
        <w:tab w:val="center" w:pos="4513"/>
        <w:tab w:val="right" w:pos="9026"/>
      </w:tabs>
      <w:spacing w:after="0"/>
      <w:rPr>
        <w:color w:val="BFBFBF"/>
      </w:rPr>
    </w:pPr>
    <w:r>
      <w:rPr>
        <w:color w:val="BFBFBF"/>
      </w:rPr>
      <w:t>Framework Ref: RM</w:t>
    </w:r>
    <w:r>
      <w:rPr>
        <w:color w:val="BFBFBF"/>
      </w:rPr>
      <w:tab/>
      <w:t xml:space="preserve">                                           </w:t>
    </w:r>
  </w:p>
  <w:p w14:paraId="7E157867" w14:textId="77777777" w:rsidR="00705B94" w:rsidRDefault="00352A25">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sidR="00962C92">
      <w:rPr>
        <w:noProof/>
        <w:color w:val="BFBFBF"/>
      </w:rPr>
      <w:t>1</w:t>
    </w:r>
    <w:r>
      <w:rPr>
        <w:color w:val="BFBFBF"/>
      </w:rPr>
      <w:fldChar w:fldCharType="end"/>
    </w:r>
  </w:p>
  <w:p w14:paraId="18B90FCA" w14:textId="77777777" w:rsidR="00705B94" w:rsidRDefault="00352A25">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p w14:paraId="0E9F8257" w14:textId="6FCB34B5" w:rsidR="00705B94" w:rsidRDefault="00181F0F">
    <w:pPr>
      <w:spacing w:after="0"/>
    </w:pPr>
    <w:r>
      <w:t>78555715.778555715.778555715.778555715.7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CD95" w14:textId="77777777" w:rsidR="00372422" w:rsidRDefault="00372422">
      <w:pPr>
        <w:spacing w:after="0" w:line="240" w:lineRule="auto"/>
      </w:pPr>
      <w:r>
        <w:separator/>
      </w:r>
    </w:p>
  </w:footnote>
  <w:footnote w:type="continuationSeparator" w:id="0">
    <w:p w14:paraId="138049E2" w14:textId="77777777" w:rsidR="00372422" w:rsidRDefault="00372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A5DC" w14:textId="77777777" w:rsidR="00705B94" w:rsidRDefault="00705B94">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4DA0" w14:textId="4C29F3C1" w:rsidR="00705B94" w:rsidRDefault="00352A25">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Framework Schedule 8 (</w:t>
    </w:r>
    <w:r w:rsidR="001050FF" w:rsidRPr="001050FF">
      <w:rPr>
        <w:rFonts w:ascii="Arial" w:eastAsia="Arial" w:hAnsi="Arial" w:cs="Arial"/>
        <w:b/>
        <w:sz w:val="20"/>
        <w:szCs w:val="20"/>
      </w:rPr>
      <w:t>Corporate Resolution Planning</w:t>
    </w:r>
    <w:r>
      <w:rPr>
        <w:rFonts w:ascii="Arial" w:eastAsia="Arial" w:hAnsi="Arial" w:cs="Arial"/>
        <w:b/>
        <w:sz w:val="20"/>
        <w:szCs w:val="20"/>
      </w:rPr>
      <w:t>)</w:t>
    </w:r>
  </w:p>
  <w:p w14:paraId="2E98A5A1" w14:textId="77777777" w:rsidR="00705B94" w:rsidRDefault="00352A25">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08A9" w14:textId="77777777" w:rsidR="00705B94" w:rsidRDefault="00705B94">
    <w:pPr>
      <w:tabs>
        <w:tab w:val="center" w:pos="4513"/>
        <w:tab w:val="right" w:pos="9026"/>
      </w:tabs>
      <w:spacing w:after="0" w:line="240" w:lineRule="auto"/>
    </w:pPr>
  </w:p>
  <w:p w14:paraId="5DDF2844" w14:textId="77777777" w:rsidR="00705B94" w:rsidRDefault="00705B94">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C157E"/>
    <w:multiLevelType w:val="multilevel"/>
    <w:tmpl w:val="7AF22AD6"/>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A7A7319"/>
    <w:multiLevelType w:val="multilevel"/>
    <w:tmpl w:val="BC605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725C1A"/>
    <w:multiLevelType w:val="multilevel"/>
    <w:tmpl w:val="4FA838E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4C1316D"/>
    <w:multiLevelType w:val="multilevel"/>
    <w:tmpl w:val="BD68D8DC"/>
    <w:lvl w:ilvl="0">
      <w:start w:val="1"/>
      <w:numFmt w:val="decimal"/>
      <w:lvlText w:val="%1"/>
      <w:lvlJc w:val="left"/>
      <w:pPr>
        <w:ind w:left="720" w:hanging="720"/>
      </w:pPr>
      <w:rPr>
        <w:b w:val="0"/>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259164E6"/>
    <w:multiLevelType w:val="multilevel"/>
    <w:tmpl w:val="411E9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91122D"/>
    <w:multiLevelType w:val="multilevel"/>
    <w:tmpl w:val="F8F0AD8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6" w15:restartNumberingAfterBreak="0">
    <w:nsid w:val="37D2363B"/>
    <w:multiLevelType w:val="multilevel"/>
    <w:tmpl w:val="53AC3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E17EC7"/>
    <w:multiLevelType w:val="multilevel"/>
    <w:tmpl w:val="D7B019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52A24BD"/>
    <w:multiLevelType w:val="multilevel"/>
    <w:tmpl w:val="5D2AB2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DE21546"/>
    <w:multiLevelType w:val="multilevel"/>
    <w:tmpl w:val="C28AA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4F3FA5"/>
    <w:multiLevelType w:val="multilevel"/>
    <w:tmpl w:val="DF22D7DC"/>
    <w:lvl w:ilvl="0">
      <w:start w:val="1"/>
      <w:numFmt w:val="decimal"/>
      <w:pStyle w:val="GPSL1CLAUSEHEADING"/>
      <w:lvlText w:val="%1"/>
      <w:lvlJc w:val="left"/>
      <w:pPr>
        <w:ind w:left="720" w:hanging="720"/>
      </w:pPr>
      <w:rPr>
        <w:b w:val="0"/>
      </w:rPr>
    </w:lvl>
    <w:lvl w:ilvl="1">
      <w:start w:val="1"/>
      <w:numFmt w:val="decimal"/>
      <w:pStyle w:val="GPSL2numberedclause"/>
      <w:lvlText w:val="%1.%2"/>
      <w:lvlJc w:val="left"/>
      <w:pPr>
        <w:ind w:left="720" w:hanging="720"/>
      </w:pPr>
    </w:lvl>
    <w:lvl w:ilvl="2">
      <w:start w:val="1"/>
      <w:numFmt w:val="decimal"/>
      <w:pStyle w:val="GPSL3numberedclause"/>
      <w:lvlText w:val="%1.%2.%3"/>
      <w:lvlJc w:val="left"/>
      <w:pPr>
        <w:ind w:left="1803" w:hanging="1083"/>
      </w:pPr>
    </w:lvl>
    <w:lvl w:ilvl="3">
      <w:start w:val="1"/>
      <w:numFmt w:val="lowerLetter"/>
      <w:pStyle w:val="GPSL4numberedclause"/>
      <w:lvlText w:val="(%4)"/>
      <w:lvlJc w:val="left"/>
      <w:pPr>
        <w:ind w:left="1803" w:hanging="1083"/>
      </w:pPr>
    </w:lvl>
    <w:lvl w:ilvl="4">
      <w:start w:val="1"/>
      <w:numFmt w:val="lowerRoman"/>
      <w:pStyle w:val="GPSL5numberedclause"/>
      <w:lvlText w:val="(%5)"/>
      <w:lvlJc w:val="left"/>
      <w:pPr>
        <w:ind w:left="2523" w:hanging="720"/>
      </w:pPr>
    </w:lvl>
    <w:lvl w:ilvl="5">
      <w:start w:val="1"/>
      <w:numFmt w:val="upperLetter"/>
      <w:pStyle w:val="GPSL6numbered"/>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1" w15:restartNumberingAfterBreak="0">
    <w:nsid w:val="540B7AC6"/>
    <w:multiLevelType w:val="multilevel"/>
    <w:tmpl w:val="8012AD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4D5252D"/>
    <w:multiLevelType w:val="multilevel"/>
    <w:tmpl w:val="C5E45FCE"/>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 w15:restartNumberingAfterBreak="0">
    <w:nsid w:val="5B2D0788"/>
    <w:multiLevelType w:val="multilevel"/>
    <w:tmpl w:val="269A2CF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1B94FDD"/>
    <w:multiLevelType w:val="multilevel"/>
    <w:tmpl w:val="18888AE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67863F5D"/>
    <w:multiLevelType w:val="multilevel"/>
    <w:tmpl w:val="C5E45FCE"/>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6" w15:restartNumberingAfterBreak="0">
    <w:nsid w:val="75D115FC"/>
    <w:multiLevelType w:val="multilevel"/>
    <w:tmpl w:val="8E6434A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EC1D80"/>
    <w:multiLevelType w:val="multilevel"/>
    <w:tmpl w:val="C5E45FCE"/>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8" w15:restartNumberingAfterBreak="0">
    <w:nsid w:val="7F1D4042"/>
    <w:multiLevelType w:val="multilevel"/>
    <w:tmpl w:val="C5E45FCE"/>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1"/>
  </w:num>
  <w:num w:numId="2">
    <w:abstractNumId w:val="4"/>
  </w:num>
  <w:num w:numId="3">
    <w:abstractNumId w:val="6"/>
  </w:num>
  <w:num w:numId="4">
    <w:abstractNumId w:val="8"/>
  </w:num>
  <w:num w:numId="5">
    <w:abstractNumId w:val="11"/>
  </w:num>
  <w:num w:numId="6">
    <w:abstractNumId w:val="7"/>
  </w:num>
  <w:num w:numId="7">
    <w:abstractNumId w:val="14"/>
  </w:num>
  <w:num w:numId="8">
    <w:abstractNumId w:val="13"/>
  </w:num>
  <w:num w:numId="9">
    <w:abstractNumId w:val="9"/>
  </w:num>
  <w:num w:numId="10">
    <w:abstractNumId w:val="2"/>
  </w:num>
  <w:num w:numId="11">
    <w:abstractNumId w:val="0"/>
  </w:num>
  <w:num w:numId="12">
    <w:abstractNumId w:val="3"/>
  </w:num>
  <w:num w:numId="13">
    <w:abstractNumId w:val="5"/>
  </w:num>
  <w:num w:numId="14">
    <w:abstractNumId w:val="10"/>
  </w:num>
  <w:num w:numId="15">
    <w:abstractNumId w:val="17"/>
  </w:num>
  <w:num w:numId="16">
    <w:abstractNumId w:val="16"/>
  </w:num>
  <w:num w:numId="17">
    <w:abstractNumId w:val="12"/>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94"/>
    <w:rsid w:val="001050FF"/>
    <w:rsid w:val="00181F0F"/>
    <w:rsid w:val="00260DA1"/>
    <w:rsid w:val="003177D1"/>
    <w:rsid w:val="00352A25"/>
    <w:rsid w:val="00372422"/>
    <w:rsid w:val="004B43C9"/>
    <w:rsid w:val="004E22F3"/>
    <w:rsid w:val="0050532D"/>
    <w:rsid w:val="00664CBA"/>
    <w:rsid w:val="00705B94"/>
    <w:rsid w:val="007719A2"/>
    <w:rsid w:val="00814CCC"/>
    <w:rsid w:val="008A72E5"/>
    <w:rsid w:val="00904262"/>
    <w:rsid w:val="00962C92"/>
    <w:rsid w:val="00A56744"/>
    <w:rsid w:val="00B06179"/>
    <w:rsid w:val="00C30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4403"/>
  <w15:docId w15:val="{B7A81533-A88F-434B-AF05-1AA6044C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table" w:customStyle="1" w:styleId="a">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character" w:styleId="CommentReference">
    <w:name w:val="annotation reference"/>
    <w:basedOn w:val="DefaultParagraphFont"/>
    <w:uiPriority w:val="99"/>
    <w:semiHidden/>
    <w:unhideWhenUsed/>
    <w:rsid w:val="002C0B56"/>
    <w:rPr>
      <w:sz w:val="16"/>
      <w:szCs w:val="16"/>
    </w:rPr>
  </w:style>
  <w:style w:type="paragraph" w:styleId="CommentText">
    <w:name w:val="annotation text"/>
    <w:basedOn w:val="Normal"/>
    <w:link w:val="CommentTextChar"/>
    <w:uiPriority w:val="99"/>
    <w:semiHidden/>
    <w:unhideWhenUsed/>
    <w:rsid w:val="002C0B56"/>
    <w:pPr>
      <w:spacing w:line="240" w:lineRule="auto"/>
    </w:pPr>
    <w:rPr>
      <w:sz w:val="20"/>
      <w:szCs w:val="20"/>
    </w:rPr>
  </w:style>
  <w:style w:type="character" w:customStyle="1" w:styleId="CommentTextChar">
    <w:name w:val="Comment Text Char"/>
    <w:basedOn w:val="DefaultParagraphFont"/>
    <w:link w:val="CommentText"/>
    <w:uiPriority w:val="99"/>
    <w:semiHidden/>
    <w:rsid w:val="002C0B56"/>
    <w:rPr>
      <w:sz w:val="20"/>
      <w:szCs w:val="20"/>
    </w:rPr>
  </w:style>
  <w:style w:type="paragraph" w:styleId="CommentSubject">
    <w:name w:val="annotation subject"/>
    <w:basedOn w:val="CommentText"/>
    <w:next w:val="CommentText"/>
    <w:link w:val="CommentSubjectChar"/>
    <w:uiPriority w:val="99"/>
    <w:semiHidden/>
    <w:unhideWhenUsed/>
    <w:rsid w:val="002C0B56"/>
    <w:rPr>
      <w:b/>
      <w:bCs/>
    </w:rPr>
  </w:style>
  <w:style w:type="character" w:customStyle="1" w:styleId="CommentSubjectChar">
    <w:name w:val="Comment Subject Char"/>
    <w:basedOn w:val="CommentTextChar"/>
    <w:link w:val="CommentSubject"/>
    <w:uiPriority w:val="99"/>
    <w:semiHidden/>
    <w:rsid w:val="002C0B56"/>
    <w:rPr>
      <w:b/>
      <w:bCs/>
      <w:sz w:val="20"/>
      <w:szCs w:val="20"/>
    </w:rPr>
  </w:style>
  <w:style w:type="character" w:styleId="UnresolvedMention">
    <w:name w:val="Unresolved Mention"/>
    <w:basedOn w:val="DefaultParagraphFont"/>
    <w:uiPriority w:val="99"/>
    <w:semiHidden/>
    <w:unhideWhenUsed/>
    <w:rsid w:val="00C90C21"/>
    <w:rPr>
      <w:color w:val="605E5C"/>
      <w:shd w:val="clear" w:color="auto" w:fill="E1DFDD"/>
    </w:rPr>
  </w:style>
  <w:style w:type="paragraph" w:customStyle="1" w:styleId="GPsDefinition">
    <w:name w:val="GPs Definition"/>
    <w:basedOn w:val="Normal"/>
    <w:qFormat/>
    <w:rsid w:val="002D7A77"/>
    <w:pPr>
      <w:numPr>
        <w:numId w:val="10"/>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rsid w:val="002D7A77"/>
    <w:pPr>
      <w:numPr>
        <w:ilvl w:val="1"/>
      </w:numPr>
      <w:tabs>
        <w:tab w:val="clear" w:pos="-9"/>
        <w:tab w:val="left" w:pos="144"/>
      </w:tabs>
      <w:ind w:hanging="545"/>
    </w:pPr>
  </w:style>
  <w:style w:type="paragraph" w:customStyle="1" w:styleId="GPSDefinitionL3">
    <w:name w:val="GPS Definition L3"/>
    <w:basedOn w:val="GPSDefinitionL2"/>
    <w:qFormat/>
    <w:rsid w:val="002D7A77"/>
    <w:pPr>
      <w:numPr>
        <w:ilvl w:val="2"/>
      </w:numPr>
      <w:tabs>
        <w:tab w:val="num" w:pos="360"/>
      </w:tabs>
    </w:pPr>
  </w:style>
  <w:style w:type="paragraph" w:customStyle="1" w:styleId="GPSDefinitionL4">
    <w:name w:val="GPS Definition L4"/>
    <w:basedOn w:val="GPSDefinitionL3"/>
    <w:qFormat/>
    <w:rsid w:val="002D7A77"/>
    <w:pPr>
      <w:numPr>
        <w:ilvl w:val="3"/>
      </w:numPr>
      <w:tabs>
        <w:tab w:val="num" w:pos="360"/>
        <w:tab w:val="num" w:pos="2160"/>
      </w:tabs>
    </w:pPr>
  </w:style>
  <w:style w:type="paragraph" w:styleId="Revision">
    <w:name w:val="Revision"/>
    <w:hidden/>
    <w:uiPriority w:val="99"/>
    <w:semiHidden/>
    <w:rsid w:val="000A635A"/>
    <w:pPr>
      <w:spacing w:after="0" w:line="240" w:lineRule="auto"/>
    </w:pPr>
  </w:style>
  <w:style w:type="table" w:customStyle="1" w:styleId="a2">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paragraph" w:customStyle="1" w:styleId="GPSL1CLAUSEHEADING">
    <w:name w:val="GPS L1 CLAUSE HEADING"/>
    <w:basedOn w:val="Normal"/>
    <w:next w:val="Normal"/>
    <w:qFormat/>
    <w:rsid w:val="00962C92"/>
    <w:pPr>
      <w:numPr>
        <w:numId w:val="1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rsid w:val="00962C92"/>
    <w:pPr>
      <w:numPr>
        <w:ilvl w:val="1"/>
        <w:numId w:val="14"/>
      </w:numPr>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qFormat/>
    <w:rsid w:val="00962C92"/>
    <w:pPr>
      <w:numPr>
        <w:ilvl w:val="2"/>
      </w:numPr>
      <w:tabs>
        <w:tab w:val="left" w:pos="1985"/>
        <w:tab w:val="left" w:pos="2127"/>
      </w:tabs>
    </w:pPr>
  </w:style>
  <w:style w:type="paragraph" w:customStyle="1" w:styleId="GPSL4numberedclause">
    <w:name w:val="GPS L4 numbered clause"/>
    <w:basedOn w:val="GPSL3numberedclause"/>
    <w:qFormat/>
    <w:rsid w:val="00962C92"/>
    <w:pPr>
      <w:numPr>
        <w:ilvl w:val="3"/>
      </w:numPr>
      <w:tabs>
        <w:tab w:val="clear" w:pos="1985"/>
        <w:tab w:val="clear" w:pos="2127"/>
      </w:tabs>
    </w:pPr>
    <w:rPr>
      <w:szCs w:val="20"/>
    </w:rPr>
  </w:style>
  <w:style w:type="paragraph" w:customStyle="1" w:styleId="GPSL5numberedclause">
    <w:name w:val="GPS L5 numbered clause"/>
    <w:basedOn w:val="GPSL4numberedclause"/>
    <w:qFormat/>
    <w:rsid w:val="00962C92"/>
    <w:pPr>
      <w:numPr>
        <w:ilvl w:val="4"/>
      </w:numPr>
      <w:tabs>
        <w:tab w:val="num" w:pos="360"/>
        <w:tab w:val="left" w:pos="3402"/>
      </w:tabs>
    </w:pPr>
  </w:style>
  <w:style w:type="paragraph" w:customStyle="1" w:styleId="GPSL6numbered">
    <w:name w:val="GPS L6 numbered"/>
    <w:basedOn w:val="GPSL5numberedclause"/>
    <w:qFormat/>
    <w:rsid w:val="00962C92"/>
    <w:pPr>
      <w:numPr>
        <w:ilvl w:val="5"/>
      </w:numPr>
      <w:tabs>
        <w:tab w:val="num" w:pos="360"/>
        <w:tab w:val="left" w:pos="4253"/>
      </w:tabs>
    </w:pPr>
  </w:style>
  <w:style w:type="paragraph" w:styleId="ListParagraph">
    <w:name w:val="List Paragraph"/>
    <w:basedOn w:val="Normal"/>
    <w:uiPriority w:val="34"/>
    <w:qFormat/>
    <w:rsid w:val="00962C92"/>
    <w:pPr>
      <w:overflowPunct w:val="0"/>
      <w:autoSpaceDE w:val="0"/>
      <w:autoSpaceDN w:val="0"/>
      <w:adjustRightInd w:val="0"/>
      <w:spacing w:after="240" w:line="240" w:lineRule="auto"/>
      <w:ind w:left="720"/>
      <w:contextualSpacing/>
      <w:jc w:val="both"/>
      <w:textAlignment w:val="baseline"/>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solution.planning@cabinetoffice.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the-sourcing-and-consultancy-playbook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Nrp2dvLuHGftMpUyM5jQ9BXXjQ==">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Hywel Delong-Thomas</cp:lastModifiedBy>
  <cp:revision>3</cp:revision>
  <dcterms:created xsi:type="dcterms:W3CDTF">2025-12-09T12:55:00Z</dcterms:created>
  <dcterms:modified xsi:type="dcterms:W3CDTF">2025-12-09T12:55:00Z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78555715.7</vt:lpwstr>
  </property>
</Properties>
</file>