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1DDA" w:rsidRDefault="0011104F">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bookmark=id.gjdgxs" w:colFirst="0" w:colLast="0"/>
      <w:bookmarkEnd w:id="0"/>
      <w:r>
        <w:rPr>
          <w:rFonts w:ascii="Arial" w:eastAsia="Arial" w:hAnsi="Arial" w:cs="Arial"/>
          <w:b/>
          <w:color w:val="000000"/>
          <w:sz w:val="36"/>
          <w:szCs w:val="36"/>
        </w:rPr>
        <w:t xml:space="preserve">) </w:t>
      </w:r>
    </w:p>
    <w:p w14:paraId="00000002" w14:textId="77777777" w:rsidR="00661DDA" w:rsidRDefault="00661DDA">
      <w:pPr>
        <w:widowControl/>
        <w:pBdr>
          <w:top w:val="nil"/>
          <w:left w:val="nil"/>
          <w:bottom w:val="nil"/>
          <w:right w:val="nil"/>
          <w:between w:val="nil"/>
        </w:pBdr>
        <w:spacing w:before="240" w:after="120"/>
        <w:rPr>
          <w:rFonts w:ascii="Arial" w:eastAsia="Arial" w:hAnsi="Arial" w:cs="Arial"/>
          <w:b/>
          <w:color w:val="000000"/>
          <w:sz w:val="36"/>
          <w:szCs w:val="36"/>
        </w:rPr>
      </w:pPr>
      <w:bookmarkStart w:id="1" w:name="_heading=h.26in1rg" w:colFirst="0" w:colLast="0"/>
      <w:bookmarkEnd w:id="1"/>
    </w:p>
    <w:p w14:paraId="00000003" w14:textId="77777777" w:rsidR="00661DDA" w:rsidRDefault="0011104F">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14:paraId="00000004" w14:textId="77777777" w:rsidR="00661DDA" w:rsidRDefault="0011104F">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14:paraId="00000005" w14:textId="77777777" w:rsidR="00661DDA" w:rsidRDefault="0011104F">
      <w:pPr>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 xml:space="preserve">If a potential Buyer decides to source Deliverables through this Framework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then it will award its Deliverables in accordance with the procedure in this Schedule and the requirements of the Regulations.</w:t>
      </w:r>
    </w:p>
    <w:p w14:paraId="00000006" w14:textId="77777777"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2" w:name="_heading=h.lnxbz9" w:colFirst="0" w:colLast="0"/>
      <w:bookmarkEnd w:id="2"/>
      <w:r>
        <w:rPr>
          <w:rFonts w:ascii="Arial" w:eastAsia="Arial" w:hAnsi="Arial" w:cs="Arial"/>
          <w:color w:val="000000"/>
          <w:sz w:val="24"/>
          <w:szCs w:val="24"/>
        </w:rPr>
        <w:t>If the potential Buyer can determine that:</w:t>
      </w:r>
    </w:p>
    <w:p w14:paraId="00000007" w14:textId="77777777" w:rsidR="00661DDA" w:rsidRDefault="0011104F">
      <w:pPr>
        <w:widowControl/>
        <w:numPr>
          <w:ilvl w:val="2"/>
          <w:numId w:val="1"/>
        </w:numPr>
        <w:pBdr>
          <w:top w:val="nil"/>
          <w:left w:val="nil"/>
          <w:bottom w:val="nil"/>
          <w:right w:val="nil"/>
          <w:between w:val="nil"/>
        </w:pBdr>
        <w:tabs>
          <w:tab w:val="left" w:pos="3641"/>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14:paraId="00000008" w14:textId="77777777" w:rsidR="00661DDA" w:rsidRDefault="0011104F">
      <w:pPr>
        <w:widowControl/>
        <w:numPr>
          <w:ilvl w:val="2"/>
          <w:numId w:val="1"/>
        </w:numPr>
        <w:pBdr>
          <w:top w:val="nil"/>
          <w:left w:val="nil"/>
          <w:bottom w:val="nil"/>
          <w:right w:val="nil"/>
          <w:between w:val="nil"/>
        </w:pBdr>
        <w:tabs>
          <w:tab w:val="left" w:pos="3641"/>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the Call-Off Contract and this Framework Contract and do not require amendment or any supplementary terms and conditions;</w:t>
      </w:r>
    </w:p>
    <w:p w14:paraId="00000009" w14:textId="77777777" w:rsidR="00661DDA" w:rsidRDefault="0011104F">
      <w:pPr>
        <w:widowControl/>
        <w:pBdr>
          <w:top w:val="nil"/>
          <w:left w:val="nil"/>
          <w:bottom w:val="nil"/>
          <w:right w:val="nil"/>
          <w:between w:val="nil"/>
        </w:pBdr>
        <w:tabs>
          <w:tab w:val="left" w:pos="4536"/>
        </w:tabs>
        <w:spacing w:after="220"/>
        <w:ind w:left="936"/>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14:paraId="0000000A" w14:textId="77777777" w:rsidR="00661DDA" w:rsidRDefault="0011104F">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the award of a Call-Off Contract works</w:t>
      </w:r>
    </w:p>
    <w:p w14:paraId="0000000B" w14:textId="772D9634"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 xml:space="preserve">Subject to Paragraph </w:t>
      </w:r>
      <w:sdt>
        <w:sdtPr>
          <w:tag w:val="goog_rdk_0"/>
          <w:id w:val="-1374233450"/>
        </w:sdtPr>
        <w:sdtEndPr/>
        <w:sdtContent/>
      </w:sdt>
      <w:r>
        <w:rPr>
          <w:rFonts w:ascii="Arial" w:eastAsia="Arial" w:hAnsi="Arial" w:cs="Arial"/>
          <w:color w:val="000000"/>
          <w:sz w:val="24"/>
          <w:szCs w:val="24"/>
        </w:rPr>
        <w:t>1.</w:t>
      </w:r>
      <w:sdt>
        <w:sdtPr>
          <w:tag w:val="goog_rdk_1"/>
          <w:id w:val="-511374176"/>
          <w:showingPlcHdr/>
        </w:sdtPr>
        <w:sdtEndPr/>
        <w:sdtContent>
          <w:r w:rsidR="005937C3">
            <w:t xml:space="preserve">     </w:t>
          </w:r>
        </w:sdtContent>
      </w:sdt>
      <w:sdt>
        <w:sdtPr>
          <w:tag w:val="goog_rdk_2"/>
          <w:id w:val="117123180"/>
        </w:sdtPr>
        <w:sdtEndPr/>
        <w:sdtContent>
          <w:r>
            <w:rPr>
              <w:rFonts w:ascii="Arial" w:eastAsia="Arial" w:hAnsi="Arial" w:cs="Arial"/>
              <w:color w:val="000000"/>
              <w:sz w:val="24"/>
              <w:szCs w:val="24"/>
            </w:rPr>
            <w:t>2</w:t>
          </w:r>
        </w:sdtContent>
      </w:sdt>
      <w:r>
        <w:rPr>
          <w:rFonts w:ascii="Arial" w:eastAsia="Arial" w:hAnsi="Arial" w:cs="Arial"/>
          <w:color w:val="000000"/>
          <w:sz w:val="24"/>
          <w:szCs w:val="24"/>
        </w:rPr>
        <w:t xml:space="preserve"> above the Buyer awarding a Call-Off Contract under this Framework Contract without holding a further competition shall:</w:t>
      </w:r>
    </w:p>
    <w:p w14:paraId="0000000C" w14:textId="77777777" w:rsidR="00661DDA" w:rsidRDefault="0011104F">
      <w:pPr>
        <w:widowControl/>
        <w:numPr>
          <w:ilvl w:val="2"/>
          <w:numId w:val="1"/>
        </w:numPr>
        <w:pBdr>
          <w:top w:val="nil"/>
          <w:left w:val="nil"/>
          <w:bottom w:val="nil"/>
          <w:right w:val="nil"/>
          <w:between w:val="nil"/>
        </w:pBdr>
        <w:tabs>
          <w:tab w:val="left" w:pos="3641"/>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determine whether the Call-Off Contract is suitable for its requirements; and</w:t>
      </w:r>
    </w:p>
    <w:p w14:paraId="0000000D" w14:textId="751E1881" w:rsidR="00661DDA" w:rsidRDefault="0011104F">
      <w:pPr>
        <w:widowControl/>
        <w:numPr>
          <w:ilvl w:val="2"/>
          <w:numId w:val="1"/>
        </w:numPr>
        <w:pBdr>
          <w:top w:val="nil"/>
          <w:left w:val="nil"/>
          <w:bottom w:val="nil"/>
          <w:right w:val="nil"/>
          <w:between w:val="nil"/>
        </w:pBdr>
        <w:tabs>
          <w:tab w:val="left" w:pos="3641"/>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 xml:space="preserve">where the Buyer wishes to proceed, award the Call-Off Contract with the Supplier for a period of up to 12 months in accordance with Paragraph </w:t>
      </w:r>
      <w:r w:rsidR="00EF4764">
        <w:rPr>
          <w:rFonts w:ascii="Arial" w:eastAsia="Arial" w:hAnsi="Arial" w:cs="Arial"/>
          <w:color w:val="000000"/>
          <w:sz w:val="24"/>
          <w:szCs w:val="24"/>
        </w:rPr>
        <w:t>5</w:t>
      </w:r>
      <w:r>
        <w:rPr>
          <w:rFonts w:ascii="Arial" w:eastAsia="Arial" w:hAnsi="Arial" w:cs="Arial"/>
          <w:color w:val="000000"/>
          <w:sz w:val="24"/>
          <w:szCs w:val="24"/>
        </w:rPr>
        <w:t xml:space="preserve"> below.</w:t>
      </w:r>
    </w:p>
    <w:p w14:paraId="0000000E" w14:textId="77777777" w:rsidR="00661DDA" w:rsidRDefault="00661DDA">
      <w:pPr>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p>
    <w:p w14:paraId="0000000F" w14:textId="77777777" w:rsidR="00661DDA" w:rsidRDefault="0011104F">
      <w:pPr>
        <w:keepNext/>
        <w:widowControl/>
        <w:numPr>
          <w:ilvl w:val="0"/>
          <w:numId w:val="1"/>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14:paraId="00000010" w14:textId="77777777"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 xml:space="preserve">Notwithstanding the fact that the Buyer has followed a procedure as set out above in Paragraph </w:t>
      </w:r>
      <w:proofErr w:type="gramStart"/>
      <w:r>
        <w:rPr>
          <w:rFonts w:ascii="Arial" w:eastAsia="Arial" w:hAnsi="Arial" w:cs="Arial"/>
          <w:color w:val="000000"/>
          <w:sz w:val="24"/>
          <w:szCs w:val="24"/>
        </w:rPr>
        <w:t>2 ,</w:t>
      </w:r>
      <w:proofErr w:type="gramEnd"/>
      <w:r>
        <w:rPr>
          <w:rFonts w:ascii="Arial" w:eastAsia="Arial" w:hAnsi="Arial" w:cs="Arial"/>
          <w:color w:val="000000"/>
          <w:sz w:val="24"/>
          <w:szCs w:val="24"/>
        </w:rPr>
        <w:t xml:space="preserve"> the Supplier acknowledges and agrees that the Buyer shall be entitled at all times to decline to make an award for its Deliverables and that nothing in this Framework Contract shall oblige the Buyer to award any Call-Off Contract.</w:t>
      </w:r>
    </w:p>
    <w:p w14:paraId="00000011" w14:textId="77777777" w:rsidR="00661DDA" w:rsidRDefault="0011104F">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Who is responsible for the </w:t>
      </w:r>
      <w:proofErr w:type="gramStart"/>
      <w:r>
        <w:rPr>
          <w:rFonts w:ascii="Arial Bold" w:eastAsia="Arial Bold" w:hAnsi="Arial Bold" w:cs="Arial Bold"/>
          <w:b/>
          <w:color w:val="000000"/>
          <w:sz w:val="24"/>
          <w:szCs w:val="24"/>
        </w:rPr>
        <w:t>award</w:t>
      </w:r>
      <w:proofErr w:type="gramEnd"/>
    </w:p>
    <w:p w14:paraId="00000012" w14:textId="77777777"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 xml:space="preserve">The Supplier acknowledges that the Buyer is independently responsible for the conduct of its award of Call-Off Contracts under this Framework </w:t>
      </w:r>
      <w:r>
        <w:rPr>
          <w:rFonts w:ascii="Arial" w:eastAsia="Arial" w:hAnsi="Arial" w:cs="Arial"/>
          <w:color w:val="000000"/>
          <w:sz w:val="24"/>
          <w:szCs w:val="24"/>
        </w:rPr>
        <w:lastRenderedPageBreak/>
        <w:t>Contract and that CCS is not responsible or accountable for and shall have no liability whatsoever, except where it is the Buyer, in relation to:</w:t>
      </w:r>
    </w:p>
    <w:p w14:paraId="00000013" w14:textId="77777777" w:rsidR="00661DDA" w:rsidRDefault="0011104F">
      <w:pPr>
        <w:widowControl/>
        <w:numPr>
          <w:ilvl w:val="2"/>
          <w:numId w:val="1"/>
        </w:numPr>
        <w:pBdr>
          <w:top w:val="nil"/>
          <w:left w:val="nil"/>
          <w:bottom w:val="nil"/>
          <w:right w:val="nil"/>
          <w:between w:val="nil"/>
        </w:pBdr>
        <w:tabs>
          <w:tab w:val="left" w:pos="3641"/>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the conduct of Buyer in relation to this Framework Contract; or</w:t>
      </w:r>
    </w:p>
    <w:p w14:paraId="00000014" w14:textId="77777777" w:rsidR="00661DDA" w:rsidRDefault="0011104F">
      <w:pPr>
        <w:widowControl/>
        <w:numPr>
          <w:ilvl w:val="2"/>
          <w:numId w:val="1"/>
        </w:numPr>
        <w:pBdr>
          <w:top w:val="nil"/>
          <w:left w:val="nil"/>
          <w:bottom w:val="nil"/>
          <w:right w:val="nil"/>
          <w:between w:val="nil"/>
        </w:pBdr>
        <w:tabs>
          <w:tab w:val="left" w:pos="3641"/>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between the Supplier and Buyer entered into pursuant to this Contract.</w:t>
      </w:r>
    </w:p>
    <w:p w14:paraId="00000015" w14:textId="77777777" w:rsidR="00661DDA" w:rsidRDefault="0011104F">
      <w:pPr>
        <w:keepNext/>
        <w:widowControl/>
        <w:numPr>
          <w:ilvl w:val="0"/>
          <w:numId w:val="1"/>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14:paraId="00000016" w14:textId="77777777"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3" w:name="_heading=h.3dy6vkm" w:colFirst="0" w:colLast="0"/>
      <w:bookmarkEnd w:id="3"/>
      <w:r>
        <w:rPr>
          <w:rFonts w:ascii="Arial" w:eastAsia="Arial" w:hAnsi="Arial" w:cs="Arial"/>
          <w:color w:val="000000"/>
          <w:sz w:val="24"/>
          <w:szCs w:val="24"/>
        </w:rPr>
        <w:t>Subject to Paragraphs 1 to 4 above, a Buyer may award a Call-Off Contract with the Supplier by sending (including electronically):</w:t>
      </w:r>
    </w:p>
    <w:p w14:paraId="00000017" w14:textId="77777777" w:rsidR="00661DDA" w:rsidRDefault="0011104F">
      <w:pPr>
        <w:keepNext/>
        <w:widowControl/>
        <w:numPr>
          <w:ilvl w:val="2"/>
          <w:numId w:val="1"/>
        </w:numPr>
        <w:pBdr>
          <w:top w:val="nil"/>
          <w:left w:val="nil"/>
          <w:bottom w:val="nil"/>
          <w:right w:val="nil"/>
          <w:between w:val="nil"/>
        </w:pBdr>
        <w:tabs>
          <w:tab w:val="left" w:pos="3054"/>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a signed Call-Off Contract or;</w:t>
      </w:r>
    </w:p>
    <w:p w14:paraId="00000018" w14:textId="7147BFFA" w:rsidR="00661DDA" w:rsidRPr="00FF296D" w:rsidRDefault="0011104F">
      <w:pPr>
        <w:keepNext/>
        <w:widowControl/>
        <w:numPr>
          <w:ilvl w:val="2"/>
          <w:numId w:val="1"/>
        </w:numPr>
        <w:pBdr>
          <w:top w:val="nil"/>
          <w:left w:val="nil"/>
          <w:bottom w:val="nil"/>
          <w:right w:val="nil"/>
          <w:between w:val="nil"/>
        </w:pBdr>
        <w:tabs>
          <w:tab w:val="left" w:pos="3054"/>
        </w:tabs>
        <w:spacing w:before="120" w:after="120"/>
        <w:ind w:left="1985" w:hanging="851"/>
        <w:rPr>
          <w:rFonts w:ascii="Arial" w:eastAsia="Arial" w:hAnsi="Arial" w:cs="Arial"/>
          <w:color w:val="000000"/>
          <w:sz w:val="24"/>
          <w:szCs w:val="24"/>
        </w:rPr>
      </w:pPr>
      <w:r>
        <w:rPr>
          <w:rFonts w:ascii="Arial" w:eastAsia="Arial" w:hAnsi="Arial" w:cs="Arial"/>
          <w:color w:val="000000"/>
          <w:sz w:val="24"/>
          <w:szCs w:val="24"/>
        </w:rPr>
        <w:t xml:space="preserve">a signed </w:t>
      </w:r>
      <w:r w:rsidR="00836C8C">
        <w:rPr>
          <w:rFonts w:ascii="Arial" w:eastAsia="Arial" w:hAnsi="Arial" w:cs="Arial"/>
          <w:color w:val="000000"/>
          <w:sz w:val="24"/>
          <w:szCs w:val="24"/>
        </w:rPr>
        <w:t>O</w:t>
      </w:r>
      <w:r>
        <w:rPr>
          <w:rFonts w:ascii="Arial" w:eastAsia="Arial" w:hAnsi="Arial" w:cs="Arial"/>
          <w:color w:val="000000"/>
          <w:sz w:val="24"/>
          <w:szCs w:val="24"/>
        </w:rPr>
        <w:t xml:space="preserve">rder </w:t>
      </w:r>
      <w:r w:rsidR="00836C8C" w:rsidRPr="00FF296D">
        <w:rPr>
          <w:rFonts w:ascii="Arial" w:eastAsia="Arial" w:hAnsi="Arial" w:cs="Arial"/>
          <w:color w:val="000000"/>
          <w:sz w:val="24"/>
          <w:szCs w:val="24"/>
        </w:rPr>
        <w:t>F</w:t>
      </w:r>
      <w:r w:rsidRPr="00FF296D">
        <w:rPr>
          <w:rFonts w:ascii="Arial" w:eastAsia="Arial" w:hAnsi="Arial" w:cs="Arial"/>
          <w:color w:val="000000"/>
          <w:sz w:val="24"/>
          <w:szCs w:val="24"/>
        </w:rPr>
        <w:t>orm substantially in the form of the Order Form Template set out in Framework Schedule 6 (Order Form Template and Call-Off Schedules).</w:t>
      </w:r>
    </w:p>
    <w:p w14:paraId="00000019" w14:textId="77777777"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5 shall not constitute a Call-Off Contract under this Contract.</w:t>
      </w:r>
    </w:p>
    <w:p w14:paraId="0000001A" w14:textId="1E9EF371"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4" w:name="_heading=h.1t3h5sf" w:colFirst="0" w:colLast="0"/>
      <w:bookmarkEnd w:id="4"/>
      <w:r>
        <w:rPr>
          <w:rFonts w:ascii="Arial" w:eastAsia="Arial" w:hAnsi="Arial" w:cs="Arial"/>
          <w:color w:val="000000"/>
          <w:sz w:val="24"/>
          <w:szCs w:val="24"/>
        </w:rPr>
        <w:t xml:space="preserve">On receipt of an order form as described in Paragraph </w:t>
      </w:r>
      <w:r w:rsidR="00AA5976">
        <w:rPr>
          <w:rFonts w:ascii="Arial" w:eastAsia="Arial" w:hAnsi="Arial" w:cs="Arial"/>
          <w:color w:val="000000"/>
          <w:sz w:val="24"/>
          <w:szCs w:val="24"/>
        </w:rPr>
        <w:t>5</w:t>
      </w:r>
      <w:r>
        <w:rPr>
          <w:rFonts w:ascii="Arial" w:eastAsia="Arial" w:hAnsi="Arial" w:cs="Arial"/>
          <w:color w:val="000000"/>
          <w:sz w:val="24"/>
          <w:szCs w:val="24"/>
        </w:rPr>
        <w:t>.1 from a Buyer the Supplier shall accept the Call-Off Contract by promptly signing and returning (including by electronic means) a copy of the order form to the Buyer concerned.</w:t>
      </w:r>
    </w:p>
    <w:p w14:paraId="0000001B" w14:textId="77777777" w:rsidR="00661DDA" w:rsidRDefault="0011104F">
      <w:pPr>
        <w:keepNext/>
        <w:widowControl/>
        <w:numPr>
          <w:ilvl w:val="1"/>
          <w:numId w:val="1"/>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sectPr w:rsidR="00661D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BAA0" w14:textId="77777777" w:rsidR="00BE3FD0" w:rsidRDefault="00BE3FD0">
      <w:r>
        <w:separator/>
      </w:r>
    </w:p>
  </w:endnote>
  <w:endnote w:type="continuationSeparator" w:id="0">
    <w:p w14:paraId="0FF3D841" w14:textId="77777777" w:rsidR="00BE3FD0" w:rsidRDefault="00BE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661DDA" w:rsidRDefault="00661DDA">
    <w:pPr>
      <w:widowControl/>
      <w:pBdr>
        <w:top w:val="nil"/>
        <w:left w:val="nil"/>
        <w:bottom w:val="nil"/>
        <w:right w:val="nil"/>
        <w:between w:val="nil"/>
      </w:pBdr>
      <w:tabs>
        <w:tab w:val="center" w:pos="4513"/>
        <w:tab w:val="right" w:pos="9026"/>
      </w:tabs>
      <w:jc w:val="both"/>
      <w:rPr>
        <w:color w:val="000000"/>
      </w:rPr>
    </w:pPr>
  </w:p>
  <w:p w14:paraId="00000020" w14:textId="792A2F4B" w:rsidR="00661DDA" w:rsidRDefault="00FB49AB">
    <w:pPr>
      <w:widowControl/>
      <w:pBdr>
        <w:top w:val="nil"/>
        <w:left w:val="nil"/>
        <w:bottom w:val="nil"/>
        <w:right w:val="nil"/>
        <w:between w:val="nil"/>
      </w:pBdr>
      <w:tabs>
        <w:tab w:val="center" w:pos="4513"/>
        <w:tab w:val="right" w:pos="9026"/>
      </w:tabs>
      <w:jc w:val="both"/>
      <w:rPr>
        <w:color w:val="000000"/>
      </w:rPr>
    </w:pPr>
    <w:r>
      <w:rPr>
        <w:color w:val="000000"/>
      </w:rPr>
      <w:t>78558026.4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3734" w14:textId="77777777" w:rsidR="00E869D5" w:rsidRPr="00E869D5" w:rsidRDefault="00E869D5" w:rsidP="00E869D5">
    <w:pPr>
      <w:widowControl/>
      <w:pBdr>
        <w:top w:val="nil"/>
        <w:left w:val="nil"/>
        <w:bottom w:val="nil"/>
        <w:right w:val="nil"/>
        <w:between w:val="nil"/>
      </w:pBdr>
      <w:tabs>
        <w:tab w:val="center" w:pos="4513"/>
        <w:tab w:val="right" w:pos="9026"/>
      </w:tabs>
      <w:jc w:val="both"/>
      <w:rPr>
        <w:color w:val="000000"/>
      </w:rPr>
    </w:pPr>
    <w:r w:rsidRPr="00E869D5">
      <w:rPr>
        <w:color w:val="000000"/>
      </w:rPr>
      <w:t xml:space="preserve">Framework Ref: RM6279                                        </w:t>
    </w:r>
  </w:p>
  <w:p w14:paraId="693B819C" w14:textId="517CBCA4" w:rsidR="00E869D5" w:rsidRPr="00E869D5" w:rsidRDefault="00E869D5" w:rsidP="00E869D5">
    <w:pPr>
      <w:widowControl/>
      <w:pBdr>
        <w:top w:val="nil"/>
        <w:left w:val="nil"/>
        <w:bottom w:val="nil"/>
        <w:right w:val="nil"/>
        <w:between w:val="nil"/>
      </w:pBdr>
      <w:tabs>
        <w:tab w:val="center" w:pos="4513"/>
        <w:tab w:val="right" w:pos="9026"/>
      </w:tabs>
      <w:jc w:val="both"/>
      <w:rPr>
        <w:color w:val="000000"/>
      </w:rPr>
    </w:pPr>
    <w:r w:rsidRPr="00E869D5">
      <w:rPr>
        <w:color w:val="000000"/>
      </w:rPr>
      <w:t>Project Version: v</w:t>
    </w:r>
    <w:r w:rsidR="007F5A98">
      <w:rPr>
        <w:color w:val="000000"/>
      </w:rPr>
      <w:t>5</w:t>
    </w:r>
    <w:r w:rsidRPr="00E869D5">
      <w:rPr>
        <w:color w:val="000000"/>
      </w:rPr>
      <w:t xml:space="preserve">.0                 </w:t>
    </w:r>
  </w:p>
  <w:p w14:paraId="00000024" w14:textId="7796DBED" w:rsidR="00661DDA" w:rsidRDefault="00E869D5">
    <w:pPr>
      <w:widowControl/>
      <w:pBdr>
        <w:top w:val="nil"/>
        <w:left w:val="nil"/>
        <w:bottom w:val="nil"/>
        <w:right w:val="nil"/>
        <w:between w:val="nil"/>
      </w:pBdr>
      <w:tabs>
        <w:tab w:val="center" w:pos="4513"/>
        <w:tab w:val="right" w:pos="9026"/>
      </w:tabs>
      <w:jc w:val="both"/>
      <w:rPr>
        <w:color w:val="000000"/>
      </w:rPr>
    </w:pPr>
    <w:r w:rsidRPr="00E869D5">
      <w:rPr>
        <w:color w:val="00000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661DDA" w:rsidRDefault="00661DDA">
    <w:pPr>
      <w:widowControl/>
      <w:pBdr>
        <w:top w:val="nil"/>
        <w:left w:val="nil"/>
        <w:bottom w:val="nil"/>
        <w:right w:val="nil"/>
        <w:between w:val="nil"/>
      </w:pBdr>
      <w:tabs>
        <w:tab w:val="center" w:pos="4513"/>
        <w:tab w:val="right" w:pos="9026"/>
      </w:tabs>
      <w:jc w:val="both"/>
      <w:rPr>
        <w:color w:val="000000"/>
      </w:rPr>
    </w:pPr>
  </w:p>
  <w:p w14:paraId="00000022" w14:textId="0CE5E12A" w:rsidR="00661DDA" w:rsidRDefault="00FB49AB">
    <w:pPr>
      <w:widowControl/>
      <w:pBdr>
        <w:top w:val="nil"/>
        <w:left w:val="nil"/>
        <w:bottom w:val="nil"/>
        <w:right w:val="nil"/>
        <w:between w:val="nil"/>
      </w:pBdr>
      <w:tabs>
        <w:tab w:val="center" w:pos="4513"/>
        <w:tab w:val="right" w:pos="9026"/>
      </w:tabs>
      <w:jc w:val="both"/>
      <w:rPr>
        <w:color w:val="000000"/>
      </w:rPr>
    </w:pPr>
    <w:r>
      <w:rPr>
        <w:color w:val="000000"/>
      </w:rPr>
      <w:t>78558026.4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7350" w14:textId="77777777" w:rsidR="00BE3FD0" w:rsidRDefault="00BE3FD0">
      <w:r>
        <w:separator/>
      </w:r>
    </w:p>
  </w:footnote>
  <w:footnote w:type="continuationSeparator" w:id="0">
    <w:p w14:paraId="3A63049A" w14:textId="77777777" w:rsidR="00BE3FD0" w:rsidRDefault="00BE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661DDA" w:rsidRDefault="00661DDA">
    <w:pPr>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661DDA" w:rsidRDefault="00661DDA">
    <w:pPr>
      <w:widowControl/>
      <w:pBdr>
        <w:top w:val="nil"/>
        <w:left w:val="nil"/>
        <w:bottom w:val="nil"/>
        <w:right w:val="nil"/>
        <w:between w:val="nil"/>
      </w:pBdr>
      <w:tabs>
        <w:tab w:val="center" w:pos="4513"/>
        <w:tab w:val="right" w:pos="9026"/>
      </w:tabs>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661DDA" w:rsidRDefault="00661DDA">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950BD"/>
    <w:multiLevelType w:val="multilevel"/>
    <w:tmpl w:val="72660E1E"/>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7C5373"/>
    <w:multiLevelType w:val="multilevel"/>
    <w:tmpl w:val="6076EA4A"/>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9AC362C"/>
    <w:multiLevelType w:val="multilevel"/>
    <w:tmpl w:val="EA3A341A"/>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3698"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DA"/>
    <w:rsid w:val="0011104F"/>
    <w:rsid w:val="0017235D"/>
    <w:rsid w:val="002255FA"/>
    <w:rsid w:val="002A1682"/>
    <w:rsid w:val="002A38E3"/>
    <w:rsid w:val="004E7462"/>
    <w:rsid w:val="005937C3"/>
    <w:rsid w:val="00661DDA"/>
    <w:rsid w:val="007E586B"/>
    <w:rsid w:val="007F5A98"/>
    <w:rsid w:val="00836C8C"/>
    <w:rsid w:val="00A37F77"/>
    <w:rsid w:val="00A74194"/>
    <w:rsid w:val="00AA5976"/>
    <w:rsid w:val="00B878A8"/>
    <w:rsid w:val="00BE3FD0"/>
    <w:rsid w:val="00E869D5"/>
    <w:rsid w:val="00EA2401"/>
    <w:rsid w:val="00EF4764"/>
    <w:rsid w:val="00FB49AB"/>
    <w:rsid w:val="00FF2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150D"/>
  <w15:docId w15:val="{6B30C1C4-FEE3-4885-AC85-AD7A0619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3"/>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3"/>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3"/>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hFRBYIbX7ASXqSQtXj1wWvYDQ==">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Hywel Delong-Thomas</cp:lastModifiedBy>
  <cp:revision>3</cp:revision>
  <dcterms:created xsi:type="dcterms:W3CDTF">2025-12-09T14:09:00Z</dcterms:created>
  <dcterms:modified xsi:type="dcterms:W3CDTF">2025-12-09T14:26:00Z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y fmtid="{D5CDD505-2E9C-101B-9397-08002B2CF9AE}" pid="9" name="DocID">
    <vt:lpwstr>78558026.4</vt:lpwstr>
  </property>
</Properties>
</file>