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F26E" w14:textId="264628E0" w:rsidR="003D26B4" w:rsidRDefault="003D26B4">
      <w:pPr>
        <w:pStyle w:val="Normal0"/>
        <w:widowControl/>
        <w:pBdr>
          <w:top w:val="nil"/>
          <w:left w:val="nil"/>
          <w:bottom w:val="nil"/>
          <w:right w:val="nil"/>
          <w:between w:val="nil"/>
        </w:pBdr>
        <w:spacing w:before="240" w:after="120"/>
        <w:rPr>
          <w:rFonts w:ascii="Arial" w:eastAsia="Arial" w:hAnsi="Arial" w:cs="Arial"/>
          <w:b/>
          <w:color w:val="000000"/>
          <w:sz w:val="36"/>
          <w:szCs w:val="36"/>
        </w:rPr>
      </w:pPr>
    </w:p>
    <w:p w14:paraId="00000001" w14:textId="03B5CC5D" w:rsidR="009B6835" w:rsidRDefault="00D763F1">
      <w:pPr>
        <w:pStyle w:val="Normal0"/>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14:paraId="00000002" w14:textId="2A9638B3" w:rsidR="009B6835" w:rsidRDefault="00D763F1">
      <w:pPr>
        <w:pStyle w:val="Normal0"/>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14:paraId="00000003" w14:textId="77777777" w:rsidR="009B6835" w:rsidRDefault="00D763F1">
      <w:pPr>
        <w:pStyle w:val="Normal0"/>
        <w:keepNext/>
        <w:widowControl/>
        <w:numPr>
          <w:ilvl w:val="0"/>
          <w:numId w:val="6"/>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14:paraId="00000004"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If a potential Buyer decides to source Deliverables through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then it will award its Deliverables in accordance with the procedure in this Schedule and the requirements of the Regulations.</w:t>
      </w:r>
    </w:p>
    <w:p w14:paraId="00000005"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If the potential Buyer can determine that:</w:t>
      </w:r>
    </w:p>
    <w:p w14:paraId="00000006"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14:paraId="00000007"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14:paraId="00000008" w14:textId="77777777" w:rsidR="009B6835" w:rsidRDefault="00D763F1">
      <w:pPr>
        <w:pStyle w:val="Normal0"/>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14:paraId="00000009"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 not laid down in this Contract and the potential Buyer:</w:t>
      </w:r>
    </w:p>
    <w:p w14:paraId="0000000A"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14:paraId="0000000B"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14:paraId="0000000C" w14:textId="77777777" w:rsidR="009B6835" w:rsidRDefault="00D763F1">
      <w:pPr>
        <w:pStyle w:val="Normal0"/>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14:paraId="0000000D"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14:paraId="0000000E"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14:paraId="0000000F"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14:paraId="00000010"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14:paraId="00000011"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on the basis set out above, award the Call-Off Contract with the successful Supplier in accordance with Paragraph 6 below.</w:t>
      </w:r>
    </w:p>
    <w:p w14:paraId="00000012" w14:textId="77777777" w:rsidR="009B6835" w:rsidRDefault="009B6835">
      <w:pPr>
        <w:pStyle w:val="Normal0"/>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14:paraId="00000013"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14:paraId="00000014" w14:textId="77777777" w:rsidR="009B6835" w:rsidRDefault="00D763F1">
      <w:pPr>
        <w:pStyle w:val="Normal0"/>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14:paraId="00000015"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14:paraId="00000016"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develop a Statement of Requirements setting out its requirements for the Deliverables and identify the Suppliers capable of supplying the them;</w:t>
      </w:r>
    </w:p>
    <w:p w14:paraId="00000017"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14:paraId="00000018" w14:textId="77777777" w:rsidR="009B6835" w:rsidRDefault="00D763F1">
      <w:pPr>
        <w:pStyle w:val="Normal0"/>
        <w:keepNext/>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invite tenders by conducting a Further Competition Procedure for its Deliverables in accordance with the Regulations and in particular:</w:t>
      </w:r>
    </w:p>
    <w:p w14:paraId="00000019"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14:paraId="0000001A" w14:textId="77777777" w:rsidR="009B6835" w:rsidRDefault="00D763F1">
      <w:pPr>
        <w:pStyle w:val="Normal0"/>
        <w:keepNext/>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14:paraId="0000001B" w14:textId="77777777" w:rsidR="009B6835" w:rsidRDefault="00D763F1">
      <w:pPr>
        <w:pStyle w:val="Normal0"/>
        <w:widowControl/>
        <w:numPr>
          <w:ilvl w:val="4"/>
          <w:numId w:val="5"/>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14:paraId="0000001C" w14:textId="77777777" w:rsidR="009B6835" w:rsidRDefault="00D763F1">
      <w:pPr>
        <w:pStyle w:val="Normal0"/>
        <w:widowControl/>
        <w:numPr>
          <w:ilvl w:val="4"/>
          <w:numId w:val="5"/>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14:paraId="0000001D" w14:textId="77777777" w:rsidR="009B6835" w:rsidRDefault="00D763F1">
      <w:pPr>
        <w:pStyle w:val="Normal0"/>
        <w:widowControl/>
        <w:numPr>
          <w:ilvl w:val="4"/>
          <w:numId w:val="5"/>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the return of tenders has expired.</w:t>
      </w:r>
    </w:p>
    <w:p w14:paraId="0000001E"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14:paraId="0000001F" w14:textId="77777777" w:rsidR="009B6835" w:rsidRDefault="00D763F1">
      <w:pPr>
        <w:pStyle w:val="Normal0"/>
        <w:keepNext/>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its Call-Off Contract to the successful Supplier in accordance with Paragraph 6. The Call-Off Contract shall:</w:t>
      </w:r>
    </w:p>
    <w:p w14:paraId="00000020"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14:paraId="00000021"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14:paraId="00000022"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lastRenderedPageBreak/>
        <w:t>state the Charges payable for the Deliverables in accordance with the tender submitted by the successful Supplier; and</w:t>
      </w:r>
    </w:p>
    <w:p w14:paraId="00000023"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w:t>
      </w:r>
    </w:p>
    <w:p w14:paraId="00000024"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14:paraId="00000025" w14:textId="77777777" w:rsidR="009B6835" w:rsidRDefault="00D763F1">
      <w:pPr>
        <w:pStyle w:val="Normal0"/>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14:paraId="00000026"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14:paraId="00000027" w14:textId="77777777" w:rsidR="009B6835" w:rsidRDefault="009B6835">
      <w:pPr>
        <w:pStyle w:val="Normal0"/>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14:paraId="00000028"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14:paraId="00000029" w14:textId="77777777" w:rsidR="009B6835" w:rsidRDefault="00D763F1">
      <w:pPr>
        <w:pStyle w:val="Normal0"/>
        <w:keepNext/>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14:paraId="0000002A"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14:paraId="0000002B"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14:paraId="0000002C"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14:paraId="0000002D"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14:paraId="0000002E"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referenced in Framework Schedule 3 (Framework Prices) (if applicable).</w:t>
      </w:r>
    </w:p>
    <w:p w14:paraId="0000002F"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14:paraId="00000030" w14:textId="77777777" w:rsidR="009B6835" w:rsidRDefault="00D763F1">
      <w:pPr>
        <w:pStyle w:val="Normal0"/>
        <w:keepNext/>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14:paraId="00000031"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14:paraId="00000032"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lastRenderedPageBreak/>
        <w:t xml:space="preserve">all tenders submitted by the Supplier are made and will be made in good faith and that the Supplier has not fixed or adjusted and will </w:t>
      </w:r>
      <w:proofErr w:type="gramStart"/>
      <w:r>
        <w:rPr>
          <w:rFonts w:ascii="Arial" w:eastAsia="Arial" w:hAnsi="Arial" w:cs="Arial"/>
          <w:color w:val="000000"/>
          <w:sz w:val="24"/>
          <w:szCs w:val="24"/>
        </w:rPr>
        <w:t>not  fix</w:t>
      </w:r>
      <w:proofErr w:type="gramEnd"/>
      <w:r>
        <w:rPr>
          <w:rFonts w:ascii="Arial" w:eastAsia="Arial" w:hAnsi="Arial" w:cs="Arial"/>
          <w:color w:val="000000"/>
          <w:sz w:val="24"/>
          <w:szCs w:val="24"/>
        </w:rPr>
        <w:t xml:space="preserve"> or adjust the price of the tender by or in accordance with any agreement or arrangement with any other person. The Supplier certifies that it has not and undertakes that it will not:</w:t>
      </w:r>
    </w:p>
    <w:p w14:paraId="00000033" w14:textId="77777777" w:rsidR="009B6835" w:rsidRDefault="00D763F1">
      <w:pPr>
        <w:pStyle w:val="Normal0"/>
        <w:widowControl/>
        <w:numPr>
          <w:ilvl w:val="4"/>
          <w:numId w:val="5"/>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0000034" w14:textId="77777777" w:rsidR="009B6835" w:rsidRDefault="00D763F1">
      <w:pPr>
        <w:pStyle w:val="Normal0"/>
        <w:widowControl/>
        <w:numPr>
          <w:ilvl w:val="4"/>
          <w:numId w:val="5"/>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14:paraId="00000035"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14:paraId="00000036"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14:paraId="00000037"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Who is responsible for the </w:t>
      </w:r>
      <w:proofErr w:type="gramStart"/>
      <w:r>
        <w:rPr>
          <w:rFonts w:ascii="Arial Bold" w:eastAsia="Arial Bold" w:hAnsi="Arial Bold" w:cs="Arial Bold"/>
          <w:b/>
          <w:color w:val="000000"/>
          <w:sz w:val="24"/>
          <w:szCs w:val="24"/>
        </w:rPr>
        <w:t>award</w:t>
      </w:r>
      <w:proofErr w:type="gramEnd"/>
    </w:p>
    <w:p w14:paraId="00000038"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14:paraId="00000039"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14:paraId="0000003A"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14:paraId="0000003B"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14:paraId="0000003C"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14:paraId="0000003D"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14:paraId="0000003E"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 xml:space="preserve">On receipt of an order form as described in Paragraph 6.1 from a Buyer the Supplier shall accept the Call-Off Contract by promptly signing and </w:t>
      </w:r>
      <w:r>
        <w:rPr>
          <w:rFonts w:ascii="Arial" w:eastAsia="Arial" w:hAnsi="Arial" w:cs="Arial"/>
          <w:color w:val="000000"/>
          <w:sz w:val="24"/>
          <w:szCs w:val="24"/>
        </w:rPr>
        <w:lastRenderedPageBreak/>
        <w:t>returning (including by electronic means) a copy of the order form to the Buyer concerned.</w:t>
      </w:r>
    </w:p>
    <w:p w14:paraId="0000003F"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14:paraId="00000041" w14:textId="77777777" w:rsidR="009B6835" w:rsidRDefault="0ACB7F81" w:rsidP="31816983">
      <w:pPr>
        <w:pStyle w:val="Normal0"/>
        <w:keepNext/>
        <w:widowControl/>
        <w:numPr>
          <w:ilvl w:val="0"/>
          <w:numId w:val="5"/>
        </w:numPr>
        <w:pBdr>
          <w:top w:val="nil"/>
          <w:left w:val="nil"/>
          <w:bottom w:val="nil"/>
          <w:right w:val="nil"/>
          <w:between w:val="nil"/>
        </w:pBdr>
        <w:tabs>
          <w:tab w:val="left" w:pos="142"/>
        </w:tabs>
        <w:spacing w:before="120" w:after="240"/>
        <w:rPr>
          <w:rFonts w:ascii="Arial" w:eastAsia="Arial" w:hAnsi="Arial" w:cs="Arial"/>
          <w:b/>
          <w:bCs/>
          <w:color w:val="000000"/>
          <w:sz w:val="24"/>
          <w:szCs w:val="24"/>
        </w:rPr>
      </w:pPr>
      <w:r w:rsidRPr="31816983">
        <w:rPr>
          <w:rFonts w:ascii="Arial" w:eastAsia="Arial" w:hAnsi="Arial" w:cs="Arial"/>
          <w:b/>
          <w:bCs/>
          <w:color w:val="000000"/>
          <w:sz w:val="24"/>
          <w:szCs w:val="24"/>
        </w:rPr>
        <w:t>How e-auctions work</w:t>
      </w:r>
    </w:p>
    <w:p w14:paraId="00000042"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shall be entitled to include a reverse auction in the Further Competition Procedure in accordance with the rules laid down by the Buyer and the Regulations.</w:t>
      </w:r>
    </w:p>
    <w:p w14:paraId="00000043"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Where the Buyer wishes to undertake an electronic reverse auction, where Suppliers compete in real time by bidding as the auction unfolds (</w:t>
      </w:r>
      <w:r>
        <w:rPr>
          <w:rFonts w:ascii="Arial" w:eastAsia="Arial" w:hAnsi="Arial" w:cs="Arial"/>
          <w:b/>
          <w:color w:val="000000"/>
          <w:sz w:val="24"/>
          <w:szCs w:val="24"/>
        </w:rPr>
        <w:t>"Electronic Reverse Auction"</w:t>
      </w:r>
      <w:r>
        <w:rPr>
          <w:rFonts w:ascii="Arial" w:eastAsia="Arial" w:hAnsi="Arial" w:cs="Arial"/>
          <w:color w:val="000000"/>
          <w:sz w:val="24"/>
          <w:szCs w:val="24"/>
        </w:rPr>
        <w:t>)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14:paraId="00000044"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will inform the Suppliers of the specification for the Electronic Reverse Auction which shall include:</w:t>
      </w:r>
    </w:p>
    <w:p w14:paraId="00000045"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information to be provided at auction, which must be expressed in figures or percentages of the specified quantifiable features;</w:t>
      </w:r>
    </w:p>
    <w:p w14:paraId="00000046"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mathematical formula to be used to determine automatic ranking of bids on the basis of new prices and/or new values submitted;  </w:t>
      </w:r>
    </w:p>
    <w:p w14:paraId="00000047"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any limits on the values which may be submitted;</w:t>
      </w:r>
    </w:p>
    <w:p w14:paraId="00000048"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description of any information which will be made available to Suppliers in the course of the Electronic Reverse Auction, and when it will be made available to them;</w:t>
      </w:r>
    </w:p>
    <w:p w14:paraId="00000049"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the conditions under which Suppliers will be able to bid and, in particular, the minimum differences which will, where appropriate, be required when bidding;</w:t>
      </w:r>
    </w:p>
    <w:p w14:paraId="0000004A"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relevant information concerning the electronic equipment used and the arrangements and technical specification for connection;</w:t>
      </w:r>
    </w:p>
    <w:p w14:paraId="0000004B"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7.5, the date and time of the start of the Electronic Reverse Auction; and</w:t>
      </w:r>
    </w:p>
    <w:p w14:paraId="0000004C"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details of when and how the Electronic Reverse Auction will close.</w:t>
      </w:r>
    </w:p>
    <w:p w14:paraId="0000004D"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The Electronic Reverse Auction may not start sooner than two (2) Working Days after the date on which the specification for the Electronic Reverse Auction has been issued.</w:t>
      </w:r>
    </w:p>
    <w:p w14:paraId="0000004E" w14:textId="77777777" w:rsidR="009B6835" w:rsidRDefault="00D763F1">
      <w:pPr>
        <w:pStyle w:val="Normal0"/>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Throughout each phase of the Electronic Reverse Auction the Buyer will communicate to all Suppliers sufficient information to enable them to ascertain their relative ranking.</w:t>
      </w:r>
    </w:p>
    <w:p w14:paraId="0000004F"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and agrees that:</w:t>
      </w:r>
    </w:p>
    <w:p w14:paraId="00000050"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Buyer and its officers, servants, agents, group companies, assignees and customers (including CCS) do not guarantee that its access to the Electronic Reverse Auction will be uninterrupted or error-free;</w:t>
      </w:r>
    </w:p>
    <w:p w14:paraId="00000051"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access to the Electronic Reverse Auction may occasionally be restricted to allow for repairs or maintenance; and</w:t>
      </w:r>
    </w:p>
    <w:p w14:paraId="00000052"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 will comply with all such rules that may be imposed by the Buyer in relation to the operation of the Electronic Reverse Auction.</w:t>
      </w:r>
    </w:p>
    <w:p w14:paraId="00000053"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will close the Electronic Reverse Auction on the basis of:</w:t>
      </w:r>
    </w:p>
    <w:p w14:paraId="00000054"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date and time fixed in advance;</w:t>
      </w:r>
    </w:p>
    <w:p w14:paraId="00000055" w14:textId="77777777" w:rsidR="009B6835" w:rsidRDefault="00D763F1">
      <w:pPr>
        <w:pStyle w:val="Normal0"/>
        <w:widowControl/>
        <w:numPr>
          <w:ilvl w:val="3"/>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when no new prices or values meeting the minimum differences required pursuant to Paragraph 7.3 have been received within the prescribed elapsed time period; or</w:t>
      </w:r>
    </w:p>
    <w:p w14:paraId="00000056"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when all the phases have been completed.]</w:t>
      </w:r>
    </w:p>
    <w:p w14:paraId="00000057" w14:textId="77777777" w:rsidR="009B6835" w:rsidRDefault="00D763F1">
      <w:pPr>
        <w:pStyle w:val="Normal0"/>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14:paraId="00000058"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14:paraId="00000059"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14:paraId="0000005A"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14:paraId="0000005B"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14:paraId="0000005C"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14:paraId="0000005D" w14:textId="77777777" w:rsidR="009B6835" w:rsidRDefault="00D763F1">
      <w:pPr>
        <w:pStyle w:val="Normal0"/>
        <w:widowControl/>
        <w:numPr>
          <w:ilvl w:val="2"/>
          <w:numId w:val="5"/>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14:paraId="0000005E" w14:textId="77777777" w:rsidR="009B6835" w:rsidRDefault="00D763F1">
      <w:pPr>
        <w:pStyle w:val="Normal0"/>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14:paraId="0000005F"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14:paraId="00000060" w14:textId="77777777" w:rsidR="009B6835" w:rsidRDefault="00D763F1">
      <w:pPr>
        <w:pStyle w:val="Normal0"/>
        <w:keepNext/>
        <w:widowControl/>
        <w:numPr>
          <w:ilvl w:val="1"/>
          <w:numId w:val="5"/>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14:paraId="00000061" w14:textId="77777777" w:rsidR="009B6835" w:rsidRDefault="00D763F1">
      <w:pPr>
        <w:pStyle w:val="Normal0"/>
        <w:rPr>
          <w:rFonts w:ascii="Arial" w:eastAsia="Arial" w:hAnsi="Arial" w:cs="Arial"/>
          <w:sz w:val="24"/>
          <w:szCs w:val="24"/>
        </w:rPr>
      </w:pPr>
      <w:r>
        <w:br w:type="page"/>
      </w:r>
    </w:p>
    <w:p w14:paraId="00000062" w14:textId="77777777" w:rsidR="009B6835" w:rsidRDefault="009B6835">
      <w:pPr>
        <w:pStyle w:val="Normal0"/>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14:paraId="00000063" w14:textId="77777777" w:rsidR="009B6835" w:rsidRDefault="31816983">
      <w:pPr>
        <w:pStyle w:val="Normal0"/>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sidRPr="31816983">
        <w:rPr>
          <w:rFonts w:ascii="Arial" w:eastAsia="Arial" w:hAnsi="Arial" w:cs="Arial"/>
          <w:b/>
          <w:bCs/>
          <w:color w:val="000000"/>
          <w:sz w:val="36"/>
          <w:szCs w:val="36"/>
        </w:rPr>
        <w:t>Part 2: Award Criteria</w:t>
      </w:r>
    </w:p>
    <w:p w14:paraId="322E2793" w14:textId="3C574853" w:rsidR="4F802480" w:rsidRDefault="4F802480" w:rsidP="31816983">
      <w:pPr>
        <w:pStyle w:val="Normal0"/>
        <w:widowControl/>
        <w:numPr>
          <w:ilvl w:val="0"/>
          <w:numId w:val="7"/>
        </w:numPr>
        <w:pBdr>
          <w:top w:val="nil"/>
          <w:left w:val="nil"/>
          <w:bottom w:val="nil"/>
          <w:right w:val="nil"/>
          <w:between w:val="nil"/>
        </w:pBdr>
        <w:tabs>
          <w:tab w:val="left" w:pos="3054"/>
        </w:tabs>
        <w:spacing w:before="120" w:after="120"/>
        <w:rPr>
          <w:rFonts w:ascii="Arial" w:eastAsia="Arial" w:hAnsi="Arial" w:cs="Arial"/>
          <w:color w:val="000000" w:themeColor="text1"/>
          <w:sz w:val="24"/>
          <w:szCs w:val="24"/>
        </w:rPr>
      </w:pPr>
      <w:r w:rsidRPr="31816983">
        <w:rPr>
          <w:rFonts w:ascii="Arial" w:eastAsia="Arial" w:hAnsi="Arial" w:cs="Arial"/>
          <w:color w:val="000000" w:themeColor="text1"/>
          <w:sz w:val="24"/>
          <w:szCs w:val="24"/>
        </w:rPr>
        <w:t>This Part 2 lays out award criteria for direct award (Annex A) and for further competition (Annex B) in accordance with the Call-Off Procedure.</w:t>
      </w:r>
    </w:p>
    <w:p w14:paraId="5FA167A6" w14:textId="562CFB19" w:rsidR="4F802480" w:rsidRDefault="4F802480" w:rsidP="31816983">
      <w:pPr>
        <w:pStyle w:val="ListParagraph"/>
        <w:numPr>
          <w:ilvl w:val="0"/>
          <w:numId w:val="7"/>
        </w:numPr>
        <w:rPr>
          <w:rFonts w:ascii="Arial" w:eastAsia="Arial" w:hAnsi="Arial" w:cs="Arial"/>
          <w:color w:val="000000" w:themeColor="text1"/>
          <w:sz w:val="24"/>
          <w:szCs w:val="24"/>
        </w:rPr>
      </w:pPr>
      <w:r w:rsidRPr="31816983">
        <w:rPr>
          <w:rFonts w:ascii="Arial" w:eastAsia="Arial" w:hAnsi="Arial" w:cs="Arial"/>
          <w:color w:val="000000" w:themeColor="text1"/>
          <w:sz w:val="24"/>
          <w:szCs w:val="24"/>
        </w:rPr>
        <w:t>A Call-Off Contract may be awarded on the basis of most economically advantageous tender ("MEAT").</w:t>
      </w:r>
    </w:p>
    <w:p w14:paraId="1BEDFC09" w14:textId="25DFA1EA" w:rsidR="4F802480" w:rsidRDefault="4F802480" w:rsidP="31816983">
      <w:pPr>
        <w:pStyle w:val="ListParagraph"/>
        <w:numPr>
          <w:ilvl w:val="0"/>
          <w:numId w:val="7"/>
        </w:numPr>
        <w:rPr>
          <w:rFonts w:ascii="Arial" w:eastAsia="Arial" w:hAnsi="Arial" w:cs="Arial"/>
          <w:sz w:val="24"/>
          <w:szCs w:val="24"/>
        </w:rPr>
      </w:pPr>
      <w:r w:rsidRPr="31816983">
        <w:rPr>
          <w:rFonts w:ascii="Arial" w:eastAsia="Arial" w:hAnsi="Arial" w:cs="Arial"/>
          <w:sz w:val="24"/>
          <w:szCs w:val="24"/>
        </w:rPr>
        <w:t xml:space="preserve">Under lots 1 - 4, Buyers may utilise the Award Support Tool in order to </w:t>
      </w:r>
      <w:proofErr w:type="spellStart"/>
      <w:r w:rsidRPr="31816983">
        <w:rPr>
          <w:rFonts w:ascii="Arial" w:eastAsia="Arial" w:hAnsi="Arial" w:cs="Arial"/>
          <w:sz w:val="24"/>
          <w:szCs w:val="24"/>
        </w:rPr>
        <w:t>downselect</w:t>
      </w:r>
      <w:proofErr w:type="spellEnd"/>
      <w:r w:rsidRPr="31816983">
        <w:rPr>
          <w:rFonts w:ascii="Arial" w:eastAsia="Arial" w:hAnsi="Arial" w:cs="Arial"/>
          <w:sz w:val="24"/>
          <w:szCs w:val="24"/>
        </w:rPr>
        <w:t xml:space="preserve"> suppliers or Direct Award on the basis of the roles the Supplier has stated capability to provide; the regions in which they have stated capability to operate; on proximity to a Supplier’s branch; and on the basis of Framework Prices, in accordance with the information provided in response to Bid Pack Attachment 2d - Regions, Skills and Branches Matrix (All Lots).</w:t>
      </w:r>
    </w:p>
    <w:p w14:paraId="49FC147E" w14:textId="257A0F3B" w:rsidR="4F802480" w:rsidRDefault="4F802480" w:rsidP="31816983">
      <w:pPr>
        <w:pStyle w:val="ListParagraph"/>
        <w:numPr>
          <w:ilvl w:val="0"/>
          <w:numId w:val="7"/>
        </w:numPr>
        <w:rPr>
          <w:rFonts w:ascii="Arial" w:eastAsia="Arial" w:hAnsi="Arial" w:cs="Arial"/>
          <w:sz w:val="24"/>
          <w:szCs w:val="24"/>
        </w:rPr>
      </w:pPr>
      <w:r w:rsidRPr="31816983">
        <w:rPr>
          <w:rFonts w:ascii="Arial" w:eastAsia="Arial" w:hAnsi="Arial" w:cs="Arial"/>
          <w:sz w:val="24"/>
          <w:szCs w:val="24"/>
        </w:rPr>
        <w:t xml:space="preserve">Under lot 5, buyers may </w:t>
      </w:r>
      <w:proofErr w:type="spellStart"/>
      <w:r w:rsidRPr="31816983">
        <w:rPr>
          <w:rFonts w:ascii="Arial" w:eastAsia="Arial" w:hAnsi="Arial" w:cs="Arial"/>
          <w:sz w:val="24"/>
          <w:szCs w:val="24"/>
        </w:rPr>
        <w:t>downselect</w:t>
      </w:r>
      <w:proofErr w:type="spellEnd"/>
      <w:r w:rsidRPr="31816983">
        <w:rPr>
          <w:rFonts w:ascii="Arial" w:eastAsia="Arial" w:hAnsi="Arial" w:cs="Arial"/>
          <w:sz w:val="24"/>
          <w:szCs w:val="24"/>
        </w:rPr>
        <w:t xml:space="preserve"> suppliers on the basis of their response to question 1.11.2 of Bid Pack Attachment 2a - Selection, in which the Supplier stated whether they will operate as a Master Vendor, Neutral Vendor or Managed Service Provider.</w:t>
      </w:r>
    </w:p>
    <w:p w14:paraId="3559AD15" w14:textId="0AB59CA7" w:rsidR="31816983" w:rsidRDefault="31816983" w:rsidP="31816983">
      <w:pPr>
        <w:pStyle w:val="Normal0"/>
        <w:widowControl/>
        <w:pBdr>
          <w:top w:val="nil"/>
          <w:left w:val="nil"/>
          <w:bottom w:val="nil"/>
          <w:right w:val="nil"/>
          <w:between w:val="nil"/>
        </w:pBdr>
        <w:tabs>
          <w:tab w:val="left" w:pos="3054"/>
        </w:tabs>
        <w:spacing w:before="120" w:after="120"/>
        <w:ind w:left="360"/>
        <w:rPr>
          <w:rFonts w:ascii="Arial" w:eastAsia="Arial" w:hAnsi="Arial" w:cs="Arial"/>
          <w:color w:val="000000" w:themeColor="text1"/>
          <w:sz w:val="24"/>
          <w:szCs w:val="24"/>
        </w:rPr>
      </w:pPr>
    </w:p>
    <w:p w14:paraId="00000066" w14:textId="77777777" w:rsidR="009B6835" w:rsidRDefault="00D763F1">
      <w:pPr>
        <w:pStyle w:val="Normal0"/>
        <w:rPr>
          <w:rFonts w:ascii="Arial" w:eastAsia="Arial" w:hAnsi="Arial" w:cs="Arial"/>
          <w:b/>
          <w:smallCaps/>
          <w:sz w:val="24"/>
          <w:szCs w:val="24"/>
        </w:rPr>
      </w:pPr>
      <w:r>
        <w:br w:type="page"/>
      </w:r>
    </w:p>
    <w:p w14:paraId="00000067" w14:textId="77777777" w:rsidR="009B6835" w:rsidRDefault="00D763F1">
      <w:pPr>
        <w:pStyle w:val="Normal0"/>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Direct award criteria</w:t>
      </w:r>
    </w:p>
    <w:p w14:paraId="00000068" w14:textId="77777777" w:rsidR="009B6835" w:rsidRDefault="31816983">
      <w:pPr>
        <w:pStyle w:val="Normal0"/>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31816983">
        <w:rPr>
          <w:rFonts w:ascii="Arial" w:eastAsia="Arial" w:hAnsi="Arial" w:cs="Arial"/>
          <w:color w:val="000000" w:themeColor="text1"/>
          <w:sz w:val="24"/>
          <w:szCs w:val="24"/>
        </w:rPr>
        <w:t>The following criteria and weightings shall apply to the evaluation for direct award of each Call-Off.</w:t>
      </w:r>
    </w:p>
    <w:tbl>
      <w:tblPr>
        <w:tblStyle w:val="TableGrid"/>
        <w:tblW w:w="0" w:type="auto"/>
        <w:tblLayout w:type="fixed"/>
        <w:tblLook w:val="06A0" w:firstRow="1" w:lastRow="0" w:firstColumn="1" w:lastColumn="0" w:noHBand="1" w:noVBand="1"/>
      </w:tblPr>
      <w:tblGrid>
        <w:gridCol w:w="4434"/>
        <w:gridCol w:w="4581"/>
      </w:tblGrid>
      <w:tr w:rsidR="31816983" w14:paraId="7A53141B"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523770A1" w14:textId="6A6C4BB3" w:rsidR="31816983" w:rsidRDefault="31816983" w:rsidP="31816983">
            <w:pPr>
              <w:pStyle w:val="Normal0"/>
              <w:jc w:val="both"/>
            </w:pPr>
            <w:r w:rsidRPr="31816983">
              <w:rPr>
                <w:rFonts w:ascii="Arial" w:eastAsia="Arial" w:hAnsi="Arial" w:cs="Arial"/>
                <w:b/>
                <w:bCs/>
                <w:color w:val="000000" w:themeColor="text1"/>
                <w:sz w:val="24"/>
                <w:szCs w:val="24"/>
              </w:rPr>
              <w:t xml:space="preserve">Criteria </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273A763F" w14:textId="58E64D04" w:rsidR="31816983" w:rsidRDefault="31816983" w:rsidP="31816983">
            <w:pPr>
              <w:pStyle w:val="Normal0"/>
              <w:spacing w:line="276" w:lineRule="auto"/>
            </w:pPr>
            <w:r w:rsidRPr="31816983">
              <w:rPr>
                <w:rFonts w:ascii="Arial" w:eastAsia="Arial" w:hAnsi="Arial" w:cs="Arial"/>
                <w:b/>
                <w:bCs/>
                <w:sz w:val="24"/>
                <w:szCs w:val="24"/>
              </w:rPr>
              <w:t xml:space="preserve">Relative weighting percentage </w:t>
            </w:r>
          </w:p>
        </w:tc>
      </w:tr>
      <w:tr w:rsidR="31816983" w14:paraId="25B74347"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B9F8D" w14:textId="336D8F9C" w:rsidR="31816983" w:rsidRDefault="31816983" w:rsidP="31816983">
            <w:pPr>
              <w:pStyle w:val="Normal0"/>
              <w:jc w:val="both"/>
            </w:pPr>
            <w:r w:rsidRPr="31816983">
              <w:rPr>
                <w:rFonts w:ascii="Arial" w:eastAsia="Arial" w:hAnsi="Arial" w:cs="Arial"/>
                <w:color w:val="000000" w:themeColor="text1"/>
                <w:sz w:val="24"/>
                <w:szCs w:val="24"/>
              </w:rPr>
              <w:t>Price (life cycle costs, cost effectiveness &amp; price; price and running costs)</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179B06" w14:textId="0BFDE007" w:rsidR="31816983" w:rsidRDefault="4372F997" w:rsidP="31816983">
            <w:pPr>
              <w:pStyle w:val="Normal0"/>
              <w:jc w:val="both"/>
            </w:pPr>
            <w:r w:rsidRPr="2A977B54">
              <w:rPr>
                <w:rFonts w:ascii="Arial" w:eastAsia="Arial" w:hAnsi="Arial" w:cs="Arial"/>
                <w:sz w:val="24"/>
                <w:szCs w:val="24"/>
              </w:rPr>
              <w:t>20</w:t>
            </w:r>
            <w:r w:rsidR="31816983" w:rsidRPr="2A977B54">
              <w:rPr>
                <w:rFonts w:ascii="Arial" w:eastAsia="Arial" w:hAnsi="Arial" w:cs="Arial"/>
                <w:sz w:val="24"/>
                <w:szCs w:val="24"/>
              </w:rPr>
              <w:t xml:space="preserve">% - </w:t>
            </w:r>
            <w:r w:rsidR="36CFC24B" w:rsidRPr="2A977B54">
              <w:rPr>
                <w:rFonts w:ascii="Arial" w:eastAsia="Arial" w:hAnsi="Arial" w:cs="Arial"/>
                <w:sz w:val="24"/>
                <w:szCs w:val="24"/>
              </w:rPr>
              <w:t>6</w:t>
            </w:r>
            <w:r w:rsidR="31816983" w:rsidRPr="2A977B54">
              <w:rPr>
                <w:rFonts w:ascii="Arial" w:eastAsia="Arial" w:hAnsi="Arial" w:cs="Arial"/>
                <w:sz w:val="24"/>
                <w:szCs w:val="24"/>
              </w:rPr>
              <w:t>0%</w:t>
            </w:r>
          </w:p>
        </w:tc>
      </w:tr>
      <w:tr w:rsidR="31816983" w14:paraId="40B4133F"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BC1BBA" w14:textId="593DB646" w:rsidR="31816983" w:rsidRDefault="31816983" w:rsidP="31816983">
            <w:pPr>
              <w:pStyle w:val="Normal0"/>
              <w:jc w:val="both"/>
            </w:pPr>
            <w:r w:rsidRPr="2A977B54">
              <w:rPr>
                <w:rFonts w:ascii="Arial" w:eastAsia="Arial" w:hAnsi="Arial" w:cs="Arial"/>
                <w:color w:val="000000" w:themeColor="text1"/>
                <w:sz w:val="24"/>
                <w:szCs w:val="24"/>
              </w:rPr>
              <w:t>Technical merit; coverage, network capacity and performance as specified in relevant service levels</w:t>
            </w:r>
          </w:p>
          <w:p w14:paraId="40B1C0B8" w14:textId="598FE65D" w:rsidR="31816983" w:rsidRDefault="0D1662AE" w:rsidP="31816983">
            <w:pPr>
              <w:pStyle w:val="Normal0"/>
              <w:jc w:val="both"/>
            </w:pPr>
            <w:r w:rsidRPr="2A977B54">
              <w:rPr>
                <w:rFonts w:ascii="Arial" w:eastAsia="Arial" w:hAnsi="Arial" w:cs="Arial"/>
                <w:color w:val="000000" w:themeColor="text1"/>
                <w:sz w:val="24"/>
                <w:szCs w:val="24"/>
              </w:rPr>
              <w:t>Help desk, account management function and assurance of supply of a range of devices and good value accessories</w:t>
            </w:r>
          </w:p>
          <w:p w14:paraId="3AEAAD2D" w14:textId="308FC48E" w:rsidR="31816983" w:rsidRDefault="31816983" w:rsidP="2A977B54">
            <w:pPr>
              <w:pStyle w:val="Normal0"/>
              <w:jc w:val="both"/>
              <w:rPr>
                <w:rFonts w:ascii="Arial" w:eastAsia="Arial" w:hAnsi="Arial" w:cs="Arial"/>
                <w:color w:val="000000" w:themeColor="text1"/>
                <w:sz w:val="24"/>
                <w:szCs w:val="24"/>
              </w:rPr>
            </w:pP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38F75B" w14:textId="678EC845" w:rsidR="31816983" w:rsidRDefault="127BC52C" w:rsidP="31816983">
            <w:pPr>
              <w:pStyle w:val="Normal0"/>
              <w:jc w:val="both"/>
            </w:pPr>
            <w:r w:rsidRPr="2A977B54">
              <w:rPr>
                <w:rFonts w:ascii="Arial" w:eastAsia="Arial" w:hAnsi="Arial" w:cs="Arial"/>
                <w:sz w:val="24"/>
                <w:szCs w:val="24"/>
              </w:rPr>
              <w:t>3</w:t>
            </w:r>
            <w:r w:rsidR="06874F5D" w:rsidRPr="2A977B54">
              <w:rPr>
                <w:rFonts w:ascii="Arial" w:eastAsia="Arial" w:hAnsi="Arial" w:cs="Arial"/>
                <w:sz w:val="24"/>
                <w:szCs w:val="24"/>
              </w:rPr>
              <w:t>0</w:t>
            </w:r>
            <w:r w:rsidR="31816983" w:rsidRPr="2A977B54">
              <w:rPr>
                <w:rFonts w:ascii="Arial" w:eastAsia="Arial" w:hAnsi="Arial" w:cs="Arial"/>
                <w:sz w:val="24"/>
                <w:szCs w:val="24"/>
              </w:rPr>
              <w:t xml:space="preserve">% - </w:t>
            </w:r>
            <w:r w:rsidR="33295293" w:rsidRPr="2A977B54">
              <w:rPr>
                <w:rFonts w:ascii="Arial" w:eastAsia="Arial" w:hAnsi="Arial" w:cs="Arial"/>
                <w:sz w:val="24"/>
                <w:szCs w:val="24"/>
              </w:rPr>
              <w:t>7</w:t>
            </w:r>
            <w:r w:rsidR="31816983" w:rsidRPr="2A977B54">
              <w:rPr>
                <w:rFonts w:ascii="Arial" w:eastAsia="Arial" w:hAnsi="Arial" w:cs="Arial"/>
                <w:sz w:val="24"/>
                <w:szCs w:val="24"/>
              </w:rPr>
              <w:t>0%</w:t>
            </w:r>
          </w:p>
        </w:tc>
      </w:tr>
      <w:tr w:rsidR="31816983" w14:paraId="581ECB7C"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B3BB3B" w14:textId="1CEBC507" w:rsidR="31816983" w:rsidRDefault="31816983" w:rsidP="31816983">
            <w:pPr>
              <w:pStyle w:val="Normal0"/>
              <w:jc w:val="both"/>
            </w:pPr>
            <w:r w:rsidRPr="31816983">
              <w:rPr>
                <w:rFonts w:ascii="Arial" w:eastAsia="Arial" w:hAnsi="Arial" w:cs="Arial"/>
                <w:sz w:val="24"/>
                <w:szCs w:val="24"/>
              </w:rPr>
              <w:t>Social Value</w:t>
            </w:r>
          </w:p>
          <w:p w14:paraId="4D66E8A1" w14:textId="7D495643" w:rsidR="31816983" w:rsidRDefault="31816983" w:rsidP="2A977B54">
            <w:pPr>
              <w:pStyle w:val="Normal0"/>
            </w:pPr>
            <w:r w:rsidRPr="2A977B54">
              <w:rPr>
                <w:rFonts w:ascii="Arial" w:eastAsia="Arial" w:hAnsi="Arial" w:cs="Arial"/>
                <w:color w:val="000000" w:themeColor="text1"/>
                <w:sz w:val="24"/>
                <w:szCs w:val="24"/>
              </w:rPr>
              <w:t>Which consists of the following criteria:</w:t>
            </w:r>
          </w:p>
          <w:p w14:paraId="3AE75335" w14:textId="2651B54F" w:rsidR="2A977B54" w:rsidRDefault="2A977B54" w:rsidP="2A977B54">
            <w:pPr>
              <w:pStyle w:val="Normal0"/>
              <w:rPr>
                <w:rFonts w:ascii="Arial" w:eastAsia="Arial" w:hAnsi="Arial" w:cs="Arial"/>
                <w:color w:val="000000" w:themeColor="text1"/>
                <w:sz w:val="24"/>
                <w:szCs w:val="24"/>
              </w:rPr>
            </w:pPr>
          </w:p>
          <w:p w14:paraId="03F8C641" w14:textId="539B12DE" w:rsidR="31816983" w:rsidRDefault="31816983" w:rsidP="31816983">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Tackling Economic Equality</w:t>
            </w:r>
          </w:p>
          <w:p w14:paraId="15C54835" w14:textId="3F10A36C" w:rsidR="31816983" w:rsidRDefault="31816983" w:rsidP="31816983">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Fighting Climate Change</w:t>
            </w:r>
          </w:p>
          <w:p w14:paraId="49D44C53" w14:textId="04B42E56" w:rsidR="31816983" w:rsidRDefault="31816983" w:rsidP="31816983">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Equal Opportunity</w:t>
            </w:r>
          </w:p>
          <w:p w14:paraId="7E90108F" w14:textId="20861459" w:rsidR="31816983" w:rsidRDefault="31816983" w:rsidP="31816983">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Wellbeing</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2F437" w14:textId="63F554CA" w:rsidR="31816983" w:rsidRDefault="595EB1A2" w:rsidP="31816983">
            <w:pPr>
              <w:pStyle w:val="Normal0"/>
              <w:jc w:val="both"/>
            </w:pPr>
            <w:r w:rsidRPr="2A977B54">
              <w:rPr>
                <w:rFonts w:ascii="Arial" w:eastAsia="Arial" w:hAnsi="Arial" w:cs="Arial"/>
                <w:sz w:val="24"/>
                <w:szCs w:val="24"/>
              </w:rPr>
              <w:t>10</w:t>
            </w:r>
            <w:r w:rsidR="31816983" w:rsidRPr="2A977B54">
              <w:rPr>
                <w:rFonts w:ascii="Arial" w:eastAsia="Arial" w:hAnsi="Arial" w:cs="Arial"/>
                <w:sz w:val="24"/>
                <w:szCs w:val="24"/>
              </w:rPr>
              <w:t xml:space="preserve">% - </w:t>
            </w:r>
            <w:r w:rsidR="0D852B58" w:rsidRPr="2A977B54">
              <w:rPr>
                <w:rFonts w:ascii="Arial" w:eastAsia="Arial" w:hAnsi="Arial" w:cs="Arial"/>
                <w:sz w:val="24"/>
                <w:szCs w:val="24"/>
              </w:rPr>
              <w:t>30</w:t>
            </w:r>
            <w:r w:rsidR="31816983" w:rsidRPr="2A977B54">
              <w:rPr>
                <w:rFonts w:ascii="Arial" w:eastAsia="Arial" w:hAnsi="Arial" w:cs="Arial"/>
                <w:sz w:val="24"/>
                <w:szCs w:val="24"/>
              </w:rPr>
              <w:t>%</w:t>
            </w:r>
          </w:p>
        </w:tc>
      </w:tr>
    </w:tbl>
    <w:p w14:paraId="603D8CAA" w14:textId="2D36CEF6" w:rsidR="2A977B54" w:rsidRDefault="2A977B54">
      <w:pPr>
        <w:pStyle w:val="Normal0"/>
      </w:pPr>
    </w:p>
    <w:p w14:paraId="3D8314FE" w14:textId="2183C0F3" w:rsidR="009B6835" w:rsidRDefault="009B6835" w:rsidP="31816983">
      <w:pPr>
        <w:pStyle w:val="Normal0"/>
        <w:keepNext/>
        <w:widowControl/>
        <w:pBdr>
          <w:top w:val="nil"/>
          <w:left w:val="nil"/>
          <w:bottom w:val="nil"/>
          <w:right w:val="nil"/>
          <w:between w:val="nil"/>
        </w:pBdr>
        <w:tabs>
          <w:tab w:val="left" w:pos="851"/>
        </w:tabs>
        <w:spacing w:before="240" w:after="240"/>
        <w:jc w:val="both"/>
        <w:rPr>
          <w:rFonts w:ascii="Arial" w:eastAsia="Arial" w:hAnsi="Arial" w:cs="Arial"/>
          <w:color w:val="000000" w:themeColor="text1"/>
          <w:sz w:val="24"/>
          <w:szCs w:val="24"/>
        </w:rPr>
      </w:pPr>
    </w:p>
    <w:p w14:paraId="00000077" w14:textId="76FC9875" w:rsidR="009B6835" w:rsidRDefault="00D763F1" w:rsidP="31816983">
      <w:pPr>
        <w:pStyle w:val="Normal0"/>
        <w:keepNext/>
        <w:widowControl/>
        <w:pBdr>
          <w:top w:val="nil"/>
          <w:left w:val="nil"/>
          <w:bottom w:val="nil"/>
          <w:right w:val="nil"/>
          <w:between w:val="nil"/>
        </w:pBdr>
        <w:tabs>
          <w:tab w:val="left" w:pos="851"/>
        </w:tabs>
        <w:spacing w:before="240" w:after="240"/>
        <w:jc w:val="both"/>
        <w:rPr>
          <w:rFonts w:ascii="Arial Bold" w:eastAsia="Arial Bold" w:hAnsi="Arial Bold" w:cs="Arial Bold"/>
          <w:b/>
          <w:bCs/>
          <w:color w:val="000000"/>
          <w:sz w:val="36"/>
          <w:szCs w:val="36"/>
        </w:rPr>
      </w:pPr>
      <w:r>
        <w:br w:type="page"/>
      </w:r>
      <w:r w:rsidR="31816983" w:rsidRPr="31816983">
        <w:rPr>
          <w:rFonts w:ascii="Arial Bold" w:eastAsia="Arial Bold" w:hAnsi="Arial Bold" w:cs="Arial Bold"/>
          <w:b/>
          <w:bCs/>
          <w:color w:val="000000" w:themeColor="text1"/>
          <w:sz w:val="36"/>
          <w:szCs w:val="36"/>
        </w:rPr>
        <w:lastRenderedPageBreak/>
        <w:t>Annex B: Further Competition Award Criteria</w:t>
      </w:r>
    </w:p>
    <w:p w14:paraId="00000078" w14:textId="77777777" w:rsidR="009B6835" w:rsidRDefault="31816983">
      <w:pPr>
        <w:pStyle w:val="Normal0"/>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2A977B54">
        <w:rPr>
          <w:rFonts w:ascii="Arial" w:eastAsia="Arial" w:hAnsi="Arial" w:cs="Arial"/>
          <w:color w:val="000000" w:themeColor="text1"/>
          <w:sz w:val="24"/>
          <w:szCs w:val="24"/>
        </w:rPr>
        <w:t>The following criteria and weightings shall apply to the evaluation of tenders received through the Further Competition Procedure:</w:t>
      </w:r>
    </w:p>
    <w:tbl>
      <w:tblPr>
        <w:tblStyle w:val="TableGrid"/>
        <w:tblW w:w="0" w:type="auto"/>
        <w:tblLook w:val="06A0" w:firstRow="1" w:lastRow="0" w:firstColumn="1" w:lastColumn="0" w:noHBand="1" w:noVBand="1"/>
      </w:tblPr>
      <w:tblGrid>
        <w:gridCol w:w="4430"/>
        <w:gridCol w:w="4576"/>
      </w:tblGrid>
      <w:tr w:rsidR="2A977B54" w14:paraId="10AC9CDD"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19A2AF96" w14:textId="6A6C4BB3" w:rsidR="2A977B54" w:rsidRDefault="2A977B54" w:rsidP="2A977B54">
            <w:pPr>
              <w:pStyle w:val="Normal0"/>
              <w:jc w:val="both"/>
            </w:pPr>
            <w:r w:rsidRPr="2A977B54">
              <w:rPr>
                <w:rFonts w:ascii="Arial" w:eastAsia="Arial" w:hAnsi="Arial" w:cs="Arial"/>
                <w:b/>
                <w:bCs/>
                <w:color w:val="000000" w:themeColor="text1"/>
                <w:sz w:val="24"/>
                <w:szCs w:val="24"/>
              </w:rPr>
              <w:t xml:space="preserve">Criteria </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left w:w="108" w:type="dxa"/>
              <w:right w:w="108" w:type="dxa"/>
            </w:tcMar>
          </w:tcPr>
          <w:p w14:paraId="1C5464D5" w14:textId="58E64D04" w:rsidR="2A977B54" w:rsidRDefault="2A977B54" w:rsidP="2A977B54">
            <w:pPr>
              <w:pStyle w:val="Normal0"/>
              <w:spacing w:line="276" w:lineRule="auto"/>
            </w:pPr>
            <w:r w:rsidRPr="2A977B54">
              <w:rPr>
                <w:rFonts w:ascii="Arial" w:eastAsia="Arial" w:hAnsi="Arial" w:cs="Arial"/>
                <w:b/>
                <w:bCs/>
                <w:sz w:val="24"/>
                <w:szCs w:val="24"/>
              </w:rPr>
              <w:t xml:space="preserve">Relative weighting percentage </w:t>
            </w:r>
          </w:p>
        </w:tc>
      </w:tr>
      <w:tr w:rsidR="2A977B54" w14:paraId="6A57D302"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D5A5A" w14:textId="336D8F9C" w:rsidR="2A977B54" w:rsidRDefault="2A977B54" w:rsidP="2A977B54">
            <w:pPr>
              <w:pStyle w:val="Normal0"/>
              <w:jc w:val="both"/>
            </w:pPr>
            <w:r w:rsidRPr="2A977B54">
              <w:rPr>
                <w:rFonts w:ascii="Arial" w:eastAsia="Arial" w:hAnsi="Arial" w:cs="Arial"/>
                <w:color w:val="000000" w:themeColor="text1"/>
                <w:sz w:val="24"/>
                <w:szCs w:val="24"/>
              </w:rPr>
              <w:t>Price (life cycle costs, cost effectiveness &amp; price; price and running costs)</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D5691F" w14:textId="0BFDE007" w:rsidR="2A977B54" w:rsidRDefault="2A977B54" w:rsidP="2A977B54">
            <w:pPr>
              <w:pStyle w:val="Normal0"/>
              <w:jc w:val="both"/>
            </w:pPr>
            <w:r w:rsidRPr="2A977B54">
              <w:rPr>
                <w:rFonts w:ascii="Arial" w:eastAsia="Arial" w:hAnsi="Arial" w:cs="Arial"/>
                <w:sz w:val="24"/>
                <w:szCs w:val="24"/>
              </w:rPr>
              <w:t>20% - 60%</w:t>
            </w:r>
          </w:p>
        </w:tc>
      </w:tr>
      <w:tr w:rsidR="2A977B54" w14:paraId="2C5E7088"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78F9F0" w14:textId="593DB646" w:rsidR="2A977B54" w:rsidRDefault="2A977B54" w:rsidP="2A977B54">
            <w:pPr>
              <w:pStyle w:val="Normal0"/>
              <w:jc w:val="both"/>
            </w:pPr>
            <w:r w:rsidRPr="2A977B54">
              <w:rPr>
                <w:rFonts w:ascii="Arial" w:eastAsia="Arial" w:hAnsi="Arial" w:cs="Arial"/>
                <w:color w:val="000000" w:themeColor="text1"/>
                <w:sz w:val="24"/>
                <w:szCs w:val="24"/>
              </w:rPr>
              <w:t>Technical merit; coverage, network capacity and performance as specified in relevant service levels</w:t>
            </w:r>
          </w:p>
          <w:p w14:paraId="70AFD53B" w14:textId="598FE65D" w:rsidR="2A977B54" w:rsidRDefault="2A977B54" w:rsidP="2A977B54">
            <w:pPr>
              <w:pStyle w:val="Normal0"/>
              <w:jc w:val="both"/>
            </w:pPr>
            <w:r w:rsidRPr="2A977B54">
              <w:rPr>
                <w:rFonts w:ascii="Arial" w:eastAsia="Arial" w:hAnsi="Arial" w:cs="Arial"/>
                <w:color w:val="000000" w:themeColor="text1"/>
                <w:sz w:val="24"/>
                <w:szCs w:val="24"/>
              </w:rPr>
              <w:t>Help desk, account management function and assurance of supply of a range of devices and good value accessories</w:t>
            </w:r>
          </w:p>
          <w:p w14:paraId="5CD1046C" w14:textId="308FC48E" w:rsidR="2A977B54" w:rsidRDefault="2A977B54" w:rsidP="2A977B54">
            <w:pPr>
              <w:pStyle w:val="Normal0"/>
              <w:jc w:val="both"/>
              <w:rPr>
                <w:rFonts w:ascii="Arial" w:eastAsia="Arial" w:hAnsi="Arial" w:cs="Arial"/>
                <w:color w:val="000000" w:themeColor="text1"/>
                <w:sz w:val="24"/>
                <w:szCs w:val="24"/>
              </w:rPr>
            </w:pP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689CED" w14:textId="678EC845" w:rsidR="2A977B54" w:rsidRDefault="2A977B54" w:rsidP="2A977B54">
            <w:pPr>
              <w:pStyle w:val="Normal0"/>
              <w:jc w:val="both"/>
            </w:pPr>
            <w:r w:rsidRPr="2A977B54">
              <w:rPr>
                <w:rFonts w:ascii="Arial" w:eastAsia="Arial" w:hAnsi="Arial" w:cs="Arial"/>
                <w:sz w:val="24"/>
                <w:szCs w:val="24"/>
              </w:rPr>
              <w:t>30% - 70%</w:t>
            </w:r>
          </w:p>
        </w:tc>
      </w:tr>
      <w:tr w:rsidR="2A977B54" w14:paraId="3DB1D888" w14:textId="77777777" w:rsidTr="2A977B54">
        <w:trPr>
          <w:trHeight w:val="300"/>
        </w:trPr>
        <w:tc>
          <w:tcPr>
            <w:tcW w:w="44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DBC81" w14:textId="1CEBC507" w:rsidR="2A977B54" w:rsidRDefault="2A977B54" w:rsidP="2A977B54">
            <w:pPr>
              <w:pStyle w:val="Normal0"/>
              <w:jc w:val="both"/>
            </w:pPr>
            <w:r w:rsidRPr="2A977B54">
              <w:rPr>
                <w:rFonts w:ascii="Arial" w:eastAsia="Arial" w:hAnsi="Arial" w:cs="Arial"/>
                <w:sz w:val="24"/>
                <w:szCs w:val="24"/>
              </w:rPr>
              <w:t>Social Value</w:t>
            </w:r>
          </w:p>
          <w:p w14:paraId="21925D72" w14:textId="7D495643" w:rsidR="2A977B54" w:rsidRDefault="2A977B54">
            <w:pPr>
              <w:pStyle w:val="Normal0"/>
            </w:pPr>
            <w:r w:rsidRPr="2A977B54">
              <w:rPr>
                <w:rFonts w:ascii="Arial" w:eastAsia="Arial" w:hAnsi="Arial" w:cs="Arial"/>
                <w:color w:val="000000" w:themeColor="text1"/>
                <w:sz w:val="24"/>
                <w:szCs w:val="24"/>
              </w:rPr>
              <w:t>Which consists of the following criteria:</w:t>
            </w:r>
          </w:p>
          <w:p w14:paraId="6B9B1D2D" w14:textId="2651B54F" w:rsidR="2A977B54" w:rsidRDefault="2A977B54" w:rsidP="2A977B54">
            <w:pPr>
              <w:pStyle w:val="Normal0"/>
              <w:rPr>
                <w:rFonts w:ascii="Arial" w:eastAsia="Arial" w:hAnsi="Arial" w:cs="Arial"/>
                <w:color w:val="000000" w:themeColor="text1"/>
                <w:sz w:val="24"/>
                <w:szCs w:val="24"/>
              </w:rPr>
            </w:pPr>
          </w:p>
          <w:p w14:paraId="53F6881F" w14:textId="539B12DE" w:rsidR="2A977B54" w:rsidRDefault="2A977B54" w:rsidP="2A977B54">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Tackling Economic Equality</w:t>
            </w:r>
          </w:p>
          <w:p w14:paraId="5884146A" w14:textId="3F10A36C" w:rsidR="2A977B54" w:rsidRDefault="2A977B54" w:rsidP="2A977B54">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Fighting Climate Change</w:t>
            </w:r>
          </w:p>
          <w:p w14:paraId="73F33C35" w14:textId="04B42E56" w:rsidR="2A977B54" w:rsidRDefault="2A977B54" w:rsidP="2A977B54">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Equal Opportunity</w:t>
            </w:r>
          </w:p>
          <w:p w14:paraId="225FD370" w14:textId="20861459" w:rsidR="2A977B54" w:rsidRDefault="2A977B54" w:rsidP="2A977B54">
            <w:pPr>
              <w:pStyle w:val="ListParagraph"/>
              <w:numPr>
                <w:ilvl w:val="0"/>
                <w:numId w:val="2"/>
              </w:numPr>
              <w:rPr>
                <w:rFonts w:ascii="Arial" w:eastAsia="Arial" w:hAnsi="Arial" w:cs="Arial"/>
                <w:color w:val="000000" w:themeColor="text1"/>
                <w:sz w:val="24"/>
                <w:szCs w:val="24"/>
              </w:rPr>
            </w:pPr>
            <w:r w:rsidRPr="2A977B54">
              <w:rPr>
                <w:rFonts w:ascii="Arial" w:eastAsia="Arial" w:hAnsi="Arial" w:cs="Arial"/>
                <w:color w:val="000000" w:themeColor="text1"/>
                <w:sz w:val="24"/>
                <w:szCs w:val="24"/>
              </w:rPr>
              <w:t>Wellbeing</w:t>
            </w:r>
          </w:p>
        </w:tc>
        <w:tc>
          <w:tcPr>
            <w:tcW w:w="4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CBF5A9" w14:textId="63F554CA" w:rsidR="2A977B54" w:rsidRDefault="2A977B54" w:rsidP="2A977B54">
            <w:pPr>
              <w:pStyle w:val="Normal0"/>
              <w:jc w:val="both"/>
            </w:pPr>
            <w:r w:rsidRPr="2A977B54">
              <w:rPr>
                <w:rFonts w:ascii="Arial" w:eastAsia="Arial" w:hAnsi="Arial" w:cs="Arial"/>
                <w:sz w:val="24"/>
                <w:szCs w:val="24"/>
              </w:rPr>
              <w:t>10% - 30%</w:t>
            </w:r>
          </w:p>
        </w:tc>
      </w:tr>
    </w:tbl>
    <w:p w14:paraId="00000099" w14:textId="73463320" w:rsidR="009B6835" w:rsidRDefault="009B6835" w:rsidP="003D26B4">
      <w:pPr>
        <w:pStyle w:val="Normal0"/>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sectPr w:rsidR="009B6835" w:rsidSect="00D763F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FAFE" w14:textId="77777777" w:rsidR="00200647" w:rsidRDefault="00200647">
      <w:r>
        <w:separator/>
      </w:r>
    </w:p>
  </w:endnote>
  <w:endnote w:type="continuationSeparator" w:id="0">
    <w:p w14:paraId="09AA5818" w14:textId="77777777" w:rsidR="00200647" w:rsidRDefault="0020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9B6835" w:rsidRDefault="009B6835">
    <w:pPr>
      <w:pStyle w:val="Normal0"/>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6C0D3282" w:rsidR="009B6835" w:rsidRDefault="002128E9">
    <w:pPr>
      <w:pStyle w:val="Normal0"/>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57216" behindDoc="1" locked="0" layoutInCell="1" allowOverlap="1" wp14:anchorId="5ADE7A4D" wp14:editId="1AF07D48">
          <wp:simplePos x="0" y="0"/>
          <wp:positionH relativeFrom="column">
            <wp:posOffset>4979670</wp:posOffset>
          </wp:positionH>
          <wp:positionV relativeFrom="page">
            <wp:posOffset>10184765</wp:posOffset>
          </wp:positionV>
          <wp:extent cx="1539875" cy="452120"/>
          <wp:effectExtent l="0" t="0" r="3175" b="5080"/>
          <wp:wrapTight wrapText="bothSides">
            <wp:wrapPolygon edited="0">
              <wp:start x="0" y="0"/>
              <wp:lineTo x="0" y="20933"/>
              <wp:lineTo x="21377" y="20933"/>
              <wp:lineTo x="21377" y="0"/>
              <wp:lineTo x="0" y="0"/>
            </wp:wrapPolygon>
          </wp:wrapTight>
          <wp:docPr id="1857084307"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84307" name="Pictur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9875" cy="452120"/>
                  </a:xfrm>
                  <a:prstGeom prst="rect">
                    <a:avLst/>
                  </a:prstGeom>
                </pic:spPr>
              </pic:pic>
            </a:graphicData>
          </a:graphic>
        </wp:anchor>
      </w:drawing>
    </w:r>
    <w:r>
      <w:rPr>
        <w:rFonts w:ascii="Arial" w:eastAsia="Arial" w:hAnsi="Arial" w:cs="Arial"/>
        <w:noProof/>
        <w:sz w:val="20"/>
        <w:szCs w:val="20"/>
      </w:rPr>
      <w:drawing>
        <wp:anchor distT="0" distB="0" distL="114300" distR="114300" simplePos="0" relativeHeight="251652096" behindDoc="0" locked="0" layoutInCell="1" allowOverlap="1" wp14:anchorId="02B92C81" wp14:editId="74F40F0F">
          <wp:simplePos x="0" y="0"/>
          <wp:positionH relativeFrom="column">
            <wp:posOffset>-759118</wp:posOffset>
          </wp:positionH>
          <wp:positionV relativeFrom="page">
            <wp:posOffset>9781150</wp:posOffset>
          </wp:positionV>
          <wp:extent cx="2039620" cy="946785"/>
          <wp:effectExtent l="0" t="0" r="0" b="5715"/>
          <wp:wrapThrough wrapText="bothSides">
            <wp:wrapPolygon edited="0">
              <wp:start x="0" y="0"/>
              <wp:lineTo x="0" y="21296"/>
              <wp:lineTo x="21385" y="21296"/>
              <wp:lineTo x="21385" y="0"/>
              <wp:lineTo x="0" y="0"/>
            </wp:wrapPolygon>
          </wp:wrapThrough>
          <wp:docPr id="1428461883"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61883" name="Picture 3" descr="A close-up of a docum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39620" cy="946785"/>
                  </a:xfrm>
                  <a:prstGeom prst="rect">
                    <a:avLst/>
                  </a:prstGeom>
                </pic:spPr>
              </pic:pic>
            </a:graphicData>
          </a:graphic>
          <wp14:sizeRelH relativeFrom="margin">
            <wp14:pctWidth>0</wp14:pctWidth>
          </wp14:sizeRelH>
          <wp14:sizeRelV relativeFrom="margin">
            <wp14:pctHeight>0</wp14:pctHeight>
          </wp14:sizeRelV>
        </wp:anchor>
      </w:drawing>
    </w:r>
    <w:r w:rsidR="00D763F1">
      <w:rPr>
        <w:rFonts w:ascii="Arial" w:eastAsia="Arial" w:hAnsi="Arial" w:cs="Arial"/>
        <w:sz w:val="20"/>
        <w:szCs w:val="20"/>
      </w:rPr>
      <w:tab/>
    </w:r>
    <w:r w:rsidR="00D763F1">
      <w:rPr>
        <w:rFonts w:ascii="Arial" w:eastAsia="Arial" w:hAnsi="Arial" w:cs="Arial"/>
        <w:sz w:val="20"/>
        <w:szCs w:val="20"/>
      </w:rPr>
      <w:tab/>
    </w:r>
    <w:r w:rsidR="00D763F1">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15417483" w:rsidR="009B6835" w:rsidRDefault="00B63645" w:rsidP="00D763F1">
    <w:pPr>
      <w:pStyle w:val="Normal0"/>
      <w:widowControl/>
      <w:pBdr>
        <w:top w:val="nil"/>
        <w:left w:val="nil"/>
        <w:bottom w:val="nil"/>
        <w:right w:val="nil"/>
        <w:between w:val="nil"/>
      </w:pBdr>
      <w:tabs>
        <w:tab w:val="center" w:pos="4513"/>
        <w:tab w:val="right" w:pos="9026"/>
      </w:tabs>
      <w:ind w:left="-851"/>
      <w:jc w:val="both"/>
      <w:rPr>
        <w:rFonts w:ascii="Arial" w:eastAsia="Arial" w:hAnsi="Arial" w:cs="Arial"/>
        <w:noProof/>
        <w:sz w:val="20"/>
        <w:szCs w:val="20"/>
      </w:rPr>
    </w:pPr>
    <w:r>
      <w:rPr>
        <w:rFonts w:ascii="Arial" w:eastAsia="Arial" w:hAnsi="Arial" w:cs="Arial"/>
        <w:noProof/>
        <w:sz w:val="20"/>
        <w:szCs w:val="20"/>
      </w:rPr>
      <w:t>Framework Schedule 7 (Call -Off Award Procedure)</w:t>
    </w:r>
  </w:p>
  <w:p w14:paraId="000000A6" w14:textId="6139E0DA" w:rsidR="009B6835" w:rsidRDefault="00D763F1" w:rsidP="00D763F1">
    <w:pPr>
      <w:pStyle w:val="Normal0"/>
      <w:widowControl/>
      <w:pBdr>
        <w:top w:val="nil"/>
        <w:left w:val="nil"/>
        <w:bottom w:val="nil"/>
        <w:right w:val="nil"/>
        <w:between w:val="nil"/>
      </w:pBdr>
      <w:tabs>
        <w:tab w:val="center" w:pos="4513"/>
        <w:tab w:val="right" w:pos="9026"/>
      </w:tabs>
      <w:ind w:left="-851"/>
      <w:jc w:val="both"/>
      <w:rPr>
        <w:rFonts w:ascii="Arial" w:eastAsia="Arial" w:hAnsi="Arial" w:cs="Arial"/>
        <w:sz w:val="20"/>
        <w:szCs w:val="20"/>
      </w:rPr>
    </w:pPr>
    <w:r>
      <w:rPr>
        <w:rFonts w:ascii="Arial" w:eastAsia="Arial" w:hAnsi="Arial" w:cs="Arial"/>
        <w:noProof/>
        <w:sz w:val="20"/>
        <w:szCs w:val="20"/>
      </w:rPr>
      <w:t>Version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33FC" w14:textId="77777777" w:rsidR="00200647" w:rsidRDefault="00200647">
      <w:r>
        <w:separator/>
      </w:r>
    </w:p>
  </w:footnote>
  <w:footnote w:type="continuationSeparator" w:id="0">
    <w:p w14:paraId="0539064D" w14:textId="77777777" w:rsidR="00200647" w:rsidRDefault="0020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77777777" w:rsidR="009B6835" w:rsidRDefault="009B6835">
    <w:pPr>
      <w:pStyle w:val="Normal0"/>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5659D5B4" w:rsidR="009B6835" w:rsidRDefault="00325464" w:rsidP="00325464">
    <w:pPr>
      <w:pStyle w:val="Normal0"/>
      <w:widowControl/>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noProof/>
        <w:color w:val="000000"/>
        <w:sz w:val="20"/>
        <w:szCs w:val="20"/>
      </w:rPr>
      <w:drawing>
        <wp:anchor distT="0" distB="0" distL="114300" distR="114300" simplePos="0" relativeHeight="251662336" behindDoc="1" locked="0" layoutInCell="1" allowOverlap="1" wp14:anchorId="4F683D12" wp14:editId="2BD4FFDA">
          <wp:simplePos x="0" y="0"/>
          <wp:positionH relativeFrom="column">
            <wp:posOffset>4613910</wp:posOffset>
          </wp:positionH>
          <wp:positionV relativeFrom="page">
            <wp:posOffset>126365</wp:posOffset>
          </wp:positionV>
          <wp:extent cx="1767840" cy="695325"/>
          <wp:effectExtent l="0" t="0" r="3810" b="0"/>
          <wp:wrapTight wrapText="bothSides">
            <wp:wrapPolygon edited="0">
              <wp:start x="12336" y="1184"/>
              <wp:lineTo x="10707" y="11836"/>
              <wp:lineTo x="1164" y="12427"/>
              <wp:lineTo x="233" y="13019"/>
              <wp:lineTo x="698" y="18345"/>
              <wp:lineTo x="21414" y="18345"/>
              <wp:lineTo x="21414" y="14203"/>
              <wp:lineTo x="20017" y="13611"/>
              <wp:lineTo x="21414" y="10652"/>
              <wp:lineTo x="21414" y="1184"/>
              <wp:lineTo x="12336" y="1184"/>
            </wp:wrapPolygon>
          </wp:wrapTight>
          <wp:docPr id="7355192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1925"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7840"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212D2706" w:rsidR="009B6835" w:rsidRDefault="002128E9">
    <w:pPr>
      <w:pStyle w:val="Normal0"/>
      <w:widowControl/>
      <w:pBdr>
        <w:top w:val="nil"/>
        <w:left w:val="nil"/>
        <w:bottom w:val="nil"/>
        <w:right w:val="nil"/>
        <w:between w:val="nil"/>
      </w:pBdr>
      <w:tabs>
        <w:tab w:val="center" w:pos="4513"/>
        <w:tab w:val="right" w:pos="9026"/>
      </w:tabs>
      <w:jc w:val="both"/>
      <w:rPr>
        <w:color w:val="000000"/>
      </w:rPr>
    </w:pPr>
    <w:r>
      <w:rPr>
        <w:noProof/>
        <w:color w:val="000000"/>
      </w:rPr>
      <w:drawing>
        <wp:anchor distT="0" distB="0" distL="114300" distR="114300" simplePos="0" relativeHeight="251666432" behindDoc="1" locked="0" layoutInCell="1" allowOverlap="1" wp14:anchorId="5C3ECE52" wp14:editId="46FFA439">
          <wp:simplePos x="0" y="0"/>
          <wp:positionH relativeFrom="column">
            <wp:posOffset>3573780</wp:posOffset>
          </wp:positionH>
          <wp:positionV relativeFrom="page">
            <wp:posOffset>105410</wp:posOffset>
          </wp:positionV>
          <wp:extent cx="2788285" cy="1097280"/>
          <wp:effectExtent l="0" t="0" r="0" b="0"/>
          <wp:wrapTight wrapText="bothSides">
            <wp:wrapPolygon edited="0">
              <wp:start x="12544" y="1875"/>
              <wp:lineTo x="12544" y="8625"/>
              <wp:lineTo x="443" y="12750"/>
              <wp:lineTo x="443" y="16875"/>
              <wp:lineTo x="1328" y="17625"/>
              <wp:lineTo x="3394" y="18375"/>
              <wp:lineTo x="20660" y="18375"/>
              <wp:lineTo x="20956" y="17625"/>
              <wp:lineTo x="21103" y="1875"/>
              <wp:lineTo x="12544" y="1875"/>
            </wp:wrapPolygon>
          </wp:wrapTight>
          <wp:docPr id="1078401134"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01134" name="Picture 6"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8285" cy="1097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87EE1"/>
    <w:multiLevelType w:val="multilevel"/>
    <w:tmpl w:val="5FF2381E"/>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31760E5E"/>
    <w:multiLevelType w:val="hybridMultilevel"/>
    <w:tmpl w:val="4C7E03CE"/>
    <w:lvl w:ilvl="0" w:tplc="418C0518">
      <w:start w:val="1"/>
      <w:numFmt w:val="decimal"/>
      <w:lvlText w:val="%1."/>
      <w:lvlJc w:val="left"/>
      <w:pPr>
        <w:ind w:left="720" w:hanging="360"/>
      </w:pPr>
    </w:lvl>
    <w:lvl w:ilvl="1" w:tplc="AAE8111A">
      <w:start w:val="1"/>
      <w:numFmt w:val="lowerLetter"/>
      <w:lvlText w:val="%2."/>
      <w:lvlJc w:val="left"/>
      <w:pPr>
        <w:ind w:left="1440" w:hanging="360"/>
      </w:pPr>
    </w:lvl>
    <w:lvl w:ilvl="2" w:tplc="8398BEFC">
      <w:start w:val="1"/>
      <w:numFmt w:val="lowerRoman"/>
      <w:lvlText w:val="%3."/>
      <w:lvlJc w:val="right"/>
      <w:pPr>
        <w:ind w:left="2160" w:hanging="180"/>
      </w:pPr>
    </w:lvl>
    <w:lvl w:ilvl="3" w:tplc="5C209D72">
      <w:start w:val="1"/>
      <w:numFmt w:val="decimal"/>
      <w:lvlText w:val="%4."/>
      <w:lvlJc w:val="left"/>
      <w:pPr>
        <w:ind w:left="2880" w:hanging="360"/>
      </w:pPr>
    </w:lvl>
    <w:lvl w:ilvl="4" w:tplc="B8D69120">
      <w:start w:val="1"/>
      <w:numFmt w:val="lowerLetter"/>
      <w:lvlText w:val="%5."/>
      <w:lvlJc w:val="left"/>
      <w:pPr>
        <w:ind w:left="3600" w:hanging="360"/>
      </w:pPr>
    </w:lvl>
    <w:lvl w:ilvl="5" w:tplc="E32A7EB2">
      <w:start w:val="1"/>
      <w:numFmt w:val="lowerRoman"/>
      <w:lvlText w:val="%6."/>
      <w:lvlJc w:val="right"/>
      <w:pPr>
        <w:ind w:left="4320" w:hanging="180"/>
      </w:pPr>
    </w:lvl>
    <w:lvl w:ilvl="6" w:tplc="D5AA664A">
      <w:start w:val="1"/>
      <w:numFmt w:val="decimal"/>
      <w:lvlText w:val="%7."/>
      <w:lvlJc w:val="left"/>
      <w:pPr>
        <w:ind w:left="5040" w:hanging="360"/>
      </w:pPr>
    </w:lvl>
    <w:lvl w:ilvl="7" w:tplc="9FB6AD30">
      <w:start w:val="1"/>
      <w:numFmt w:val="lowerLetter"/>
      <w:lvlText w:val="%8."/>
      <w:lvlJc w:val="left"/>
      <w:pPr>
        <w:ind w:left="5760" w:hanging="360"/>
      </w:pPr>
    </w:lvl>
    <w:lvl w:ilvl="8" w:tplc="B8122F04">
      <w:start w:val="1"/>
      <w:numFmt w:val="lowerRoman"/>
      <w:lvlText w:val="%9."/>
      <w:lvlJc w:val="right"/>
      <w:pPr>
        <w:ind w:left="6480" w:hanging="180"/>
      </w:pPr>
    </w:lvl>
  </w:abstractNum>
  <w:abstractNum w:abstractNumId="2" w15:restartNumberingAfterBreak="0">
    <w:nsid w:val="59FB7603"/>
    <w:multiLevelType w:val="multilevel"/>
    <w:tmpl w:val="E1004208"/>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ADFB321"/>
    <w:multiLevelType w:val="multilevel"/>
    <w:tmpl w:val="1CAEC70E"/>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CA76984"/>
    <w:multiLevelType w:val="multilevel"/>
    <w:tmpl w:val="6C7C7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8CDED1"/>
    <w:multiLevelType w:val="hybridMultilevel"/>
    <w:tmpl w:val="5812344A"/>
    <w:lvl w:ilvl="0" w:tplc="68CCF022">
      <w:start w:val="1"/>
      <w:numFmt w:val="decimal"/>
      <w:lvlText w:val="%1."/>
      <w:lvlJc w:val="left"/>
      <w:pPr>
        <w:ind w:left="720" w:hanging="360"/>
      </w:pPr>
    </w:lvl>
    <w:lvl w:ilvl="1" w:tplc="DA14E66A">
      <w:start w:val="1"/>
      <w:numFmt w:val="lowerLetter"/>
      <w:lvlText w:val="%2."/>
      <w:lvlJc w:val="left"/>
      <w:pPr>
        <w:ind w:left="1440" w:hanging="360"/>
      </w:pPr>
    </w:lvl>
    <w:lvl w:ilvl="2" w:tplc="08F63624">
      <w:start w:val="1"/>
      <w:numFmt w:val="lowerRoman"/>
      <w:lvlText w:val="%3."/>
      <w:lvlJc w:val="right"/>
      <w:pPr>
        <w:ind w:left="2160" w:hanging="180"/>
      </w:pPr>
    </w:lvl>
    <w:lvl w:ilvl="3" w:tplc="71D09DC4">
      <w:start w:val="1"/>
      <w:numFmt w:val="decimal"/>
      <w:lvlText w:val="%4."/>
      <w:lvlJc w:val="left"/>
      <w:pPr>
        <w:ind w:left="2880" w:hanging="360"/>
      </w:pPr>
    </w:lvl>
    <w:lvl w:ilvl="4" w:tplc="E6469EF8">
      <w:start w:val="1"/>
      <w:numFmt w:val="lowerLetter"/>
      <w:lvlText w:val="%5."/>
      <w:lvlJc w:val="left"/>
      <w:pPr>
        <w:ind w:left="3600" w:hanging="360"/>
      </w:pPr>
    </w:lvl>
    <w:lvl w:ilvl="5" w:tplc="3A927CDA">
      <w:start w:val="1"/>
      <w:numFmt w:val="lowerRoman"/>
      <w:lvlText w:val="%6."/>
      <w:lvlJc w:val="right"/>
      <w:pPr>
        <w:ind w:left="4320" w:hanging="180"/>
      </w:pPr>
    </w:lvl>
    <w:lvl w:ilvl="6" w:tplc="2AF0872C">
      <w:start w:val="1"/>
      <w:numFmt w:val="decimal"/>
      <w:lvlText w:val="%7."/>
      <w:lvlJc w:val="left"/>
      <w:pPr>
        <w:ind w:left="5040" w:hanging="360"/>
      </w:pPr>
    </w:lvl>
    <w:lvl w:ilvl="7" w:tplc="36DE6644">
      <w:start w:val="1"/>
      <w:numFmt w:val="lowerLetter"/>
      <w:lvlText w:val="%8."/>
      <w:lvlJc w:val="left"/>
      <w:pPr>
        <w:ind w:left="5760" w:hanging="360"/>
      </w:pPr>
    </w:lvl>
    <w:lvl w:ilvl="8" w:tplc="C3261720">
      <w:start w:val="1"/>
      <w:numFmt w:val="lowerRoman"/>
      <w:lvlText w:val="%9."/>
      <w:lvlJc w:val="right"/>
      <w:pPr>
        <w:ind w:left="6480" w:hanging="180"/>
      </w:pPr>
    </w:lvl>
  </w:abstractNum>
  <w:abstractNum w:abstractNumId="6" w15:restartNumberingAfterBreak="0">
    <w:nsid w:val="6F2E0DD3"/>
    <w:multiLevelType w:val="multilevel"/>
    <w:tmpl w:val="0E20496E"/>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16E5C7"/>
    <w:multiLevelType w:val="hybridMultilevel"/>
    <w:tmpl w:val="1424FC88"/>
    <w:lvl w:ilvl="0" w:tplc="71624C94">
      <w:start w:val="1"/>
      <w:numFmt w:val="decimal"/>
      <w:lvlText w:val="%1."/>
      <w:lvlJc w:val="left"/>
      <w:pPr>
        <w:ind w:left="720" w:hanging="360"/>
      </w:pPr>
    </w:lvl>
    <w:lvl w:ilvl="1" w:tplc="429CCB2C">
      <w:start w:val="1"/>
      <w:numFmt w:val="lowerLetter"/>
      <w:lvlText w:val="%2."/>
      <w:lvlJc w:val="left"/>
      <w:pPr>
        <w:ind w:left="1440" w:hanging="360"/>
      </w:pPr>
    </w:lvl>
    <w:lvl w:ilvl="2" w:tplc="ECAC4A28">
      <w:start w:val="1"/>
      <w:numFmt w:val="lowerRoman"/>
      <w:lvlText w:val="%3."/>
      <w:lvlJc w:val="right"/>
      <w:pPr>
        <w:ind w:left="2160" w:hanging="180"/>
      </w:pPr>
    </w:lvl>
    <w:lvl w:ilvl="3" w:tplc="494C6BA0">
      <w:start w:val="1"/>
      <w:numFmt w:val="decimal"/>
      <w:lvlText w:val="%4."/>
      <w:lvlJc w:val="left"/>
      <w:pPr>
        <w:ind w:left="2880" w:hanging="360"/>
      </w:pPr>
    </w:lvl>
    <w:lvl w:ilvl="4" w:tplc="732E338C">
      <w:start w:val="1"/>
      <w:numFmt w:val="lowerLetter"/>
      <w:lvlText w:val="%5."/>
      <w:lvlJc w:val="left"/>
      <w:pPr>
        <w:ind w:left="3600" w:hanging="360"/>
      </w:pPr>
    </w:lvl>
    <w:lvl w:ilvl="5" w:tplc="E9108F2E">
      <w:start w:val="1"/>
      <w:numFmt w:val="lowerRoman"/>
      <w:lvlText w:val="%6."/>
      <w:lvlJc w:val="right"/>
      <w:pPr>
        <w:ind w:left="4320" w:hanging="180"/>
      </w:pPr>
    </w:lvl>
    <w:lvl w:ilvl="6" w:tplc="585AD442">
      <w:start w:val="1"/>
      <w:numFmt w:val="decimal"/>
      <w:lvlText w:val="%7."/>
      <w:lvlJc w:val="left"/>
      <w:pPr>
        <w:ind w:left="5040" w:hanging="360"/>
      </w:pPr>
    </w:lvl>
    <w:lvl w:ilvl="7" w:tplc="8DFC9B3A">
      <w:start w:val="1"/>
      <w:numFmt w:val="lowerLetter"/>
      <w:lvlText w:val="%8."/>
      <w:lvlJc w:val="left"/>
      <w:pPr>
        <w:ind w:left="5760" w:hanging="360"/>
      </w:pPr>
    </w:lvl>
    <w:lvl w:ilvl="8" w:tplc="9DFE9A7A">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3"/>
  </w:num>
  <w:num w:numId="6">
    <w:abstractNumId w:val="2"/>
  </w:num>
  <w:num w:numId="7">
    <w:abstractNumId w:val="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35"/>
    <w:rsid w:val="00155157"/>
    <w:rsid w:val="00200647"/>
    <w:rsid w:val="00212418"/>
    <w:rsid w:val="002128E9"/>
    <w:rsid w:val="002A3321"/>
    <w:rsid w:val="00325464"/>
    <w:rsid w:val="003D26B4"/>
    <w:rsid w:val="006733F7"/>
    <w:rsid w:val="006A4E90"/>
    <w:rsid w:val="009B6835"/>
    <w:rsid w:val="00B63645"/>
    <w:rsid w:val="00D763F1"/>
    <w:rsid w:val="00FE4D84"/>
    <w:rsid w:val="0686F36F"/>
    <w:rsid w:val="06874F5D"/>
    <w:rsid w:val="0ACB7F81"/>
    <w:rsid w:val="0C5C06F7"/>
    <w:rsid w:val="0D1662AE"/>
    <w:rsid w:val="0D852B58"/>
    <w:rsid w:val="0EF1C559"/>
    <w:rsid w:val="127BC52C"/>
    <w:rsid w:val="20F0990E"/>
    <w:rsid w:val="228C696F"/>
    <w:rsid w:val="2725E901"/>
    <w:rsid w:val="275FDA92"/>
    <w:rsid w:val="28FBAAF3"/>
    <w:rsid w:val="2A977B54"/>
    <w:rsid w:val="31816983"/>
    <w:rsid w:val="33295293"/>
    <w:rsid w:val="36CFC24B"/>
    <w:rsid w:val="4372F997"/>
    <w:rsid w:val="4CE331D0"/>
    <w:rsid w:val="4F802480"/>
    <w:rsid w:val="561FDA5A"/>
    <w:rsid w:val="595EB1A2"/>
    <w:rsid w:val="6760A5C3"/>
    <w:rsid w:val="68FC7624"/>
    <w:rsid w:val="6B626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2D2E9"/>
  <w15:docId w15:val="{D96D7E51-7268-4CE6-BA8A-E985C22A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heading20">
    <w:name w:val="heading 20"/>
    <w:basedOn w:val="Normal0"/>
    <w:next w:val="Normal0"/>
    <w:pPr>
      <w:keepNext/>
      <w:keepLines/>
      <w:spacing w:before="360" w:after="80"/>
      <w:outlineLvl w:val="1"/>
    </w:pPr>
    <w:rPr>
      <w:b/>
      <w:sz w:val="36"/>
      <w:szCs w:val="36"/>
    </w:rPr>
  </w:style>
  <w:style w:type="paragraph" w:customStyle="1" w:styleId="heading30">
    <w:name w:val="heading 30"/>
    <w:basedOn w:val="Normal0"/>
    <w:next w:val="Normal0"/>
    <w:pPr>
      <w:keepNext/>
      <w:keepLines/>
      <w:spacing w:before="280" w:after="80"/>
      <w:outlineLvl w:val="2"/>
    </w:pPr>
    <w:rPr>
      <w:b/>
      <w:sz w:val="28"/>
      <w:szCs w:val="28"/>
    </w:rPr>
  </w:style>
  <w:style w:type="paragraph" w:customStyle="1" w:styleId="heading40">
    <w:name w:val="heading 40"/>
    <w:basedOn w:val="Normal0"/>
    <w:next w:val="Normal0"/>
    <w:pPr>
      <w:keepNext/>
      <w:keepLines/>
      <w:spacing w:before="240" w:after="40"/>
      <w:outlineLvl w:val="3"/>
    </w:pPr>
    <w:rPr>
      <w:b/>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NormalTable0"/>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0"/>
    <w:qFormat/>
    <w:rsid w:val="00532FDD"/>
    <w:pPr>
      <w:numPr>
        <w:numId w:val="9"/>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0"/>
    <w:link w:val="FALevel1Char"/>
    <w:qFormat/>
    <w:rsid w:val="00532FDD"/>
    <w:pPr>
      <w:widowControl/>
      <w:numPr>
        <w:ilvl w:val="1"/>
        <w:numId w:val="9"/>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0"/>
    <w:link w:val="FALevel2Char"/>
    <w:qFormat/>
    <w:rsid w:val="00532FDD"/>
    <w:pPr>
      <w:widowControl/>
      <w:numPr>
        <w:ilvl w:val="2"/>
        <w:numId w:val="9"/>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0"/>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0"/>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paragraph" w:styleId="ListParagraph">
    <w:name w:val="List Paragraph"/>
    <w:basedOn w:val="Normal0"/>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6fqfdTS7EgYL/OVJajh6MGey0Pg==">AMUW2mWfyl2DUJ+aKD9WS14He85R4go+6DHNbJrkPQvlzP/2zBdSYY2vtGnFauVR0DUygYEfWBTBFkqnmBwhB+qlaw3mP5dXF4dw60QgAZDaa0c+e1fNtXHVloCp3anSt1JLBsBa+OPRb20ixBdzx4FYXF7QDKrFJrAFHBPBJTkWZwbP/RY0Fzsw+4VEFCLnqteuvHa3+W5WWR0+XFo7ykhO6zTJgeOdX1MxhmKp5Tld9beQbwuI1qEFSIXrsYE6wnqMwABi00ZlseayOvyBwtX5f8UWm54fUlHAnzJL2lrEAF58awYjSZ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E6736-53F1-405B-BB5A-761404A0F226}">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CB20B68-5461-4766-85A8-CD5B9D815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C2015-1D1D-4F15-BDDF-3F16D4106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2415</Words>
  <Characters>13767</Characters>
  <Application>Microsoft Office Word</Application>
  <DocSecurity>0</DocSecurity>
  <Lines>114</Lines>
  <Paragraphs>32</Paragraphs>
  <ScaleCrop>false</ScaleCrop>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Jackson Long</cp:lastModifiedBy>
  <cp:revision>2</cp:revision>
  <dcterms:created xsi:type="dcterms:W3CDTF">2024-10-21T12:46:00Z</dcterms:created>
  <dcterms:modified xsi:type="dcterms:W3CDTF">2024-10-21T12:46:00Z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y fmtid="{D5CDD505-2E9C-101B-9397-08002B2CF9AE}" pid="9" name="ContentTypeId">
    <vt:lpwstr>0x0101001E6E209B4BA5284598B01F9FF9BFF8B8</vt:lpwstr>
  </property>
  <property fmtid="{D5CDD505-2E9C-101B-9397-08002B2CF9AE}" pid="10" name="MediaServiceImageTags">
    <vt:lpwstr/>
  </property>
</Properties>
</file>