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985"/>
        </w:tabs>
        <w:spacing w:after="120" w:before="120" w:lineRule="auto"/>
        <w:ind w:left="1656" w:hanging="720"/>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smallCaps w:val="1"/>
          <w:color w:val="000000"/>
          <w:sz w:val="24"/>
          <w:szCs w:val="24"/>
          <w:rtl w:val="0"/>
        </w:rPr>
        <w:t xml:space="preserve">DEFINITIONS</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In this Schedule, the following expressions shall have the following meanings:</w:t>
      </w:r>
    </w:p>
    <w:tbl>
      <w:tblPr>
        <w:tblStyle w:val="Table1"/>
        <w:tblW w:w="8042.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 Review"</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"Benchmarked Deliverables"</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Rates"</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Deliverables"</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"Comparison Group"</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"Equivalent Data"</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Value"</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"Upper Quartile"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5"/>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5">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color w:val="000000"/>
          <w:sz w:val="24"/>
          <w:szCs w:val="24"/>
          <w:rtl w:val="0"/>
        </w:rPr>
        <w:t xml:space="preserve">Amounts payable under this Schedule shall not fall with the definition of a Cost.</w:t>
      </w:r>
    </w:p>
    <w:p w:rsidR="00000000" w:rsidDel="00000000" w:rsidP="00000000" w:rsidRDefault="00000000" w:rsidRPr="00000000" w14:paraId="00000019">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w:cs="Arial" w:eastAsia="Arial" w:hAnsi="Arial"/>
          <w:b w:val="1"/>
          <w:color w:val="000000"/>
          <w:sz w:val="24"/>
          <w:szCs w:val="24"/>
          <w:rtl w:val="0"/>
        </w:rPr>
        <w:t xml:space="preserve">Benchmarking</w:t>
      </w:r>
    </w:p>
    <w:p w:rsidR="00000000" w:rsidDel="00000000" w:rsidP="00000000" w:rsidRDefault="00000000" w:rsidRPr="00000000" w14:paraId="0000001A">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b w:val="1"/>
          <w:color w:val="000000"/>
          <w:sz w:val="24"/>
          <w:szCs w:val="24"/>
          <w:rtl w:val="0"/>
        </w:rPr>
        <w:t xml:space="preserve">How benchmarking works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Buyer may, by written notice to the Supplier, require a Benchmark Review of any or all of the Deliverables.</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Deliverables that are to be the Benchmarked Deliverables will be identified by the Buyer in writing.</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gjdgxs" w:id="0"/>
      <w:bookmarkEnd w:id="0"/>
      <w:r w:rsidDel="00000000" w:rsidR="00000000" w:rsidRPr="00000000">
        <w:rPr>
          <w:rFonts w:ascii="Arial" w:cs="Arial" w:eastAsia="Arial" w:hAnsi="Arial"/>
          <w:color w:val="000000"/>
          <w:sz w:val="24"/>
          <w:szCs w:val="24"/>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2">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pPr>
      <w:r w:rsidDel="00000000" w:rsidR="00000000" w:rsidRPr="00000000">
        <w:rPr>
          <w:rFonts w:ascii="Arial" w:cs="Arial" w:eastAsia="Arial" w:hAnsi="Arial"/>
          <w:b w:val="1"/>
          <w:color w:val="000000"/>
          <w:sz w:val="24"/>
          <w:szCs w:val="24"/>
          <w:rtl w:val="0"/>
        </w:rPr>
        <w:t xml:space="preserve">Benchmarking Process</w:t>
      </w:r>
    </w:p>
    <w:p w:rsidR="00000000" w:rsidDel="00000000" w:rsidP="00000000" w:rsidRDefault="00000000" w:rsidRPr="00000000" w14:paraId="00000023">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30j0zll" w:id="1"/>
      <w:bookmarkEnd w:id="1"/>
      <w:r w:rsidDel="00000000" w:rsidR="00000000" w:rsidRPr="00000000">
        <w:rPr>
          <w:rFonts w:ascii="Arial" w:cs="Arial" w:eastAsia="Arial" w:hAnsi="Arial"/>
          <w:color w:val="000000"/>
          <w:sz w:val="24"/>
          <w:szCs w:val="24"/>
          <w:rtl w:val="0"/>
        </w:rPr>
        <w:t xml:space="preserve">The benchmarker shall produce and send to the Buyer, for Approval, a draft plan for the Benchmark Review which must include:</w:t>
      </w:r>
    </w:p>
    <w:p w:rsidR="00000000" w:rsidDel="00000000" w:rsidP="00000000" w:rsidRDefault="00000000" w:rsidRPr="00000000" w14:paraId="00000024">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a proposed cost and timetable for the Benchmark Review;</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a description of how the benchmarker will scope and identify the Comparison Group. </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1fob9te" w:id="2"/>
      <w:bookmarkEnd w:id="2"/>
      <w:r w:rsidDel="00000000" w:rsidR="00000000" w:rsidRPr="00000000">
        <w:rPr>
          <w:rFonts w:ascii="Arial" w:cs="Arial" w:eastAsia="Arial" w:hAnsi="Arial"/>
          <w:color w:val="000000"/>
          <w:sz w:val="24"/>
          <w:szCs w:val="24"/>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3znysh7" w:id="3"/>
      <w:bookmarkEnd w:id="3"/>
      <w:r w:rsidDel="00000000" w:rsidR="00000000" w:rsidRPr="00000000">
        <w:rPr>
          <w:rFonts w:ascii="Arial" w:cs="Arial" w:eastAsia="Arial" w:hAnsi="Arial"/>
          <w:color w:val="000000"/>
          <w:sz w:val="24"/>
          <w:szCs w:val="24"/>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A">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Once it has received the Approval of the draft plan, the benchmarker shall:</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C">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market intelligence;</w:t>
      </w:r>
    </w:p>
    <w:p w:rsidR="00000000" w:rsidDel="00000000" w:rsidP="00000000" w:rsidRDefault="00000000" w:rsidRPr="00000000" w14:paraId="0000002D">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benchmarker’s own data and experience;</w:t>
      </w:r>
    </w:p>
    <w:p w:rsidR="00000000" w:rsidDel="00000000" w:rsidP="00000000" w:rsidRDefault="00000000" w:rsidRPr="00000000" w14:paraId="0000002E">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relevant published information; and</w:t>
      </w:r>
    </w:p>
    <w:p w:rsidR="00000000" w:rsidDel="00000000" w:rsidP="00000000" w:rsidRDefault="00000000" w:rsidRPr="00000000" w14:paraId="0000002F">
      <w:pPr>
        <w:numPr>
          <w:ilvl w:val="4"/>
          <w:numId w:val="1"/>
        </w:numPr>
        <w:pBdr>
          <w:top w:space="0" w:sz="0" w:val="nil"/>
          <w:left w:space="0" w:sz="0" w:val="nil"/>
          <w:bottom w:space="0" w:sz="0" w:val="nil"/>
          <w:right w:space="0" w:sz="0" w:val="nil"/>
          <w:between w:space="0" w:sz="0" w:val="nil"/>
        </w:pBdr>
        <w:tabs>
          <w:tab w:val="left" w:leader="none" w:pos="3119"/>
        </w:tabs>
        <w:spacing w:after="120" w:before="120" w:lineRule="auto"/>
        <w:ind w:left="1440" w:hanging="1080"/>
        <w:jc w:val="left"/>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color w:val="000000"/>
          <w:sz w:val="24"/>
          <w:szCs w:val="24"/>
          <w:rtl w:val="0"/>
        </w:rPr>
        <w:t xml:space="preserve">pursuant to Paragraph 3.2.6  below, information from other suppliers or purchasers on Comparable Rates;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using the Equivalent Data, calculate the Upper Quartile;</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determine whether or not each Benchmarked Rate is, and/or the Benchmarked Rates as a whole are, Good Value.</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tyjcwt" w:id="5"/>
      <w:bookmarkEnd w:id="5"/>
      <w:r w:rsidDel="00000000" w:rsidR="00000000" w:rsidRPr="00000000">
        <w:rPr>
          <w:rFonts w:ascii="Arial" w:cs="Arial" w:eastAsia="Arial" w:hAnsi="Arial"/>
          <w:color w:val="000000"/>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4">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bookmarkStart w:colFirst="0" w:colLast="0" w:name="_3dy6vkm" w:id="6"/>
      <w:bookmarkEnd w:id="6"/>
      <w:r w:rsidDel="00000000" w:rsidR="00000000" w:rsidRPr="00000000">
        <w:rPr>
          <w:rFonts w:ascii="Arial" w:cs="Arial" w:eastAsia="Arial" w:hAnsi="Arial"/>
          <w:color w:val="000000"/>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5">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exchange rates;</w:t>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8" w:hanging="216"/>
        <w:jc w:val="left"/>
        <w:rPr/>
      </w:pPr>
      <w:r w:rsidDel="00000000" w:rsidR="00000000" w:rsidRPr="00000000">
        <w:rPr>
          <w:rFonts w:ascii="Arial" w:cs="Arial" w:eastAsia="Arial" w:hAnsi="Arial"/>
          <w:b w:val="1"/>
          <w:color w:val="000000"/>
          <w:sz w:val="24"/>
          <w:szCs w:val="24"/>
          <w:rtl w:val="0"/>
        </w:rPr>
        <w:t xml:space="preserve">Benchmarking Report</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For the purposes of this Schedule </w:t>
      </w:r>
      <w:r w:rsidDel="00000000" w:rsidR="00000000" w:rsidRPr="00000000">
        <w:rPr>
          <w:rFonts w:ascii="Arial" w:cs="Arial" w:eastAsia="Arial" w:hAnsi="Arial"/>
          <w:b w:val="1"/>
          <w:color w:val="000000"/>
          <w:sz w:val="24"/>
          <w:szCs w:val="24"/>
          <w:rtl w:val="0"/>
        </w:rPr>
        <w:t xml:space="preserve">"Benchmarking Report"</w:t>
      </w:r>
      <w:r w:rsidDel="00000000" w:rsidR="00000000" w:rsidRPr="00000000">
        <w:rPr>
          <w:rFonts w:ascii="Arial" w:cs="Arial" w:eastAsia="Arial" w:hAnsi="Arial"/>
          <w:color w:val="000000"/>
          <w:sz w:val="24"/>
          <w:szCs w:val="24"/>
          <w:rtl w:val="0"/>
        </w:rPr>
        <w:t xml:space="preserve"> shall mean the report produced by the benchmarker following the Benchmark Review and as further described in this Schedule;</w:t>
      </w:r>
    </w:p>
    <w:p w:rsidR="00000000" w:rsidDel="00000000" w:rsidP="00000000" w:rsidRDefault="00000000" w:rsidRPr="00000000" w14:paraId="0000003A">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pPr>
      <w:r w:rsidDel="00000000" w:rsidR="00000000" w:rsidRPr="00000000">
        <w:rPr>
          <w:rFonts w:ascii="Arial" w:cs="Arial" w:eastAsia="Arial" w:hAnsi="Arial"/>
          <w:color w:val="000000"/>
          <w:sz w:val="24"/>
          <w:szCs w:val="24"/>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include a finding as to whether or not a Benchmarked Service and/or whether the Benchmarked Deliverables as a whole are, Good Value;</w:t>
      </w:r>
    </w:p>
    <w:p w:rsidR="00000000" w:rsidDel="00000000" w:rsidP="00000000" w:rsidRDefault="00000000" w:rsidRPr="00000000" w14:paraId="0000003C">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D">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563" w:hanging="720"/>
        <w:jc w:val="left"/>
        <w:rPr/>
      </w:pPr>
      <w:r w:rsidDel="00000000" w:rsidR="00000000" w:rsidRPr="00000000">
        <w:rPr>
          <w:rFonts w:ascii="Arial" w:cs="Arial" w:eastAsia="Arial" w:hAnsi="Arial"/>
          <w:color w:val="000000"/>
          <w:sz w:val="24"/>
          <w:szCs w:val="24"/>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The Parties agree that any changes required to this Contract identified in the Benchmarking Report shall be implemented at the direction of the Buyer in accordance with Clause 24 (Changing the contract).</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16 (Benchmarking)</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-13332</wp:posOffset>
          </wp:positionV>
          <wp:extent cx="849085" cy="685627"/>
          <wp:effectExtent b="0" l="0" r="0" t="0"/>
          <wp:wrapNone/>
          <wp:docPr descr="Crown Commercial Service" id="1"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