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bookmarkStart w:colFirst="0" w:colLast="0" w:name="_gjdgxs" w:id="0"/>
      <w:bookmarkEnd w:id="0"/>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5"/>
        </w:numPr>
        <w:pBdr>
          <w:top w:space="0" w:sz="0" w:val="nil"/>
          <w:left w:space="0" w:sz="0" w:val="nil"/>
          <w:bottom w:space="0" w:sz="0" w:val="nil"/>
          <w:right w:space="0" w:sz="0" w:val="nil"/>
          <w:between w:space="0" w:sz="0" w:val="nil"/>
        </w:pBdr>
        <w:spacing w:after="120" w:before="120" w:lineRule="auto"/>
        <w:ind w:left="720" w:hanging="720"/>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figures for accounting periods of other than 12 months should be scaled pro rata to produce a proforma figure for a 12 month period; and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"Cabinet Office Markets and Suppliers Team"</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w:t>
            </w:r>
            <w:r w:rsidDel="00000000" w:rsidR="00000000" w:rsidRPr="00000000">
              <w:rPr>
                <w:sz w:val="24"/>
                <w:szCs w:val="24"/>
                <w:rtl w:val="0"/>
              </w:rPr>
              <w:t xml:space="preserve">Controls</w:t>
            </w:r>
            <w:r w:rsidDel="00000000" w:rsidR="00000000" w:rsidRPr="00000000">
              <w:rPr>
                <w:rFonts w:ascii="Arial" w:cs="Arial" w:eastAsia="Arial" w:hAnsi="Arial"/>
                <w:sz w:val="24"/>
                <w:szCs w:val="24"/>
                <w:rtl w:val="0"/>
              </w:rPr>
              <w:t xml:space="preserve">” and “</w:t>
            </w:r>
            <w:r w:rsidDel="00000000" w:rsidR="00000000" w:rsidRPr="00000000">
              <w:rPr>
                <w:sz w:val="24"/>
                <w:szCs w:val="24"/>
                <w:rtl w:val="0"/>
              </w:rPr>
              <w:t xml:space="preserve">Controlled</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C">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2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2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2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2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2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Change Event Grace Period"</w:t>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a grace period agreed to by the </w:t>
            </w:r>
            <w:r w:rsidDel="00000000" w:rsidR="00000000" w:rsidRPr="00000000">
              <w:rPr>
                <w:rFonts w:ascii="Arial" w:cs="Arial" w:eastAsia="Arial" w:hAnsi="Arial"/>
                <w:sz w:val="24"/>
                <w:szCs w:val="24"/>
                <w:rtl w:val="0"/>
              </w:rPr>
              <w:t xml:space="preserve">Appropriate Authority</w:t>
            </w:r>
            <w:r w:rsidDel="00000000" w:rsidR="00000000" w:rsidRPr="00000000">
              <w:rPr>
                <w:sz w:val="24"/>
                <w:szCs w:val="24"/>
                <w:rtl w:val="0"/>
              </w:rPr>
              <w:t xml:space="preserve"> for providing CRP Information and/or updates to Business  Continuity Plan after a Corporate Change Event</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Resolvability Assessment (Structural Review)"</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part of the CRP Information relating to the Supplier Group to be provided by the Supplier in accordance with Paragraph 3 and Annex 2 of this Schedule;</w:t>
            </w:r>
            <w:r w:rsidDel="00000000" w:rsidR="00000000" w:rsidRPr="00000000">
              <w:rPr>
                <w:rtl w:val="0"/>
              </w:rPr>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sz w:val="24"/>
                <w:szCs w:val="24"/>
                <w:rtl w:val="0"/>
              </w:rPr>
              <w:t xml:space="preserve">eans</w:t>
            </w:r>
            <w:r w:rsidDel="00000000" w:rsidR="00000000" w:rsidRPr="00000000">
              <w:rPr>
                <w:rFonts w:ascii="Arial" w:cs="Arial" w:eastAsia="Arial" w:hAnsi="Arial"/>
                <w:sz w:val="24"/>
                <w:szCs w:val="24"/>
                <w:rtl w:val="0"/>
              </w:rPr>
              <w:t xml:space="preserve"> the corporate resolution planning information</w:t>
            </w:r>
            <w:r w:rsidDel="00000000" w:rsidR="00000000" w:rsidRPr="00000000">
              <w:rPr>
                <w:sz w:val="24"/>
                <w:szCs w:val="24"/>
                <w:rtl w:val="0"/>
              </w:rPr>
              <w:t xml:space="preserve">, together, the: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bookmarkStart w:colFirst="0" w:colLast="0" w:name="_1fob9te" w:id="2"/>
            <w:bookmarkEnd w:id="2"/>
            <w:r w:rsidDel="00000000" w:rsidR="00000000" w:rsidRPr="00000000">
              <w:rPr>
                <w:rtl w:val="0"/>
              </w:rPr>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9"/>
                <w:tab w:val="left" w:leader="none" w:pos="-17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a supplier where that supplier, or that supplier’s group has Annual Revenue of £50 million or more of which over 50% is generated from UK Public Sector Business;</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“Strategic Supplier”</w:t>
            </w:r>
            <w:r w:rsidDel="00000000" w:rsidR="00000000" w:rsidRPr="00000000">
              <w:rPr>
                <w:rtl w:val="0"/>
              </w:rPr>
            </w:r>
          </w:p>
        </w:tc>
        <w:tc>
          <w:tcPr/>
          <w:p w:rsidR="00000000" w:rsidDel="00000000" w:rsidP="00000000" w:rsidRDefault="00000000" w:rsidRPr="00000000" w14:paraId="00000049">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those suppliers to government listed at</w:t>
            </w:r>
            <w:r w:rsidDel="00000000" w:rsidR="00000000" w:rsidRPr="00000000">
              <w:rPr>
                <w:rtl w:val="0"/>
              </w:rPr>
            </w:r>
          </w:p>
          <w:p w:rsidR="00000000" w:rsidDel="00000000" w:rsidP="00000000" w:rsidRDefault="00000000" w:rsidRPr="00000000" w14:paraId="0000004A">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https://www.gov.uk/government/publications/strategic-suppliers;</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6">
      <w:pPr>
        <w:ind w:firstLine="1418"/>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58">
      <w:pPr>
        <w:ind w:firstLine="1418"/>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6">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60">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63">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64">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66">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6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6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6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6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6E">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6F">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72">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73">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76">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7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79">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7A">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7B">
      <w:pPr>
        <w:keepNext w:val="1"/>
        <w:numPr>
          <w:ilvl w:val="3"/>
          <w:numId w:val="1"/>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7C">
      <w:pPr>
        <w:keepNext w:val="1"/>
        <w:numPr>
          <w:ilvl w:val="3"/>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7D">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7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7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80">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81">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82">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85">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86">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87">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8A">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8C">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8D">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8F">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bookmarkStart w:colFirst="0" w:colLast="0" w:name="_2et92p0" w:id="4"/>
      <w:bookmarkEnd w:id="4"/>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94">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95">
      <w:pPr>
        <w:keepNext w:val="1"/>
        <w:numPr>
          <w:ilvl w:val="2"/>
          <w:numId w:val="1"/>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9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9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9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9A">
      <w:pPr>
        <w:numPr>
          <w:ilvl w:val="1"/>
          <w:numId w:val="1"/>
        </w:numPr>
        <w:pBdr>
          <w:top w:space="0" w:sz="0" w:val="nil"/>
          <w:left w:space="0" w:sz="0" w:val="nil"/>
          <w:bottom w:space="0" w:sz="0" w:val="nil"/>
          <w:right w:space="0" w:sz="0" w:val="nil"/>
          <w:between w:space="0" w:sz="0" w:val="nil"/>
        </w:pBdr>
        <w:spacing w:after="120" w:before="120" w:lineRule="auto"/>
        <w:ind w:left="720" w:hanging="720"/>
        <w:rPr>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Rule="auto"/>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C">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A0">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tyjcwt" w:id="5"/>
      <w:bookmarkEnd w:id="5"/>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A1">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3dy6vkm" w:id="6"/>
      <w:bookmarkEnd w:id="6"/>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A2">
      <w:pPr>
        <w:numPr>
          <w:ilvl w:val="3"/>
          <w:numId w:val="2"/>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i w:val="0"/>
          <w:smallCaps w:val="0"/>
          <w:strike w:val="0"/>
          <w:color w:val="000000"/>
          <w:sz w:val="22"/>
          <w:szCs w:val="22"/>
          <w:u w:val="none"/>
          <w:shd w:fill="auto" w:val="clear"/>
          <w:vertAlign w:val="baseline"/>
        </w:rPr>
      </w:pPr>
      <w:bookmarkStart w:colFirst="0" w:colLast="0" w:name="_1t3h5sf"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A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B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B1">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2">
      <w:pPr>
        <w:ind w:left="0" w:firstLine="0"/>
        <w:rPr>
          <w:color w:val="000000"/>
          <w:sz w:val="24"/>
          <w:szCs w:val="24"/>
        </w:rPr>
      </w:pPr>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RM6285</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B4">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B5">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B6">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esolution.planning@cabinetoffice.gov.uk" TargetMode="External"/><Relationship Id="rId7" Type="http://schemas.openxmlformats.org/officeDocument/2006/relationships/hyperlink" Target="https://www.gov.uk/government/publications/the-sourcing-and-consultancy-playbook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