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26 (Intellectual Property Rights)</w:t>
      </w:r>
    </w:p>
    <w:sdt>
      <w:sdtPr>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fldChar w:fldCharType="begin"/>
            <w:instrText xml:space="preserve"> TOC \h \u \z \t "Heading 1,3,"</w:instrText>
            <w:fldChar w:fldCharType="separate"/>
          </w: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Intellectual Property Rights – General Provisions</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and delivery of IPR created under this Contract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Licence of New IPR and Specially Written Software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Supplier Existing IPRs and Third Party IPRs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Licences in respect of Supplier Existing IPR that is not COTS Software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Licences to COTS software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Licences granted by the Buyer</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approval for Supplier to exploit Buyer Existing IPR</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00"/>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 of information on New IPR and Specially Written Software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9"/>
              <w:tab w:val="left" w:leader="none" w:pos="1274"/>
            </w:tabs>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Patents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00" w:val="clear"/>
            <w:tabs>
              <w:tab w:val="left" w:leader="none" w:pos="1134"/>
            </w:tabs>
            <w:spacing w:after="120" w:before="12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tabs>
          <w:tab w:val="left" w:leader="none" w:pos="2504"/>
        </w:tabs>
        <w:rPr/>
        <w:sectPr>
          <w:headerReference r:id="rId7" w:type="default"/>
          <w:footerReference r:id="rId8" w:type="default"/>
          <w:pgSz w:h="16838" w:w="11906" w:orient="portrait"/>
          <w:pgMar w:bottom="1797" w:top="1440" w:left="1440" w:right="1440" w:header="720" w:footer="720"/>
          <w:pgNumType w:start="1"/>
        </w:sectPr>
      </w:pPr>
      <w:bookmarkStart w:colFirst="0" w:colLast="0" w:name="_heading=h.1fob9te" w:id="2"/>
      <w:bookmarkEnd w:id="2"/>
      <w:r w:rsidDel="00000000" w:rsidR="00000000" w:rsidRPr="00000000">
        <w:rPr>
          <w:rtl w:val="0"/>
        </w:rPr>
        <w:tab/>
      </w:r>
    </w:p>
    <w:p w:rsidR="00000000" w:rsidDel="00000000" w:rsidP="00000000" w:rsidRDefault="00000000" w:rsidRPr="00000000" w14:paraId="0000000E">
      <w:pPr>
        <w:pStyle w:val="Heading1"/>
        <w:numPr>
          <w:ilvl w:val="0"/>
          <w:numId w:val="9"/>
        </w:numPr>
        <w:ind w:left="357" w:hanging="357"/>
        <w:rPr/>
      </w:pPr>
      <w:bookmarkStart w:colFirst="0" w:colLast="0" w:name="_heading=h.3znysh7" w:id="3"/>
      <w:bookmarkEnd w:id="3"/>
      <w:r w:rsidDel="00000000" w:rsidR="00000000" w:rsidRPr="00000000">
        <w:rPr>
          <w:rtl w:val="0"/>
        </w:rPr>
        <w:t xml:space="preserve">Intellectual Property Rights – General Provisions</w:t>
      </w:r>
    </w:p>
    <w:p w:rsidR="00000000" w:rsidDel="00000000" w:rsidP="00000000" w:rsidRDefault="00000000" w:rsidRPr="00000000" w14:paraId="0000000F">
      <w:pPr>
        <w:pStyle w:val="Heading2"/>
        <w:numPr>
          <w:ilvl w:val="1"/>
          <w:numId w:val="9"/>
        </w:numPr>
        <w:tabs>
          <w:tab w:val="left" w:leader="none" w:pos="1080"/>
          <w:tab w:val="left" w:leader="none" w:pos="1080"/>
        </w:tabs>
        <w:ind w:left="3132" w:hanging="579"/>
        <w:rPr/>
      </w:pPr>
      <w:r w:rsidDel="00000000" w:rsidR="00000000" w:rsidRPr="00000000">
        <w:rPr>
          <w:rtl w:val="0"/>
        </w:rPr>
        <w:t xml:space="preserve">Each Party keeps ownership of its own Existing IPR.</w:t>
      </w:r>
    </w:p>
    <w:p w:rsidR="00000000" w:rsidDel="00000000" w:rsidP="00000000" w:rsidRDefault="00000000" w:rsidRPr="00000000" w14:paraId="00000010">
      <w:pPr>
        <w:pStyle w:val="Heading2"/>
        <w:numPr>
          <w:ilvl w:val="1"/>
          <w:numId w:val="9"/>
        </w:numPr>
        <w:tabs>
          <w:tab w:val="left" w:leader="none" w:pos="1080"/>
          <w:tab w:val="left" w:leader="none" w:pos="1080"/>
        </w:tabs>
        <w:ind w:left="3132" w:hanging="579"/>
        <w:rPr/>
      </w:pPr>
      <w:r w:rsidDel="00000000" w:rsidR="00000000" w:rsidRPr="00000000">
        <w:rPr>
          <w:rtl w:val="0"/>
        </w:rPr>
        <w:t xml:space="preserve">Where either Party acquires, by operation of law, ownership of Intellectual Property Rights that is inconsistent with the requirements of this Schedule, it must assign in writing the Intellectual Property Rights concerned to the other Party on the other Party’s request (whenever made).</w:t>
      </w:r>
    </w:p>
    <w:p w:rsidR="00000000" w:rsidDel="00000000" w:rsidP="00000000" w:rsidRDefault="00000000" w:rsidRPr="00000000" w14:paraId="00000011">
      <w:pPr>
        <w:pStyle w:val="Heading2"/>
        <w:numPr>
          <w:ilvl w:val="1"/>
          <w:numId w:val="9"/>
        </w:numPr>
        <w:tabs>
          <w:tab w:val="left" w:leader="none" w:pos="1080"/>
          <w:tab w:val="left" w:leader="none" w:pos="1080"/>
        </w:tabs>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this Contract or otherwise agreed in writing.</w:t>
      </w:r>
    </w:p>
    <w:p w:rsidR="00000000" w:rsidDel="00000000" w:rsidP="00000000" w:rsidRDefault="00000000" w:rsidRPr="00000000" w14:paraId="00000012">
      <w:pPr>
        <w:pStyle w:val="Heading2"/>
        <w:numPr>
          <w:ilvl w:val="1"/>
          <w:numId w:val="9"/>
        </w:numPr>
        <w:tabs>
          <w:tab w:val="left" w:leader="none" w:pos="1080"/>
          <w:tab w:val="left" w:leader="none" w:pos="1080"/>
        </w:tabs>
        <w:ind w:left="3132" w:hanging="579"/>
        <w:rPr/>
      </w:pPr>
      <w:r w:rsidDel="00000000" w:rsidR="00000000" w:rsidRPr="00000000">
        <w:rPr>
          <w:rtl w:val="0"/>
        </w:rPr>
        <w:t xml:space="preserve">Except as expressly granted elsewhere under this Contract, neither Party acquires any right, title or interest in or to the IPR owned by the other Party or any third party.</w:t>
      </w:r>
    </w:p>
    <w:p w:rsidR="00000000" w:rsidDel="00000000" w:rsidP="00000000" w:rsidRDefault="00000000" w:rsidRPr="00000000" w14:paraId="00000013">
      <w:pPr>
        <w:pStyle w:val="Heading2"/>
        <w:numPr>
          <w:ilvl w:val="1"/>
          <w:numId w:val="9"/>
        </w:numPr>
        <w:tabs>
          <w:tab w:val="left" w:leader="none" w:pos="1080"/>
          <w:tab w:val="left" w:leader="none" w:pos="1080"/>
        </w:tabs>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4 and 5, the Supplier must, within 10 Working Days notify the Buyer:</w:t>
      </w:r>
    </w:p>
    <w:p w:rsidR="00000000" w:rsidDel="00000000" w:rsidP="00000000" w:rsidRDefault="00000000" w:rsidRPr="00000000" w14:paraId="00000014">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015">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Deliverables affected.</w:t>
      </w:r>
    </w:p>
    <w:p w:rsidR="00000000" w:rsidDel="00000000" w:rsidP="00000000" w:rsidRDefault="00000000" w:rsidRPr="00000000" w14:paraId="00000016">
      <w:pPr>
        <w:pStyle w:val="Heading2"/>
        <w:numPr>
          <w:ilvl w:val="1"/>
          <w:numId w:val="9"/>
        </w:numPr>
        <w:tabs>
          <w:tab w:val="left" w:leader="none" w:pos="1080"/>
          <w:tab w:val="left" w:leader="none" w:pos="1080"/>
        </w:tabs>
        <w:ind w:left="3132" w:hanging="579"/>
        <w:rPr/>
      </w:pPr>
      <w:r w:rsidDel="00000000" w:rsidR="00000000" w:rsidRPr="00000000">
        <w:rPr>
          <w:rtl w:val="0"/>
        </w:rPr>
        <w:t xml:space="preserve">For the avoidance of doubt:</w:t>
      </w:r>
    </w:p>
    <w:p w:rsidR="00000000" w:rsidDel="00000000" w:rsidP="00000000" w:rsidRDefault="00000000" w:rsidRPr="00000000" w14:paraId="00000017">
      <w:pPr>
        <w:pStyle w:val="Heading3"/>
        <w:numPr>
          <w:ilvl w:val="2"/>
          <w:numId w:val="9"/>
        </w:numPr>
        <w:tabs>
          <w:tab w:val="left" w:leader="none" w:pos="2160"/>
          <w:tab w:val="left" w:leader="none" w:pos="2160"/>
        </w:tabs>
        <w:ind w:left="1701" w:hanging="765"/>
        <w:rPr/>
      </w:pPr>
      <w:r w:rsidDel="00000000" w:rsidR="00000000" w:rsidRPr="00000000">
        <w:rPr>
          <w:rtl w:val="0"/>
        </w:rPr>
        <w:t xml:space="preserve">except as provided for in Paragraphs 5.3.2.2(c)(1) or 4.1.6.2 and 4.1.4, the expiry or termination of this Contract does not of itself terminate the licences granted to the Buyer under Paragraphs 4 and 5;</w:t>
      </w:r>
    </w:p>
    <w:p w:rsidR="00000000" w:rsidDel="00000000" w:rsidP="00000000" w:rsidRDefault="00000000" w:rsidRPr="00000000" w14:paraId="00000018">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award of this Contract or the ordering of any Deliverables does not constitute an authorisation by the Crown under:</w:t>
      </w:r>
    </w:p>
    <w:p w:rsidR="00000000" w:rsidDel="00000000" w:rsidP="00000000" w:rsidRDefault="00000000" w:rsidRPr="00000000" w14:paraId="00000019">
      <w:pPr>
        <w:pStyle w:val="Heading4"/>
        <w:numPr>
          <w:ilvl w:val="3"/>
          <w:numId w:val="9"/>
        </w:numPr>
        <w:tabs>
          <w:tab w:val="left" w:leader="none" w:pos="3240"/>
          <w:tab w:val="left" w:leader="none" w:pos="3240"/>
        </w:tabs>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01A">
      <w:pPr>
        <w:pStyle w:val="Heading4"/>
        <w:numPr>
          <w:ilvl w:val="3"/>
          <w:numId w:val="9"/>
        </w:numPr>
        <w:tabs>
          <w:tab w:val="left" w:leader="none" w:pos="3240"/>
          <w:tab w:val="left" w:leader="none" w:pos="3240"/>
        </w:tabs>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01B">
      <w:pPr>
        <w:pStyle w:val="Heading4"/>
        <w:numPr>
          <w:ilvl w:val="3"/>
          <w:numId w:val="1"/>
        </w:numPr>
        <w:tabs>
          <w:tab w:val="left" w:leader="none" w:pos="3240"/>
          <w:tab w:val="left" w:leader="none" w:pos="3240"/>
        </w:tabs>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01C">
      <w:pPr>
        <w:pStyle w:val="Heading1"/>
        <w:numPr>
          <w:ilvl w:val="0"/>
          <w:numId w:val="9"/>
        </w:numPr>
        <w:ind w:left="357" w:hanging="357"/>
        <w:rPr/>
      </w:pPr>
      <w:bookmarkStart w:colFirst="0" w:colLast="0" w:name="_heading=h.2et92p0" w:id="4"/>
      <w:bookmarkEnd w:id="4"/>
      <w:r w:rsidDel="00000000" w:rsidR="00000000" w:rsidRPr="00000000">
        <w:rPr>
          <w:rtl w:val="0"/>
        </w:rPr>
        <w:t xml:space="preserve">Ownership and delivery of IPR created under this Contract</w:t>
      </w:r>
    </w:p>
    <w:p w:rsidR="00000000" w:rsidDel="00000000" w:rsidP="00000000" w:rsidRDefault="00000000" w:rsidRPr="00000000" w14:paraId="0000001D">
      <w:pPr>
        <w:pStyle w:val="Heading2"/>
        <w:numPr>
          <w:ilvl w:val="1"/>
          <w:numId w:val="9"/>
        </w:numPr>
        <w:tabs>
          <w:tab w:val="left" w:leader="none" w:pos="1080"/>
          <w:tab w:val="left" w:leader="none" w:pos="1080"/>
        </w:tabs>
        <w:ind w:left="3132" w:hanging="579"/>
        <w:rPr/>
      </w:pPr>
      <w:r w:rsidDel="00000000" w:rsidR="00000000" w:rsidRPr="00000000">
        <w:rPr>
          <w:rtl w:val="0"/>
        </w:rPr>
        <w:t xml:space="preserve">Any New IPR and Specially Written Software is owned by the Supplier, including:</w:t>
      </w:r>
    </w:p>
    <w:p w:rsidR="00000000" w:rsidDel="00000000" w:rsidP="00000000" w:rsidRDefault="00000000" w:rsidRPr="00000000" w14:paraId="0000001E">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Documentation, Source Code and the Object Code of the Specially Written Software and any software elements of the New IPR; and</w:t>
      </w:r>
    </w:p>
    <w:p w:rsidR="00000000" w:rsidDel="00000000" w:rsidP="00000000" w:rsidRDefault="00000000" w:rsidRPr="00000000" w14:paraId="0000001F">
      <w:pPr>
        <w:pStyle w:val="Heading3"/>
        <w:numPr>
          <w:ilvl w:val="2"/>
          <w:numId w:val="9"/>
        </w:numPr>
        <w:tabs>
          <w:tab w:val="left" w:leader="none" w:pos="2160"/>
          <w:tab w:val="left" w:leader="none" w:pos="2160"/>
        </w:tabs>
        <w:ind w:left="1701" w:hanging="765"/>
        <w:rPr/>
      </w:pPr>
      <w:r w:rsidDel="00000000" w:rsidR="00000000" w:rsidRPr="00000000">
        <w:rPr>
          <w:rtl w:val="0"/>
        </w:rPr>
        <w:t xml:space="preserve">all build instructions, test instructions, test scripts, test data, operating instructions and other documents and tools necessary for maintaining and supporting the Specially Written Software and the New IPR,</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pStyle w:val="Heading2"/>
        <w:numPr>
          <w:ilvl w:val="1"/>
          <w:numId w:val="9"/>
        </w:numPr>
        <w:tabs>
          <w:tab w:val="left" w:leader="none" w:pos="1080"/>
          <w:tab w:val="left" w:leader="none" w:pos="1080"/>
        </w:tabs>
        <w:ind w:left="3132" w:hanging="579"/>
        <w:rPr/>
      </w:pPr>
      <w:r w:rsidDel="00000000" w:rsidR="00000000" w:rsidRPr="00000000">
        <w:rPr>
          <w:rtl w:val="0"/>
        </w:rPr>
        <w:t xml:space="preserve">Unless otherwise agreed in writing, the Supplier and the Buyer will record any Specially Written Software and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this Contract Period.</w:t>
      </w:r>
    </w:p>
    <w:p w:rsidR="00000000" w:rsidDel="00000000" w:rsidP="00000000" w:rsidRDefault="00000000" w:rsidRPr="00000000" w14:paraId="00000022">
      <w:pPr>
        <w:pStyle w:val="Heading1"/>
        <w:numPr>
          <w:ilvl w:val="0"/>
          <w:numId w:val="9"/>
        </w:numPr>
        <w:ind w:left="357" w:hanging="357"/>
        <w:rPr/>
      </w:pPr>
      <w:bookmarkStart w:colFirst="0" w:colLast="0" w:name="_heading=h.tyjcwt" w:id="5"/>
      <w:bookmarkEnd w:id="5"/>
      <w:r w:rsidDel="00000000" w:rsidR="00000000" w:rsidRPr="00000000">
        <w:rPr>
          <w:rtl w:val="0"/>
        </w:rPr>
        <w:t xml:space="preserve">Licence of New IPR and Specially Written Software</w:t>
      </w:r>
    </w:p>
    <w:p w:rsidR="00000000" w:rsidDel="00000000" w:rsidP="00000000" w:rsidRDefault="00000000" w:rsidRPr="00000000" w14:paraId="00000023">
      <w:pPr>
        <w:pStyle w:val="Heading2"/>
        <w:numPr>
          <w:ilvl w:val="1"/>
          <w:numId w:val="9"/>
        </w:numPr>
        <w:tabs>
          <w:tab w:val="left" w:leader="none" w:pos="1080"/>
          <w:tab w:val="left" w:leader="none" w:pos="1080"/>
        </w:tabs>
        <w:ind w:left="3132" w:hanging="579"/>
        <w:rPr/>
      </w:pPr>
      <w:bookmarkStart w:colFirst="0" w:colLast="0" w:name="_heading=h.3dy6vkm" w:id="6"/>
      <w:bookmarkEnd w:id="6"/>
      <w:r w:rsidDel="00000000" w:rsidR="00000000" w:rsidRPr="00000000">
        <w:rPr>
          <w:rtl w:val="0"/>
        </w:rPr>
        <w:t xml:space="preserve">The Supplier grants the Buyer a New IPR and Specially Written Software Licence on the terms set out in Paragraph 3.3 in respect of each Deliverable where:</w:t>
      </w:r>
    </w:p>
    <w:p w:rsidR="00000000" w:rsidDel="00000000" w:rsidP="00000000" w:rsidRDefault="00000000" w:rsidRPr="00000000" w14:paraId="00000024">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New IPR or Specially Written Software is embedded in the Deliverable;</w:t>
      </w:r>
    </w:p>
    <w:p w:rsidR="00000000" w:rsidDel="00000000" w:rsidP="00000000" w:rsidRDefault="00000000" w:rsidRPr="00000000" w14:paraId="00000025">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New IPR or Specially Written Software is necessary for the Buyer to use the Deliverable; or</w:t>
      </w:r>
    </w:p>
    <w:p w:rsidR="00000000" w:rsidDel="00000000" w:rsidP="00000000" w:rsidRDefault="00000000" w:rsidRPr="00000000" w14:paraId="00000026">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New IPR or Specially Written Software us used to provide the Deliverable.</w:t>
      </w:r>
    </w:p>
    <w:p w:rsidR="00000000" w:rsidDel="00000000" w:rsidP="00000000" w:rsidRDefault="00000000" w:rsidRPr="00000000" w14:paraId="00000027">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categories of New IPR or Specially Written Software set out in Paragraph 3.1 are mutually exclusive.</w:t>
      </w:r>
    </w:p>
    <w:p w:rsidR="00000000" w:rsidDel="00000000" w:rsidP="00000000" w:rsidRDefault="00000000" w:rsidRPr="00000000" w14:paraId="00000028">
      <w:pPr>
        <w:pStyle w:val="Heading2"/>
        <w:numPr>
          <w:ilvl w:val="1"/>
          <w:numId w:val="9"/>
        </w:numPr>
        <w:tabs>
          <w:tab w:val="left" w:leader="none" w:pos="1080"/>
          <w:tab w:val="left" w:leader="none" w:pos="1080"/>
        </w:tabs>
        <w:ind w:left="3132" w:hanging="579"/>
        <w:rPr/>
      </w:pPr>
      <w:bookmarkStart w:colFirst="0" w:colLast="0" w:name="_heading=h.1t3h5sf" w:id="7"/>
      <w:bookmarkEnd w:id="7"/>
      <w:r w:rsidDel="00000000" w:rsidR="00000000" w:rsidRPr="00000000">
        <w:rPr>
          <w:rtl w:val="0"/>
        </w:rPr>
        <w:t xml:space="preserve">The New IPR and Specially Written Software Licence granted by the Supplier to the Buyer is a non-exclusive, royalty-free, irrevocable, transferable, sub-licensable, worldwide licence that:</w:t>
      </w:r>
    </w:p>
    <w:p w:rsidR="00000000" w:rsidDel="00000000" w:rsidP="00000000" w:rsidRDefault="00000000" w:rsidRPr="00000000" w14:paraId="00000029">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case of New IPR or Specially Written Software embedded in a Deliverable or is used to provide the Deliverable:</w:t>
      </w:r>
    </w:p>
    <w:p w:rsidR="00000000" w:rsidDel="00000000" w:rsidP="00000000" w:rsidRDefault="00000000" w:rsidRPr="00000000" w14:paraId="0000002A">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sub-licensable;</w:t>
      </w:r>
    </w:p>
    <w:p w:rsidR="00000000" w:rsidDel="00000000" w:rsidP="00000000" w:rsidRDefault="00000000" w:rsidRPr="00000000" w14:paraId="0000002B">
      <w:pPr>
        <w:pStyle w:val="Heading4"/>
        <w:numPr>
          <w:ilvl w:val="3"/>
          <w:numId w:val="9"/>
        </w:numPr>
        <w:tabs>
          <w:tab w:val="left" w:leader="none" w:pos="3240"/>
          <w:tab w:val="left" w:leader="none" w:pos="3240"/>
        </w:tabs>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02C">
      <w:pPr>
        <w:pStyle w:val="Heading4"/>
        <w:numPr>
          <w:ilvl w:val="3"/>
          <w:numId w:val="9"/>
        </w:numPr>
        <w:tabs>
          <w:tab w:val="left" w:leader="none" w:pos="3240"/>
          <w:tab w:val="left" w:leader="none" w:pos="3240"/>
        </w:tabs>
        <w:ind w:left="2591" w:hanging="935"/>
        <w:rPr/>
      </w:pPr>
      <w:r w:rsidDel="00000000" w:rsidR="00000000" w:rsidRPr="00000000">
        <w:rPr>
          <w:rtl w:val="0"/>
        </w:rPr>
        <w:t xml:space="preserve">allows the Buyer and any transferee or sub-licensee to use, copy and adapt the New IPR or Specially Written Software for any of the purposes set out in Paragraph 3.4;</w:t>
      </w:r>
    </w:p>
    <w:p w:rsidR="00000000" w:rsidDel="00000000" w:rsidP="00000000" w:rsidRDefault="00000000" w:rsidRPr="00000000" w14:paraId="0000002D">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case of New IPR or Specially Written Software that is necessary for the Buyer to receive or use the Deliverable:</w:t>
      </w:r>
    </w:p>
    <w:p w:rsidR="00000000" w:rsidDel="00000000" w:rsidP="00000000" w:rsidRDefault="00000000" w:rsidRPr="00000000" w14:paraId="0000002E">
      <w:pPr>
        <w:pStyle w:val="Heading4"/>
        <w:numPr>
          <w:ilvl w:val="3"/>
          <w:numId w:val="9"/>
        </w:numPr>
        <w:tabs>
          <w:tab w:val="left" w:leader="none" w:pos="3240"/>
          <w:tab w:val="left" w:leader="none" w:pos="3240"/>
        </w:tabs>
        <w:ind w:left="2591" w:hanging="935"/>
        <w:rPr/>
      </w:pPr>
      <w:r w:rsidDel="00000000" w:rsidR="00000000" w:rsidRPr="00000000">
        <w:rPr>
          <w:rtl w:val="0"/>
        </w:rPr>
        <w:t xml:space="preserve">allows the Buyer and any transferee or sublicensee to use and copy, but not adapt, disassemble or reverse engineer the relevant New IPR or Specially Written Software for any of the purposes set out in Paragraph 3.4;</w:t>
      </w:r>
    </w:p>
    <w:p w:rsidR="00000000" w:rsidDel="00000000" w:rsidP="00000000" w:rsidRDefault="00000000" w:rsidRPr="00000000" w14:paraId="0000002F">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transferrable to only:</w:t>
      </w:r>
    </w:p>
    <w:p w:rsidR="00000000" w:rsidDel="00000000" w:rsidP="00000000" w:rsidRDefault="00000000" w:rsidRPr="00000000" w14:paraId="00000030">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 Crown Body;</w:t>
      </w:r>
    </w:p>
    <w:p w:rsidR="00000000" w:rsidDel="00000000" w:rsidP="00000000" w:rsidRDefault="00000000" w:rsidRPr="00000000" w14:paraId="00000031">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032">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033">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34">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enters into a confidentiality arrangement with the Buyer in terms equivalent to those set out in set out in Clause 15 (What you must keep confidential); </w:t>
      </w:r>
    </w:p>
    <w:p w:rsidR="00000000" w:rsidDel="00000000" w:rsidP="00000000" w:rsidRDefault="00000000" w:rsidRPr="00000000" w14:paraId="00000035">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036">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37">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confidentiality arrangement with the Buyer in terms equivalent to those set out in set out in Clause 15 (What you must keep confidential);</w:t>
      </w:r>
    </w:p>
    <w:p w:rsidR="00000000" w:rsidDel="00000000" w:rsidP="00000000" w:rsidRDefault="00000000" w:rsidRPr="00000000" w14:paraId="00000038">
      <w:pPr>
        <w:pStyle w:val="Heading3"/>
        <w:numPr>
          <w:ilvl w:val="2"/>
          <w:numId w:val="9"/>
        </w:numPr>
        <w:tabs>
          <w:tab w:val="left" w:leader="none" w:pos="2160"/>
          <w:tab w:val="left" w:leader="none" w:pos="2160"/>
        </w:tabs>
        <w:ind w:left="1701" w:hanging="765"/>
        <w:rPr/>
      </w:pPr>
      <w:r w:rsidDel="00000000" w:rsidR="00000000" w:rsidRPr="00000000">
        <w:rPr>
          <w:rtl w:val="0"/>
        </w:rPr>
        <w:t xml:space="preserve">continues in effect following the expiry or earlier termination of this Contract; and</w:t>
      </w:r>
    </w:p>
    <w:p w:rsidR="00000000" w:rsidDel="00000000" w:rsidP="00000000" w:rsidRDefault="00000000" w:rsidRPr="00000000" w14:paraId="00000039">
      <w:pPr>
        <w:pStyle w:val="Heading3"/>
        <w:numPr>
          <w:ilvl w:val="2"/>
          <w:numId w:val="9"/>
        </w:numPr>
        <w:tabs>
          <w:tab w:val="left" w:leader="none" w:pos="2160"/>
          <w:tab w:val="left" w:leader="none" w:pos="2160"/>
        </w:tabs>
        <w:ind w:left="1701" w:hanging="765"/>
        <w:rPr/>
      </w:pPr>
      <w:r w:rsidDel="00000000" w:rsidR="00000000" w:rsidRPr="00000000">
        <w:rPr>
          <w:rtl w:val="0"/>
        </w:rPr>
        <w:t xml:space="preserve">is subject to the restrictions that:</w:t>
      </w:r>
    </w:p>
    <w:p w:rsidR="00000000" w:rsidDel="00000000" w:rsidP="00000000" w:rsidRDefault="00000000" w:rsidRPr="00000000" w14:paraId="0000003A">
      <w:pPr>
        <w:pStyle w:val="Heading4"/>
        <w:numPr>
          <w:ilvl w:val="3"/>
          <w:numId w:val="9"/>
        </w:numPr>
        <w:tabs>
          <w:tab w:val="left" w:leader="none" w:pos="3240"/>
          <w:tab w:val="left" w:leader="none" w:pos="3240"/>
        </w:tabs>
        <w:ind w:left="2591" w:hanging="935"/>
        <w:rPr/>
      </w:pPr>
      <w:r w:rsidDel="00000000" w:rsidR="00000000" w:rsidRPr="00000000">
        <w:rPr>
          <w:rtl w:val="0"/>
        </w:rPr>
        <w:t xml:space="preserve">each transferee or sub-licensee either:</w:t>
      </w:r>
    </w:p>
    <w:p w:rsidR="00000000" w:rsidDel="00000000" w:rsidP="00000000" w:rsidRDefault="00000000" w:rsidRPr="00000000" w14:paraId="0000003B">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3C">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confidentiality arrangement with the Buyer in terms equivalent to those set out in set out in Clause 15 (What you must keep confidential); and</w:t>
      </w:r>
    </w:p>
    <w:p w:rsidR="00000000" w:rsidDel="00000000" w:rsidP="00000000" w:rsidRDefault="00000000" w:rsidRPr="00000000" w14:paraId="0000003D">
      <w:pPr>
        <w:pStyle w:val="Heading4"/>
        <w:numPr>
          <w:ilvl w:val="3"/>
          <w:numId w:val="9"/>
        </w:numPr>
        <w:tabs>
          <w:tab w:val="left" w:leader="none" w:pos="3240"/>
          <w:tab w:val="left" w:leader="none" w:pos="3240"/>
        </w:tabs>
        <w:ind w:left="2591" w:hanging="935"/>
        <w:rPr/>
      </w:pPr>
      <w:r w:rsidDel="00000000" w:rsidR="00000000" w:rsidRPr="00000000">
        <w:rPr>
          <w:rtl w:val="0"/>
        </w:rPr>
        <w:t xml:space="preserve">no sub-licence granted to the New IPR or Specially Written Software shall purport to provide the sub-licensee with any wider rights than those granted to the Buyer under this Paragraph.</w:t>
      </w:r>
    </w:p>
    <w:p w:rsidR="00000000" w:rsidDel="00000000" w:rsidP="00000000" w:rsidRDefault="00000000" w:rsidRPr="00000000" w14:paraId="0000003E">
      <w:pPr>
        <w:pStyle w:val="Heading2"/>
        <w:numPr>
          <w:ilvl w:val="1"/>
          <w:numId w:val="9"/>
        </w:numPr>
        <w:tabs>
          <w:tab w:val="left" w:leader="none" w:pos="1080"/>
          <w:tab w:val="left" w:leader="none" w:pos="1080"/>
        </w:tabs>
        <w:ind w:left="3132" w:hanging="579"/>
        <w:rPr/>
      </w:pPr>
      <w:bookmarkStart w:colFirst="0" w:colLast="0" w:name="_heading=h.4d34og8" w:id="8"/>
      <w:bookmarkEnd w:id="8"/>
      <w:r w:rsidDel="00000000" w:rsidR="00000000" w:rsidRPr="00000000">
        <w:rPr>
          <w:rtl w:val="0"/>
        </w:rPr>
        <w:t xml:space="preserve">For the purposes of Paragraphs 3.1 and 3.3, the relevant purpose is:</w:t>
      </w:r>
    </w:p>
    <w:p w:rsidR="00000000" w:rsidDel="00000000" w:rsidP="00000000" w:rsidRDefault="00000000" w:rsidRPr="00000000" w14:paraId="0000003F">
      <w:pPr>
        <w:pStyle w:val="Heading3"/>
        <w:numPr>
          <w:ilvl w:val="2"/>
          <w:numId w:val="9"/>
        </w:numPr>
        <w:tabs>
          <w:tab w:val="left" w:leader="none" w:pos="2160"/>
          <w:tab w:val="left" w:leader="none" w:pos="2160"/>
        </w:tabs>
        <w:ind w:left="1701" w:hanging="765"/>
        <w:rPr/>
      </w:pPr>
      <w:r w:rsidDel="00000000" w:rsidR="00000000" w:rsidRPr="00000000">
        <w:rPr>
          <w:rtl w:val="0"/>
        </w:rPr>
        <w:t xml:space="preserve">to allow the Buyer or any End User to receive and use the Deliverables.</w:t>
      </w:r>
    </w:p>
    <w:p w:rsidR="00000000" w:rsidDel="00000000" w:rsidP="00000000" w:rsidRDefault="00000000" w:rsidRPr="00000000" w14:paraId="00000040">
      <w:pPr>
        <w:pStyle w:val="Heading2"/>
        <w:numPr>
          <w:ilvl w:val="1"/>
          <w:numId w:val="9"/>
        </w:numPr>
        <w:tabs>
          <w:tab w:val="left" w:leader="none" w:pos="1080"/>
          <w:tab w:val="left" w:leader="none" w:pos="1080"/>
        </w:tabs>
        <w:ind w:left="3132" w:hanging="579"/>
        <w:rPr/>
      </w:pPr>
      <w:r w:rsidDel="00000000" w:rsidR="00000000" w:rsidRPr="00000000">
        <w:rPr>
          <w:rtl w:val="0"/>
        </w:rPr>
        <w:t xml:space="preserve">Where the legal status of the Buyer changes, such that it ceases to be a Crown Body:</w:t>
      </w:r>
    </w:p>
    <w:p w:rsidR="00000000" w:rsidDel="00000000" w:rsidP="00000000" w:rsidRDefault="00000000" w:rsidRPr="00000000" w14:paraId="00000041">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New IPR and Specially Written Software Licence is unaffected; and</w:t>
      </w:r>
    </w:p>
    <w:p w:rsidR="00000000" w:rsidDel="00000000" w:rsidP="00000000" w:rsidRDefault="00000000" w:rsidRPr="00000000" w14:paraId="00000042">
      <w:pPr>
        <w:pStyle w:val="Heading3"/>
        <w:numPr>
          <w:ilvl w:val="2"/>
          <w:numId w:val="9"/>
        </w:numPr>
        <w:tabs>
          <w:tab w:val="left" w:leader="none" w:pos="2160"/>
          <w:tab w:val="left" w:leader="none" w:pos="2160"/>
        </w:tabs>
        <w:ind w:left="1701" w:hanging="765"/>
        <w:rPr/>
      </w:pPr>
      <w:r w:rsidDel="00000000" w:rsidR="00000000" w:rsidRPr="00000000">
        <w:rPr>
          <w:rtl w:val="0"/>
        </w:rPr>
        <w:t xml:space="preserve">any successor body of the Buyer that is a Crown Body shall have the benefit of the New IPR and Specially Written Software Licence.</w:t>
      </w:r>
    </w:p>
    <w:p w:rsidR="00000000" w:rsidDel="00000000" w:rsidP="00000000" w:rsidRDefault="00000000" w:rsidRPr="00000000" w14:paraId="00000043">
      <w:pPr>
        <w:pStyle w:val="Heading1"/>
        <w:numPr>
          <w:ilvl w:val="0"/>
          <w:numId w:val="9"/>
        </w:numPr>
        <w:ind w:left="357" w:hanging="357"/>
        <w:rPr/>
      </w:pPr>
      <w:bookmarkStart w:colFirst="0" w:colLast="0" w:name="_heading=h.2s8eyo1" w:id="9"/>
      <w:bookmarkEnd w:id="9"/>
      <w:r w:rsidDel="00000000" w:rsidR="00000000" w:rsidRPr="00000000">
        <w:rPr>
          <w:rtl w:val="0"/>
        </w:rPr>
        <w:t xml:space="preserve">Use of Supplier Existing IPRs and Third Party IPRs</w:t>
      </w:r>
    </w:p>
    <w:p w:rsidR="00000000" w:rsidDel="00000000" w:rsidP="00000000" w:rsidRDefault="00000000" w:rsidRPr="00000000" w14:paraId="00000044">
      <w:pPr>
        <w:pStyle w:val="Heading2"/>
        <w:numPr>
          <w:ilvl w:val="1"/>
          <w:numId w:val="9"/>
        </w:numPr>
        <w:tabs>
          <w:tab w:val="left" w:leader="none" w:pos="1080"/>
          <w:tab w:val="left" w:leader="none" w:pos="1080"/>
        </w:tabs>
        <w:ind w:left="3132" w:hanging="579"/>
        <w:rPr/>
      </w:pPr>
      <w:bookmarkStart w:colFirst="0" w:colLast="0" w:name="_heading=h.17dp8vu" w:id="10"/>
      <w:bookmarkEnd w:id="10"/>
      <w:r w:rsidDel="00000000" w:rsidR="00000000" w:rsidRPr="00000000">
        <w:rPr>
          <w:rtl w:val="0"/>
        </w:rPr>
        <w:t xml:space="preserve">The Supplier must not: </w:t>
      </w:r>
    </w:p>
    <w:p w:rsidR="00000000" w:rsidDel="00000000" w:rsidP="00000000" w:rsidRDefault="00000000" w:rsidRPr="00000000" w14:paraId="00000045">
      <w:pPr>
        <w:pStyle w:val="Heading3"/>
        <w:numPr>
          <w:ilvl w:val="2"/>
          <w:numId w:val="9"/>
        </w:numPr>
        <w:tabs>
          <w:tab w:val="left" w:leader="none" w:pos="2160"/>
          <w:tab w:val="left" w:leader="none" w:pos="2160"/>
        </w:tabs>
        <w:ind w:left="1701" w:hanging="765"/>
        <w:rPr/>
      </w:pPr>
      <w:r w:rsidDel="00000000" w:rsidR="00000000" w:rsidRPr="00000000">
        <w:rPr>
          <w:rtl w:val="0"/>
        </w:rPr>
        <w:t xml:space="preserve">embed Supplier Existing IPRs or Third Party IPRs in a Deliverable;</w:t>
      </w:r>
    </w:p>
    <w:p w:rsidR="00000000" w:rsidDel="00000000" w:rsidP="00000000" w:rsidRDefault="00000000" w:rsidRPr="00000000" w14:paraId="00000046">
      <w:pPr>
        <w:pStyle w:val="Heading3"/>
        <w:numPr>
          <w:ilvl w:val="2"/>
          <w:numId w:val="9"/>
        </w:numPr>
        <w:tabs>
          <w:tab w:val="left" w:leader="none" w:pos="2160"/>
          <w:tab w:val="left" w:leader="none" w:pos="2160"/>
        </w:tabs>
        <w:ind w:left="1701" w:hanging="765"/>
        <w:rPr/>
      </w:pPr>
      <w:r w:rsidDel="00000000" w:rsidR="00000000" w:rsidRPr="00000000">
        <w:rPr>
          <w:rtl w:val="0"/>
        </w:rPr>
        <w:t xml:space="preserve">provide any Deliverable that requires Supplier Existing IPRs or Third Party IPRs to use that Deliverable its intended purpose; or</w:t>
      </w:r>
    </w:p>
    <w:p w:rsidR="00000000" w:rsidDel="00000000" w:rsidP="00000000" w:rsidRDefault="00000000" w:rsidRPr="00000000" w14:paraId="00000047">
      <w:pPr>
        <w:pStyle w:val="Heading3"/>
        <w:numPr>
          <w:ilvl w:val="2"/>
          <w:numId w:val="9"/>
        </w:numPr>
        <w:tabs>
          <w:tab w:val="left" w:leader="none" w:pos="2160"/>
          <w:tab w:val="left" w:leader="none" w:pos="2160"/>
        </w:tabs>
        <w:ind w:left="1701" w:hanging="765"/>
        <w:rPr/>
      </w:pPr>
      <w:r w:rsidDel="00000000" w:rsidR="00000000" w:rsidRPr="00000000">
        <w:rPr>
          <w:rtl w:val="0"/>
        </w:rPr>
        <w:t xml:space="preserve">provide any Deliverable that is a customisation or adaptation of those Supplier Existing IPRs or Third Party IPRs,</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one or more of the following conditions apply:</w:t>
      </w:r>
      <w:r w:rsidDel="00000000" w:rsidR="00000000" w:rsidRPr="00000000">
        <w:rPr>
          <w:rtl w:val="0"/>
        </w:rPr>
      </w:r>
    </w:p>
    <w:p w:rsidR="00000000" w:rsidDel="00000000" w:rsidP="00000000" w:rsidRDefault="00000000" w:rsidRPr="00000000" w14:paraId="00000049">
      <w:pPr>
        <w:pStyle w:val="Heading3"/>
        <w:numPr>
          <w:ilvl w:val="2"/>
          <w:numId w:val="9"/>
        </w:numPr>
        <w:tabs>
          <w:tab w:val="left" w:leader="none" w:pos="2160"/>
          <w:tab w:val="left" w:leader="none" w:pos="2160"/>
        </w:tabs>
        <w:ind w:left="1701" w:hanging="765"/>
        <w:rPr/>
      </w:pPr>
      <w:bookmarkStart w:colFirst="0" w:colLast="0" w:name="_heading=h.3rdcrjn" w:id="11"/>
      <w:bookmarkEnd w:id="11"/>
      <w:r w:rsidDel="00000000" w:rsidR="00000000" w:rsidRPr="00000000">
        <w:rPr>
          <w:rtl w:val="0"/>
        </w:rPr>
        <w:t xml:space="preserve">for any Supplier Existing IPRs or Third Party IPRs that are not COTS Software, the Buyer provides Approval after receiving full details of the Supplier Existing IPRs or Third Party IPRs and their relationship to the Deliverables; </w:t>
      </w:r>
    </w:p>
    <w:p w:rsidR="00000000" w:rsidDel="00000000" w:rsidP="00000000" w:rsidRDefault="00000000" w:rsidRPr="00000000" w14:paraId="0000004A">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case of Supplier Existing IPRs or Third Party IPRs that are, in each case, COTS Software all the following conditions are met:</w:t>
      </w:r>
    </w:p>
    <w:p w:rsidR="00000000" w:rsidDel="00000000" w:rsidP="00000000" w:rsidRDefault="00000000" w:rsidRPr="00000000" w14:paraId="0000004B">
      <w:pPr>
        <w:pStyle w:val="Heading4"/>
        <w:numPr>
          <w:ilvl w:val="3"/>
          <w:numId w:val="9"/>
        </w:numPr>
        <w:tabs>
          <w:tab w:val="left" w:leader="none" w:pos="3240"/>
          <w:tab w:val="left" w:leader="none" w:pos="3240"/>
        </w:tabs>
        <w:ind w:left="2591" w:hanging="935"/>
        <w:rPr/>
      </w:pPr>
      <w:r w:rsidDel="00000000" w:rsidR="00000000" w:rsidRPr="00000000">
        <w:rPr>
          <w:rtl w:val="0"/>
        </w:rPr>
        <w:t xml:space="preserve">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00000000" w:rsidDel="00000000" w:rsidP="00000000" w:rsidRDefault="00000000" w:rsidRPr="00000000" w14:paraId="0000004C">
      <w:pPr>
        <w:pStyle w:val="Heading4"/>
        <w:numPr>
          <w:ilvl w:val="3"/>
          <w:numId w:val="9"/>
        </w:numPr>
        <w:tabs>
          <w:tab w:val="left" w:leader="none" w:pos="3240"/>
          <w:tab w:val="left" w:leader="none" w:pos="3240"/>
        </w:tabs>
        <w:ind w:left="2591" w:hanging="935"/>
        <w:rPr/>
      </w:pPr>
      <w:r w:rsidDel="00000000" w:rsidR="00000000" w:rsidRPr="00000000">
        <w:rPr>
          <w:rtl w:val="0"/>
        </w:rPr>
        <w:t xml:space="preserve">the Buyer has not (in its absolute discretion) rejected those licence terms within ten (10) Working Days of the date on which they were provided to the Buyer;</w:t>
      </w:r>
    </w:p>
    <w:p w:rsidR="00000000" w:rsidDel="00000000" w:rsidP="00000000" w:rsidRDefault="00000000" w:rsidRPr="00000000" w14:paraId="0000004D">
      <w:pPr>
        <w:pStyle w:val="Heading3"/>
        <w:numPr>
          <w:ilvl w:val="2"/>
          <w:numId w:val="9"/>
        </w:numPr>
        <w:tabs>
          <w:tab w:val="left" w:leader="none" w:pos="2160"/>
          <w:tab w:val="left" w:leader="none" w:pos="2160"/>
        </w:tabs>
        <w:ind w:left="1701" w:hanging="765"/>
        <w:rPr/>
      </w:pPr>
      <w:bookmarkStart w:colFirst="0" w:colLast="0" w:name="_heading=h.26in1rg" w:id="12"/>
      <w:bookmarkEnd w:id="12"/>
      <w:r w:rsidDel="00000000" w:rsidR="00000000" w:rsidRPr="00000000">
        <w:rPr>
          <w:rtl w:val="0"/>
        </w:rPr>
        <w:t xml:space="preserve">in the case of Third Party IPRs that are not COTS Software, the Buyer provides approval under Paragraph 4.1.4 and one of the following conditions is met:</w:t>
      </w:r>
    </w:p>
    <w:p w:rsidR="00000000" w:rsidDel="00000000" w:rsidP="00000000" w:rsidRDefault="00000000" w:rsidRPr="00000000" w14:paraId="0000004E">
      <w:pPr>
        <w:pStyle w:val="Heading4"/>
        <w:numPr>
          <w:ilvl w:val="3"/>
          <w:numId w:val="9"/>
        </w:numPr>
        <w:tabs>
          <w:tab w:val="left" w:leader="none" w:pos="3240"/>
          <w:tab w:val="left" w:leader="none" w:pos="3240"/>
        </w:tabs>
        <w:ind w:left="2591" w:hanging="935"/>
        <w:rPr/>
      </w:pPr>
      <w:bookmarkStart w:colFirst="0" w:colLast="0" w:name="_heading=h.lnxbz9" w:id="13"/>
      <w:bookmarkEnd w:id="13"/>
      <w:r w:rsidDel="00000000" w:rsidR="00000000" w:rsidRPr="00000000">
        <w:rPr>
          <w:rtl w:val="0"/>
        </w:rPr>
        <w:t xml:space="preserve">the owner or an authorised licensor of the relevant Third Party IPR has granted a direct Third Party IPR Licence on the terms set out in Paragraph 3.3, as if:</w:t>
      </w:r>
    </w:p>
    <w:p w:rsidR="00000000" w:rsidDel="00000000" w:rsidP="00000000" w:rsidRDefault="00000000" w:rsidRPr="00000000" w14:paraId="0000004F">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term Third Party IPRs were substituted for the term Supplier Existing IPR; and</w:t>
      </w:r>
    </w:p>
    <w:p w:rsidR="00000000" w:rsidDel="00000000" w:rsidP="00000000" w:rsidRDefault="00000000" w:rsidRPr="00000000" w14:paraId="00000050">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term “third party” were substituted for the term Supplier,</w:t>
      </w:r>
    </w:p>
    <w:p w:rsidR="00000000" w:rsidDel="00000000" w:rsidP="00000000" w:rsidRDefault="00000000" w:rsidRPr="00000000" w14:paraId="00000051">
      <w:pPr>
        <w:pStyle w:val="Heading5"/>
        <w:tabs>
          <w:tab w:val="left" w:leader="none" w:pos="3960"/>
          <w:tab w:val="left" w:leader="none" w:pos="3960"/>
        </w:tabs>
        <w:ind w:left="1656" w:firstLine="2591"/>
        <w:rPr/>
      </w:pPr>
      <w:r w:rsidDel="00000000" w:rsidR="00000000" w:rsidRPr="00000000">
        <w:rPr>
          <w:rtl w:val="0"/>
        </w:rPr>
        <w:t xml:space="preserve">in each place they occur; or</w:t>
      </w:r>
    </w:p>
    <w:p w:rsidR="00000000" w:rsidDel="00000000" w:rsidP="00000000" w:rsidRDefault="00000000" w:rsidRPr="00000000" w14:paraId="00000052">
      <w:pPr>
        <w:pStyle w:val="Heading4"/>
        <w:numPr>
          <w:ilvl w:val="3"/>
          <w:numId w:val="9"/>
        </w:numPr>
        <w:tabs>
          <w:tab w:val="left" w:leader="none" w:pos="3240"/>
          <w:tab w:val="left" w:leader="none" w:pos="3240"/>
        </w:tabs>
        <w:ind w:left="2591" w:hanging="935"/>
        <w:rPr/>
      </w:pPr>
      <w:bookmarkStart w:colFirst="0" w:colLast="0" w:name="_heading=h.35nkun2" w:id="14"/>
      <w:bookmarkEnd w:id="14"/>
      <w:r w:rsidDel="00000000" w:rsidR="00000000" w:rsidRPr="00000000">
        <w:rPr>
          <w:rtl w:val="0"/>
        </w:rPr>
        <w:t xml:space="preserve">if the Supplier cannot, after commercially reasonable endeavours, obtain for the Buyer a Third Party IPR licence as set out in Paragraph 4.1.6.1, all the following conditions are met:</w:t>
      </w:r>
    </w:p>
    <w:p w:rsidR="00000000" w:rsidDel="00000000" w:rsidP="00000000" w:rsidRDefault="00000000" w:rsidRPr="00000000" w14:paraId="00000053">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054">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055">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056">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Buyer Approves the licence terms of one of those third parties; and</w:t>
      </w:r>
    </w:p>
    <w:p w:rsidR="00000000" w:rsidDel="00000000" w:rsidP="00000000" w:rsidRDefault="00000000" w:rsidRPr="00000000" w14:paraId="00000057">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owner and authorised licensor of the Third Party IPR has granted a direct licence of the Third Party IPR to the Buyer on those terms.</w:t>
      </w:r>
    </w:p>
    <w:p w:rsidR="00000000" w:rsidDel="00000000" w:rsidP="00000000" w:rsidRDefault="00000000" w:rsidRPr="00000000" w14:paraId="00000058">
      <w:pPr>
        <w:pStyle w:val="Heading2"/>
        <w:numPr>
          <w:ilvl w:val="1"/>
          <w:numId w:val="9"/>
        </w:numPr>
        <w:tabs>
          <w:tab w:val="left" w:leader="none" w:pos="1080"/>
          <w:tab w:val="left" w:leader="none" w:pos="1080"/>
        </w:tabs>
        <w:ind w:left="3132" w:hanging="579"/>
        <w:rPr/>
      </w:pPr>
      <w:r w:rsidDel="00000000" w:rsidR="00000000" w:rsidRPr="00000000">
        <w:rPr>
          <w:rtl w:val="0"/>
        </w:rPr>
        <w:t xml:space="preserve">Where the Buyer has not rejected Supplier Existing IPRs or Third Party IPRs that are, in each case, COTS Software, the Supplier must notify the Buyer within five (5) Working Days of becoming aware that any of that COTS Software will in the next thirty-six (36) months no longer be:</w:t>
      </w:r>
    </w:p>
    <w:p w:rsidR="00000000" w:rsidDel="00000000" w:rsidP="00000000" w:rsidRDefault="00000000" w:rsidRPr="00000000" w14:paraId="00000059">
      <w:pPr>
        <w:pStyle w:val="Heading3"/>
        <w:numPr>
          <w:ilvl w:val="2"/>
          <w:numId w:val="9"/>
        </w:numPr>
        <w:tabs>
          <w:tab w:val="left" w:leader="none" w:pos="2160"/>
          <w:tab w:val="left" w:leader="none" w:pos="2160"/>
        </w:tabs>
        <w:ind w:left="1701" w:hanging="765"/>
        <w:rPr/>
      </w:pPr>
      <w:r w:rsidDel="00000000" w:rsidR="00000000" w:rsidRPr="00000000">
        <w:rPr>
          <w:rtl w:val="0"/>
        </w:rPr>
        <w:t xml:space="preserve">maintained or supported by the developer; or</w:t>
      </w:r>
    </w:p>
    <w:p w:rsidR="00000000" w:rsidDel="00000000" w:rsidP="00000000" w:rsidRDefault="00000000" w:rsidRPr="00000000" w14:paraId="0000005A">
      <w:pPr>
        <w:pStyle w:val="Heading3"/>
        <w:numPr>
          <w:ilvl w:val="2"/>
          <w:numId w:val="9"/>
        </w:numPr>
        <w:tabs>
          <w:tab w:val="left" w:leader="none" w:pos="2160"/>
          <w:tab w:val="left" w:leader="none" w:pos="2160"/>
        </w:tabs>
        <w:ind w:left="1701" w:hanging="765"/>
        <w:rPr/>
      </w:pPr>
      <w:r w:rsidDel="00000000" w:rsidR="00000000" w:rsidRPr="00000000">
        <w:rPr>
          <w:rtl w:val="0"/>
        </w:rPr>
        <w:t xml:space="preserve">made commercially available.</w:t>
      </w:r>
    </w:p>
    <w:p w:rsidR="00000000" w:rsidDel="00000000" w:rsidP="00000000" w:rsidRDefault="00000000" w:rsidRPr="00000000" w14:paraId="0000005B">
      <w:pPr>
        <w:pStyle w:val="Heading1"/>
        <w:numPr>
          <w:ilvl w:val="0"/>
          <w:numId w:val="9"/>
        </w:numPr>
        <w:ind w:left="357" w:hanging="357"/>
        <w:rPr/>
      </w:pPr>
      <w:bookmarkStart w:colFirst="0" w:colLast="0" w:name="_heading=h.1ksv4uv" w:id="15"/>
      <w:bookmarkEnd w:id="15"/>
      <w:r w:rsidDel="00000000" w:rsidR="00000000" w:rsidRPr="00000000">
        <w:rPr>
          <w:rtl w:val="0"/>
        </w:rPr>
        <w:t xml:space="preserve">Licences in respect of Supplier Existing IPR that is not COTS Software</w:t>
      </w:r>
    </w:p>
    <w:p w:rsidR="00000000" w:rsidDel="00000000" w:rsidP="00000000" w:rsidRDefault="00000000" w:rsidRPr="00000000" w14:paraId="0000005C">
      <w:pPr>
        <w:pStyle w:val="Heading2"/>
        <w:numPr>
          <w:ilvl w:val="1"/>
          <w:numId w:val="9"/>
        </w:numPr>
        <w:tabs>
          <w:tab w:val="left" w:leader="none" w:pos="1080"/>
          <w:tab w:val="left" w:leader="none" w:pos="1080"/>
        </w:tabs>
        <w:ind w:left="3132" w:hanging="579"/>
        <w:rPr/>
      </w:pPr>
      <w:bookmarkStart w:colFirst="0" w:colLast="0" w:name="_heading=h.44sinio" w:id="16"/>
      <w:bookmarkEnd w:id="16"/>
      <w:r w:rsidDel="00000000" w:rsidR="00000000" w:rsidRPr="00000000">
        <w:rPr>
          <w:rtl w:val="0"/>
        </w:rPr>
        <w:t xml:space="preserve">Subject to the Buyer approving the use of Supplier Existing IPR under Paragraph 4, the Supplier grants the Buyer a Supplier Existing IPR Licence on the terms set out in Paragraph 5.3 in respect of each Deliverable where:</w:t>
      </w:r>
    </w:p>
    <w:p w:rsidR="00000000" w:rsidDel="00000000" w:rsidP="00000000" w:rsidRDefault="00000000" w:rsidRPr="00000000" w14:paraId="0000005D">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Supplier Existing IPR that is not COTS Software is embedded in the Deliverable;</w:t>
      </w:r>
    </w:p>
    <w:p w:rsidR="00000000" w:rsidDel="00000000" w:rsidP="00000000" w:rsidRDefault="00000000" w:rsidRPr="00000000" w14:paraId="0000005E">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Supplier Existing IPR that is not COTS Software is necessary for the Buyer to use the Deliverable for any of the purposes set out in Paragraph 5.4; or</w:t>
      </w:r>
    </w:p>
    <w:p w:rsidR="00000000" w:rsidDel="00000000" w:rsidP="00000000" w:rsidRDefault="00000000" w:rsidRPr="00000000" w14:paraId="0000005F">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Deliverable is a customisation or adaptation of Supplier Existing IPR that is not COTS Software.</w:t>
      </w:r>
    </w:p>
    <w:p w:rsidR="00000000" w:rsidDel="00000000" w:rsidP="00000000" w:rsidRDefault="00000000" w:rsidRPr="00000000" w14:paraId="00000060">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categories of Supplier Existing IPR that is not COTS Software set out in Paragraph 5.1 are mutually exclusive.</w:t>
      </w:r>
    </w:p>
    <w:p w:rsidR="00000000" w:rsidDel="00000000" w:rsidP="00000000" w:rsidRDefault="00000000" w:rsidRPr="00000000" w14:paraId="00000061">
      <w:pPr>
        <w:pStyle w:val="Heading2"/>
        <w:numPr>
          <w:ilvl w:val="1"/>
          <w:numId w:val="9"/>
        </w:numPr>
        <w:tabs>
          <w:tab w:val="left" w:leader="none" w:pos="1080"/>
          <w:tab w:val="left" w:leader="none" w:pos="1080"/>
        </w:tabs>
        <w:ind w:left="3132" w:hanging="579"/>
        <w:rPr/>
      </w:pPr>
      <w:bookmarkStart w:colFirst="0" w:colLast="0" w:name="_heading=h.2jxsxqh" w:id="17"/>
      <w:bookmarkEnd w:id="17"/>
      <w:r w:rsidDel="00000000" w:rsidR="00000000" w:rsidRPr="00000000">
        <w:rPr>
          <w:rtl w:val="0"/>
        </w:rPr>
        <w:t xml:space="preserve">The Supplier Existing IPR Licence granted by the Supplier to the Buyer is a non-exclusive, royalty-free, irrevocable, transferable, sub-licensable, worldwide licence that:</w:t>
      </w:r>
    </w:p>
    <w:p w:rsidR="00000000" w:rsidDel="00000000" w:rsidP="00000000" w:rsidRDefault="00000000" w:rsidRPr="00000000" w14:paraId="00000062">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case of Supplier Existing IPR that is not COTS Software embedded in a Deliverable:</w:t>
      </w:r>
    </w:p>
    <w:p w:rsidR="00000000" w:rsidDel="00000000" w:rsidP="00000000" w:rsidRDefault="00000000" w:rsidRPr="00000000" w14:paraId="00000063">
      <w:pPr>
        <w:pStyle w:val="Heading4"/>
        <w:numPr>
          <w:ilvl w:val="3"/>
          <w:numId w:val="9"/>
        </w:numPr>
        <w:tabs>
          <w:tab w:val="left" w:leader="none" w:pos="3240"/>
          <w:tab w:val="left" w:leader="none" w:pos="3240"/>
        </w:tabs>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064">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sub-licensable for any of the purposes set out in Paragraph 5.4;</w:t>
      </w:r>
    </w:p>
    <w:p w:rsidR="00000000" w:rsidDel="00000000" w:rsidP="00000000" w:rsidRDefault="00000000" w:rsidRPr="00000000" w14:paraId="00000065">
      <w:pPr>
        <w:pStyle w:val="Heading4"/>
        <w:numPr>
          <w:ilvl w:val="3"/>
          <w:numId w:val="9"/>
        </w:numPr>
        <w:tabs>
          <w:tab w:val="left" w:leader="none" w:pos="3240"/>
          <w:tab w:val="left" w:leader="none" w:pos="3240"/>
        </w:tabs>
        <w:ind w:left="2591" w:hanging="935"/>
        <w:rPr/>
      </w:pPr>
      <w:r w:rsidDel="00000000" w:rsidR="00000000" w:rsidRPr="00000000">
        <w:rPr>
          <w:rtl w:val="0"/>
        </w:rPr>
        <w:t xml:space="preserve">allows the Buyer and any transferee or sub-licensee to use, copy and adapt the Supplier Existing IPR that is not COTS Software for any of the purposes set out in Paragraph 5.4; and</w:t>
      </w:r>
    </w:p>
    <w:p w:rsidR="00000000" w:rsidDel="00000000" w:rsidP="00000000" w:rsidRDefault="00000000" w:rsidRPr="00000000" w14:paraId="00000066">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subject to the restriction that no sub-licence granted to the Supplier Existing IPR that is not COTS Software shall purport to provide the sub-licensee with any wider rights than those granted to the Buyer under this Paragraph;</w:t>
      </w:r>
    </w:p>
    <w:p w:rsidR="00000000" w:rsidDel="00000000" w:rsidP="00000000" w:rsidRDefault="00000000" w:rsidRPr="00000000" w14:paraId="00000067">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case of Supplier Exiting IPR that is not COTS Software that is necessary for the Buyer to use the Deliverable for its intended purpose or has been customised or adapted to provide the Deliverable:</w:t>
      </w:r>
    </w:p>
    <w:p w:rsidR="00000000" w:rsidDel="00000000" w:rsidP="00000000" w:rsidRDefault="00000000" w:rsidRPr="00000000" w14:paraId="00000068">
      <w:pPr>
        <w:pStyle w:val="Heading4"/>
        <w:numPr>
          <w:ilvl w:val="3"/>
          <w:numId w:val="9"/>
        </w:numPr>
        <w:tabs>
          <w:tab w:val="left" w:leader="none" w:pos="3240"/>
          <w:tab w:val="left" w:leader="none" w:pos="3240"/>
        </w:tabs>
        <w:ind w:left="2591" w:hanging="935"/>
        <w:rPr/>
      </w:pPr>
      <w:r w:rsidDel="00000000" w:rsidR="00000000" w:rsidRPr="00000000">
        <w:rPr>
          <w:rtl w:val="0"/>
        </w:rPr>
        <w:t xml:space="preserve">allows the Buyer and any transferee or sublicensee to use and copy, but not adapt, disassemble or reverse engineer the relevant Supplier Existing IPRs that is not COTS Software for any of the purposes set out in Paragraph 5.4;</w:t>
      </w:r>
    </w:p>
    <w:p w:rsidR="00000000" w:rsidDel="00000000" w:rsidP="00000000" w:rsidRDefault="00000000" w:rsidRPr="00000000" w14:paraId="00000069">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transferrable to only:</w:t>
      </w:r>
    </w:p>
    <w:p w:rsidR="00000000" w:rsidDel="00000000" w:rsidP="00000000" w:rsidRDefault="00000000" w:rsidRPr="00000000" w14:paraId="0000006A">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 Crown Body;</w:t>
      </w:r>
    </w:p>
    <w:p w:rsidR="00000000" w:rsidDel="00000000" w:rsidP="00000000" w:rsidRDefault="00000000" w:rsidRPr="00000000" w14:paraId="0000006B">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06C">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06D">
      <w:pPr>
        <w:pStyle w:val="Heading6"/>
        <w:numPr>
          <w:ilvl w:val="5"/>
          <w:numId w:val="9"/>
        </w:numPr>
        <w:tabs>
          <w:tab w:val="left" w:leader="none" w:pos="4680"/>
          <w:tab w:val="left" w:leader="none" w:pos="4680"/>
        </w:tabs>
        <w:ind w:left="3402" w:hanging="396.9999999999999"/>
        <w:rPr/>
      </w:pPr>
      <w:bookmarkStart w:colFirst="0" w:colLast="0" w:name="_heading=h.z337ya" w:id="18"/>
      <w:bookmarkEnd w:id="18"/>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6E">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enters into a confidentiality arrangement with the Buyer in terms equivalent to those set out in set out in Clause 15 (What you must keep confidential);</w:t>
      </w:r>
    </w:p>
    <w:p w:rsidR="00000000" w:rsidDel="00000000" w:rsidP="00000000" w:rsidRDefault="00000000" w:rsidRPr="00000000" w14:paraId="0000006F">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070">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71">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enters into a confidentiality arrangement with the Buyer in terms equivalent to those set out in set out in Clause 15 (What you must keep confidential);</w:t>
      </w:r>
    </w:p>
    <w:p w:rsidR="00000000" w:rsidDel="00000000" w:rsidP="00000000" w:rsidRDefault="00000000" w:rsidRPr="00000000" w14:paraId="00000072">
      <w:pPr>
        <w:pStyle w:val="Heading4"/>
        <w:numPr>
          <w:ilvl w:val="3"/>
          <w:numId w:val="9"/>
        </w:numPr>
        <w:tabs>
          <w:tab w:val="left" w:leader="none" w:pos="3240"/>
          <w:tab w:val="left" w:leader="none" w:pos="3240"/>
        </w:tabs>
        <w:ind w:left="2591" w:hanging="935"/>
        <w:rPr/>
      </w:pPr>
      <w:r w:rsidDel="00000000" w:rsidR="00000000" w:rsidRPr="00000000">
        <w:rPr>
          <w:rtl w:val="0"/>
        </w:rPr>
        <w:t xml:space="preserve">is subject to the restrictions that:</w:t>
      </w:r>
    </w:p>
    <w:p w:rsidR="00000000" w:rsidDel="00000000" w:rsidP="00000000" w:rsidRDefault="00000000" w:rsidRPr="00000000" w14:paraId="00000073">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074">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any sublicensee or transferee either:</w:t>
      </w:r>
    </w:p>
    <w:p w:rsidR="00000000" w:rsidDel="00000000" w:rsidP="00000000" w:rsidRDefault="00000000" w:rsidRPr="00000000" w14:paraId="00000075">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76">
      <w:pPr>
        <w:pStyle w:val="Heading6"/>
        <w:numPr>
          <w:ilvl w:val="5"/>
          <w:numId w:val="9"/>
        </w:numPr>
        <w:tabs>
          <w:tab w:val="left" w:leader="none" w:pos="4680"/>
          <w:tab w:val="left" w:leader="none" w:pos="4680"/>
        </w:tabs>
        <w:ind w:left="3402" w:hanging="396.9999999999999"/>
        <w:rPr/>
      </w:pPr>
      <w:r w:rsidDel="00000000" w:rsidR="00000000" w:rsidRPr="00000000">
        <w:rPr>
          <w:rtl w:val="0"/>
        </w:rPr>
        <w:t xml:space="preserve">enters into a confidentiality arrangement with the Buyer in terms equivalent to those set out in set out in Clause 15 (What you must keep confidential); and</w:t>
      </w:r>
    </w:p>
    <w:p w:rsidR="00000000" w:rsidDel="00000000" w:rsidP="00000000" w:rsidRDefault="00000000" w:rsidRPr="00000000" w14:paraId="00000077">
      <w:pPr>
        <w:pStyle w:val="Heading4"/>
        <w:numPr>
          <w:ilvl w:val="3"/>
          <w:numId w:val="9"/>
        </w:numPr>
        <w:tabs>
          <w:tab w:val="left" w:leader="none" w:pos="3240"/>
          <w:tab w:val="left" w:leader="none" w:pos="3240"/>
        </w:tabs>
        <w:ind w:left="2591" w:hanging="935"/>
        <w:rPr/>
      </w:pPr>
      <w:r w:rsidDel="00000000" w:rsidR="00000000" w:rsidRPr="00000000">
        <w:rPr>
          <w:rtl w:val="0"/>
        </w:rPr>
        <w:t xml:space="preserve">expires at the later of:</w:t>
      </w:r>
    </w:p>
    <w:p w:rsidR="00000000" w:rsidDel="00000000" w:rsidP="00000000" w:rsidRDefault="00000000" w:rsidRPr="00000000" w14:paraId="00000078">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end of this Contract Period; or</w:t>
      </w:r>
    </w:p>
    <w:p w:rsidR="00000000" w:rsidDel="00000000" w:rsidP="00000000" w:rsidRDefault="00000000" w:rsidRPr="00000000" w14:paraId="00000079">
      <w:pPr>
        <w:pStyle w:val="Heading5"/>
        <w:numPr>
          <w:ilvl w:val="4"/>
          <w:numId w:val="9"/>
        </w:numPr>
        <w:tabs>
          <w:tab w:val="left" w:leader="none" w:pos="3960"/>
          <w:tab w:val="left" w:leader="none" w:pos="3960"/>
        </w:tabs>
        <w:ind w:left="3005" w:hanging="413.9999999999998"/>
        <w:rPr/>
      </w:pPr>
      <w:r w:rsidDel="00000000" w:rsidR="00000000" w:rsidRPr="00000000">
        <w:rPr>
          <w:rtl w:val="0"/>
        </w:rPr>
        <w:t xml:space="preserve">the end of any Termination Assistance Period.</w:t>
      </w:r>
    </w:p>
    <w:p w:rsidR="00000000" w:rsidDel="00000000" w:rsidP="00000000" w:rsidRDefault="00000000" w:rsidRPr="00000000" w14:paraId="0000007A">
      <w:pPr>
        <w:pStyle w:val="Heading2"/>
        <w:numPr>
          <w:ilvl w:val="1"/>
          <w:numId w:val="9"/>
        </w:numPr>
        <w:tabs>
          <w:tab w:val="left" w:leader="none" w:pos="1080"/>
          <w:tab w:val="left" w:leader="none" w:pos="1080"/>
        </w:tabs>
        <w:ind w:left="3132" w:hanging="579"/>
        <w:rPr/>
      </w:pPr>
      <w:bookmarkStart w:colFirst="0" w:colLast="0" w:name="_heading=h.3j2qqm3" w:id="19"/>
      <w:bookmarkEnd w:id="19"/>
      <w:r w:rsidDel="00000000" w:rsidR="00000000" w:rsidRPr="00000000">
        <w:rPr>
          <w:rtl w:val="0"/>
        </w:rPr>
        <w:t xml:space="preserve">For the purposes of Paragraphs 5.1 and 5.3, the relevant purposes are to allow the Buyer or any End User to receive and use the Deliverables.</w:t>
      </w:r>
    </w:p>
    <w:p w:rsidR="00000000" w:rsidDel="00000000" w:rsidP="00000000" w:rsidRDefault="00000000" w:rsidRPr="00000000" w14:paraId="0000007B">
      <w:pPr>
        <w:pStyle w:val="Heading1"/>
        <w:numPr>
          <w:ilvl w:val="0"/>
          <w:numId w:val="9"/>
        </w:numPr>
        <w:ind w:left="357" w:hanging="357"/>
        <w:rPr/>
      </w:pPr>
      <w:bookmarkStart w:colFirst="0" w:colLast="0" w:name="_heading=h.1y810tw" w:id="20"/>
      <w:bookmarkEnd w:id="20"/>
      <w:r w:rsidDel="00000000" w:rsidR="00000000" w:rsidRPr="00000000">
        <w:rPr>
          <w:rtl w:val="0"/>
        </w:rPr>
        <w:t xml:space="preserve">Licences to COTS software</w:t>
      </w:r>
    </w:p>
    <w:p w:rsidR="00000000" w:rsidDel="00000000" w:rsidP="00000000" w:rsidRDefault="00000000" w:rsidRPr="00000000" w14:paraId="0000007C">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Supplier must provide the Buyer with licences to Supplier Existing IPR and Third Party IPR that is, in each case, COTS software at a price and on terms no less favourable than those standard commercial terms on which such software is usually made commercially available.</w:t>
      </w:r>
    </w:p>
    <w:p w:rsidR="00000000" w:rsidDel="00000000" w:rsidP="00000000" w:rsidRDefault="00000000" w:rsidRPr="00000000" w14:paraId="0000007D">
      <w:pPr>
        <w:pStyle w:val="Heading1"/>
        <w:numPr>
          <w:ilvl w:val="0"/>
          <w:numId w:val="9"/>
        </w:numPr>
        <w:ind w:left="357" w:hanging="357"/>
        <w:rPr/>
      </w:pPr>
      <w:bookmarkStart w:colFirst="0" w:colLast="0" w:name="_heading=h.4i7ojhp" w:id="21"/>
      <w:bookmarkEnd w:id="21"/>
      <w:r w:rsidDel="00000000" w:rsidR="00000000" w:rsidRPr="00000000">
        <w:rPr>
          <w:rtl w:val="0"/>
        </w:rPr>
        <w:t xml:space="preserve">Licences granted by the Buyer</w:t>
      </w:r>
    </w:p>
    <w:p w:rsidR="00000000" w:rsidDel="00000000" w:rsidP="00000000" w:rsidRDefault="00000000" w:rsidRPr="00000000" w14:paraId="0000007E">
      <w:pPr>
        <w:pStyle w:val="Heading2"/>
        <w:numPr>
          <w:ilvl w:val="1"/>
          <w:numId w:val="9"/>
        </w:numPr>
        <w:tabs>
          <w:tab w:val="left" w:leader="none" w:pos="1080"/>
          <w:tab w:val="left" w:leader="none" w:pos="1080"/>
        </w:tabs>
        <w:ind w:left="3132" w:hanging="579"/>
        <w:rPr/>
      </w:pPr>
      <w:r w:rsidDel="00000000" w:rsidR="00000000" w:rsidRPr="00000000">
        <w:rPr>
          <w:rtl w:val="0"/>
        </w:rPr>
        <w:t xml:space="preserve">Subject to Paragraph 8, the Buyer grants the Supplier a licence to the Buyer Existing IPR that:</w:t>
      </w:r>
    </w:p>
    <w:p w:rsidR="00000000" w:rsidDel="00000000" w:rsidP="00000000" w:rsidRDefault="00000000" w:rsidRPr="00000000" w14:paraId="0000007F">
      <w:pPr>
        <w:pStyle w:val="Heading3"/>
        <w:numPr>
          <w:ilvl w:val="2"/>
          <w:numId w:val="9"/>
        </w:numPr>
        <w:tabs>
          <w:tab w:val="left" w:leader="none" w:pos="2160"/>
          <w:tab w:val="left" w:leader="none" w:pos="2160"/>
        </w:tabs>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080">
      <w:pPr>
        <w:pStyle w:val="Heading3"/>
        <w:numPr>
          <w:ilvl w:val="2"/>
          <w:numId w:val="9"/>
        </w:numPr>
        <w:tabs>
          <w:tab w:val="left" w:leader="none" w:pos="2160"/>
          <w:tab w:val="left" w:leader="none" w:pos="2160"/>
        </w:tabs>
        <w:ind w:left="1701" w:hanging="765"/>
        <w:rPr/>
      </w:pPr>
      <w:r w:rsidDel="00000000" w:rsidR="00000000" w:rsidRPr="00000000">
        <w:rPr>
          <w:rtl w:val="0"/>
        </w:rPr>
        <w:t xml:space="preserve">is sub-licensable to any Sub-contractor where:</w:t>
      </w:r>
    </w:p>
    <w:p w:rsidR="00000000" w:rsidDel="00000000" w:rsidP="00000000" w:rsidRDefault="00000000" w:rsidRPr="00000000" w14:paraId="00000081">
      <w:pPr>
        <w:pStyle w:val="Heading4"/>
        <w:numPr>
          <w:ilvl w:val="3"/>
          <w:numId w:val="9"/>
        </w:numPr>
        <w:tabs>
          <w:tab w:val="left" w:leader="none" w:pos="3240"/>
          <w:tab w:val="left" w:leader="none" w:pos="3240"/>
        </w:tabs>
        <w:ind w:left="2591" w:hanging="935"/>
        <w:rPr/>
      </w:pPr>
      <w:r w:rsidDel="00000000" w:rsidR="00000000" w:rsidRPr="00000000">
        <w:rPr>
          <w:rtl w:val="0"/>
        </w:rPr>
        <w:t xml:space="preserve">the Sub-contractor enters into a confidentiality undertaking with the Supplier on the same terms as set out in Clause 15 (What you must keep confidential); and</w:t>
      </w:r>
    </w:p>
    <w:p w:rsidR="00000000" w:rsidDel="00000000" w:rsidP="00000000" w:rsidRDefault="00000000" w:rsidRPr="00000000" w14:paraId="00000082">
      <w:pPr>
        <w:pStyle w:val="Heading4"/>
        <w:numPr>
          <w:ilvl w:val="3"/>
          <w:numId w:val="9"/>
        </w:numPr>
        <w:tabs>
          <w:tab w:val="left" w:leader="none" w:pos="3240"/>
          <w:tab w:val="left" w:leader="none" w:pos="3240"/>
        </w:tabs>
        <w:ind w:left="2591" w:hanging="935"/>
        <w:rPr/>
      </w:pPr>
      <w:r w:rsidDel="00000000" w:rsidR="00000000" w:rsidRPr="00000000">
        <w:rPr>
          <w:rtl w:val="0"/>
        </w:rPr>
        <w:t xml:space="preserve"> the sub-licence does not purport to provide the sub-licensee with any wider rights than those granted to the Supplier under this Paragraph;</w:t>
      </w:r>
    </w:p>
    <w:p w:rsidR="00000000" w:rsidDel="00000000" w:rsidP="00000000" w:rsidRDefault="00000000" w:rsidRPr="00000000" w14:paraId="00000083">
      <w:pPr>
        <w:pStyle w:val="Heading3"/>
        <w:numPr>
          <w:ilvl w:val="2"/>
          <w:numId w:val="9"/>
        </w:numPr>
        <w:tabs>
          <w:tab w:val="left" w:leader="none" w:pos="2160"/>
          <w:tab w:val="left" w:leader="none" w:pos="2160"/>
        </w:tabs>
        <w:ind w:left="1701" w:hanging="76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084">
      <w:pPr>
        <w:pStyle w:val="Heading4"/>
        <w:numPr>
          <w:ilvl w:val="3"/>
          <w:numId w:val="9"/>
        </w:numPr>
        <w:tabs>
          <w:tab w:val="left" w:leader="none" w:pos="3240"/>
          <w:tab w:val="left" w:leader="none" w:pos="3240"/>
        </w:tabs>
        <w:ind w:left="2591" w:hanging="935"/>
        <w:rPr/>
      </w:pPr>
      <w:r w:rsidDel="00000000" w:rsidR="00000000" w:rsidRPr="00000000">
        <w:rPr>
          <w:rtl w:val="0"/>
        </w:rPr>
        <w:t xml:space="preserve">fulfilling its obligations under this Contract; and</w:t>
      </w:r>
    </w:p>
    <w:p w:rsidR="00000000" w:rsidDel="00000000" w:rsidP="00000000" w:rsidRDefault="00000000" w:rsidRPr="00000000" w14:paraId="00000085">
      <w:pPr>
        <w:pStyle w:val="Heading4"/>
        <w:numPr>
          <w:ilvl w:val="3"/>
          <w:numId w:val="9"/>
        </w:numPr>
        <w:tabs>
          <w:tab w:val="left" w:leader="none" w:pos="3240"/>
          <w:tab w:val="left" w:leader="none" w:pos="3240"/>
        </w:tabs>
        <w:ind w:left="2591" w:hanging="935"/>
        <w:rPr/>
      </w:pPr>
      <w:bookmarkStart w:colFirst="0" w:colLast="0" w:name="_heading=h.2xcytpi" w:id="22"/>
      <w:bookmarkEnd w:id="22"/>
      <w:r w:rsidDel="00000000" w:rsidR="00000000" w:rsidRPr="00000000">
        <w:rPr>
          <w:rtl w:val="0"/>
        </w:rPr>
        <w:t xml:space="preserve">commercially exploiting the New IPR and Specially Written Software; and</w:t>
      </w:r>
    </w:p>
    <w:p w:rsidR="00000000" w:rsidDel="00000000" w:rsidP="00000000" w:rsidRDefault="00000000" w:rsidRPr="00000000" w14:paraId="00000086">
      <w:pPr>
        <w:pStyle w:val="Heading3"/>
        <w:numPr>
          <w:ilvl w:val="2"/>
          <w:numId w:val="9"/>
        </w:numPr>
        <w:tabs>
          <w:tab w:val="left" w:leader="none" w:pos="2160"/>
          <w:tab w:val="left" w:leader="none" w:pos="2160"/>
        </w:tabs>
        <w:ind w:left="1701" w:hanging="765"/>
        <w:rPr/>
      </w:pPr>
      <w:r w:rsidDel="00000000" w:rsidR="00000000" w:rsidRPr="00000000">
        <w:rPr>
          <w:rtl w:val="0"/>
        </w:rPr>
        <w:t xml:space="preserve">unless otherwise agreed in accordance with Paragraph 8, terminates at the earlier of the End Date or date of termination of this Contract. </w:t>
      </w:r>
    </w:p>
    <w:p w:rsidR="00000000" w:rsidDel="00000000" w:rsidP="00000000" w:rsidRDefault="00000000" w:rsidRPr="00000000" w14:paraId="00000087">
      <w:pPr>
        <w:pStyle w:val="Heading1"/>
        <w:numPr>
          <w:ilvl w:val="0"/>
          <w:numId w:val="9"/>
        </w:numPr>
        <w:ind w:left="357" w:hanging="357"/>
        <w:rPr/>
      </w:pPr>
      <w:bookmarkStart w:colFirst="0" w:colLast="0" w:name="_heading=h.1ci93xb" w:id="23"/>
      <w:bookmarkEnd w:id="23"/>
      <w:r w:rsidDel="00000000" w:rsidR="00000000" w:rsidRPr="00000000">
        <w:rPr>
          <w:rtl w:val="0"/>
        </w:rPr>
        <w:t xml:space="preserve">Buyer approval for Supplier to exploit Buyer Existing IPR</w:t>
      </w:r>
    </w:p>
    <w:p w:rsidR="00000000" w:rsidDel="00000000" w:rsidP="00000000" w:rsidRDefault="00000000" w:rsidRPr="00000000" w14:paraId="00000088">
      <w:pPr>
        <w:pStyle w:val="Heading2"/>
        <w:numPr>
          <w:ilvl w:val="1"/>
          <w:numId w:val="9"/>
        </w:numPr>
        <w:tabs>
          <w:tab w:val="left" w:leader="none" w:pos="1080"/>
          <w:tab w:val="left" w:leader="none" w:pos="1080"/>
        </w:tabs>
        <w:ind w:left="3132" w:hanging="579"/>
        <w:rPr/>
      </w:pPr>
      <w:r w:rsidDel="00000000" w:rsidR="00000000" w:rsidRPr="00000000">
        <w:rPr>
          <w:rtl w:val="0"/>
        </w:rPr>
        <w:t xml:space="preserve">Before using Buyer Existing IPR for any purpose other than fulfilling its obligations under this Contract, the Supplier must seek the approval of the Buyer in accordance with the provisions of this Paragraph.</w:t>
      </w:r>
    </w:p>
    <w:p w:rsidR="00000000" w:rsidDel="00000000" w:rsidP="00000000" w:rsidRDefault="00000000" w:rsidRPr="00000000" w14:paraId="00000089">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the licence.</w:t>
      </w:r>
    </w:p>
    <w:p w:rsidR="00000000" w:rsidDel="00000000" w:rsidP="00000000" w:rsidRDefault="00000000" w:rsidRPr="00000000" w14:paraId="0000008A">
      <w:pPr>
        <w:pStyle w:val="Heading2"/>
        <w:numPr>
          <w:ilvl w:val="1"/>
          <w:numId w:val="9"/>
        </w:numPr>
        <w:tabs>
          <w:tab w:val="left" w:leader="none" w:pos="1080"/>
          <w:tab w:val="left" w:leader="none" w:pos="1080"/>
        </w:tabs>
        <w:ind w:left="3132" w:hanging="579"/>
        <w:rPr/>
      </w:pPr>
      <w:bookmarkStart w:colFirst="0" w:colLast="0" w:name="_heading=h.3whwml4" w:id="24"/>
      <w:bookmarkEnd w:id="24"/>
      <w:r w:rsidDel="00000000" w:rsidR="00000000" w:rsidRPr="00000000">
        <w:rPr>
          <w:rtl w:val="0"/>
        </w:rPr>
        <w:t xml:space="preserve">The Supplier must provide a proposal setting out:</w:t>
      </w:r>
    </w:p>
    <w:p w:rsidR="00000000" w:rsidDel="00000000" w:rsidP="00000000" w:rsidRDefault="00000000" w:rsidRPr="00000000" w14:paraId="0000008B">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purpose for which it proposes to use the New IPR or Specially Written Software;</w:t>
      </w:r>
    </w:p>
    <w:p w:rsidR="00000000" w:rsidDel="00000000" w:rsidP="00000000" w:rsidRDefault="00000000" w:rsidRPr="00000000" w14:paraId="0000008C">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activities the Supplier proposes to undertake with or in respect of the New IPR or Specially Written Software;</w:t>
      </w:r>
    </w:p>
    <w:p w:rsidR="00000000" w:rsidDel="00000000" w:rsidP="00000000" w:rsidRDefault="00000000" w:rsidRPr="00000000" w14:paraId="0000008D">
      <w:pPr>
        <w:pStyle w:val="Heading3"/>
        <w:numPr>
          <w:ilvl w:val="2"/>
          <w:numId w:val="9"/>
        </w:numPr>
        <w:tabs>
          <w:tab w:val="left" w:leader="none" w:pos="2160"/>
          <w:tab w:val="left" w:leader="none" w:pos="2160"/>
        </w:tabs>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08E">
      <w:pPr>
        <w:pStyle w:val="Heading2"/>
        <w:numPr>
          <w:ilvl w:val="1"/>
          <w:numId w:val="9"/>
        </w:numPr>
        <w:tabs>
          <w:tab w:val="left" w:leader="none" w:pos="1080"/>
          <w:tab w:val="left" w:leader="none" w:pos="1080"/>
        </w:tabs>
        <w:ind w:left="3132" w:hanging="579"/>
        <w:rPr/>
      </w:pPr>
      <w:bookmarkStart w:colFirst="0" w:colLast="0" w:name="_heading=h.2bn6wsx" w:id="25"/>
      <w:bookmarkEnd w:id="25"/>
      <w:r w:rsidDel="00000000" w:rsidR="00000000" w:rsidRPr="00000000">
        <w:rPr>
          <w:rtl w:val="0"/>
        </w:rPr>
        <w:t xml:space="preserve">The Buyer may only refuse the Buyer’s proposal where it considers that if the Supplier were to implement the proposal it would harm:</w:t>
      </w:r>
    </w:p>
    <w:p w:rsidR="00000000" w:rsidDel="00000000" w:rsidP="00000000" w:rsidRDefault="00000000" w:rsidRPr="00000000" w14:paraId="0000008F">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Buyer’s reputation; or</w:t>
      </w:r>
    </w:p>
    <w:p w:rsidR="00000000" w:rsidDel="00000000" w:rsidP="00000000" w:rsidRDefault="00000000" w:rsidRPr="00000000" w14:paraId="00000090">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Buyer’s interests.</w:t>
      </w:r>
    </w:p>
    <w:p w:rsidR="00000000" w:rsidDel="00000000" w:rsidP="00000000" w:rsidRDefault="00000000" w:rsidRPr="00000000" w14:paraId="00000091">
      <w:pPr>
        <w:pStyle w:val="Heading2"/>
        <w:numPr>
          <w:ilvl w:val="1"/>
          <w:numId w:val="9"/>
        </w:numPr>
        <w:tabs>
          <w:tab w:val="left" w:leader="none" w:pos="1080"/>
          <w:tab w:val="left" w:leader="none" w:pos="1080"/>
        </w:tabs>
        <w:ind w:left="3132" w:hanging="579"/>
        <w:rPr/>
      </w:pPr>
      <w:bookmarkStart w:colFirst="0" w:colLast="0" w:name="_heading=h.qsh70q" w:id="26"/>
      <w:bookmarkEnd w:id="26"/>
      <w:r w:rsidDel="00000000" w:rsidR="00000000" w:rsidRPr="00000000">
        <w:rPr>
          <w:rtl w:val="0"/>
        </w:rPr>
        <w:t xml:space="preserve">Where the Buyer has not:</w:t>
      </w:r>
    </w:p>
    <w:p w:rsidR="00000000" w:rsidDel="00000000" w:rsidP="00000000" w:rsidRDefault="00000000" w:rsidRPr="00000000" w14:paraId="00000092">
      <w:pPr>
        <w:pStyle w:val="Heading3"/>
        <w:numPr>
          <w:ilvl w:val="2"/>
          <w:numId w:val="9"/>
        </w:numPr>
        <w:tabs>
          <w:tab w:val="left" w:leader="none" w:pos="2160"/>
          <w:tab w:val="left" w:leader="none" w:pos="2160"/>
        </w:tabs>
        <w:ind w:left="1701" w:hanging="765"/>
        <w:rPr/>
      </w:pPr>
      <w:r w:rsidDel="00000000" w:rsidR="00000000" w:rsidRPr="00000000">
        <w:rPr>
          <w:rtl w:val="0"/>
        </w:rPr>
        <w:t xml:space="preserve">approved or declined the proposal; or</w:t>
      </w:r>
    </w:p>
    <w:p w:rsidR="00000000" w:rsidDel="00000000" w:rsidP="00000000" w:rsidRDefault="00000000" w:rsidRPr="00000000" w14:paraId="00000093">
      <w:pPr>
        <w:pStyle w:val="Heading3"/>
        <w:numPr>
          <w:ilvl w:val="2"/>
          <w:numId w:val="9"/>
        </w:numPr>
        <w:tabs>
          <w:tab w:val="left" w:leader="none" w:pos="2160"/>
          <w:tab w:val="left" w:leader="none" w:pos="2160"/>
        </w:tabs>
        <w:ind w:left="1701" w:hanging="765"/>
        <w:rPr/>
      </w:pPr>
      <w:r w:rsidDel="00000000" w:rsidR="00000000" w:rsidRPr="00000000">
        <w:rPr>
          <w:rtl w:val="0"/>
        </w:rPr>
        <w:t xml:space="preserve">required further information,</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20 Working Days of the later of:</w:t>
      </w:r>
      <w:r w:rsidDel="00000000" w:rsidR="00000000" w:rsidRPr="00000000">
        <w:rPr>
          <w:rtl w:val="0"/>
        </w:rPr>
      </w:r>
    </w:p>
    <w:p w:rsidR="00000000" w:rsidDel="00000000" w:rsidP="00000000" w:rsidRDefault="00000000" w:rsidRPr="00000000" w14:paraId="00000095">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096">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proposal is, for the purposes of this Contract, approved.</w:t>
      </w:r>
      <w:r w:rsidDel="00000000" w:rsidR="00000000" w:rsidRPr="00000000">
        <w:rPr>
          <w:rtl w:val="0"/>
        </w:rPr>
      </w:r>
    </w:p>
    <w:p w:rsidR="00000000" w:rsidDel="00000000" w:rsidP="00000000" w:rsidRDefault="00000000" w:rsidRPr="00000000" w14:paraId="00000098">
      <w:pPr>
        <w:pStyle w:val="Heading1"/>
        <w:numPr>
          <w:ilvl w:val="0"/>
          <w:numId w:val="9"/>
        </w:numPr>
        <w:ind w:left="357" w:hanging="357"/>
        <w:rPr/>
      </w:pPr>
      <w:bookmarkStart w:colFirst="0" w:colLast="0" w:name="_heading=h.3as4poj" w:id="27"/>
      <w:bookmarkEnd w:id="27"/>
      <w:r w:rsidDel="00000000" w:rsidR="00000000" w:rsidRPr="00000000">
        <w:rPr>
          <w:rtl w:val="0"/>
        </w:rPr>
        <w:t xml:space="preserve">Provision of information on New IPR and Specially Written Software</w:t>
      </w:r>
    </w:p>
    <w:p w:rsidR="00000000" w:rsidDel="00000000" w:rsidP="00000000" w:rsidRDefault="00000000" w:rsidRPr="00000000" w14:paraId="00000099">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09A">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purposes, other than for the purposes of this Contract, for which the Supplier uses New IPR and Specially Written Software; and</w:t>
      </w:r>
    </w:p>
    <w:p w:rsidR="00000000" w:rsidDel="00000000" w:rsidP="00000000" w:rsidRDefault="00000000" w:rsidRPr="00000000" w14:paraId="0000009B">
      <w:pPr>
        <w:pStyle w:val="Heading3"/>
        <w:numPr>
          <w:ilvl w:val="2"/>
          <w:numId w:val="9"/>
        </w:numPr>
        <w:tabs>
          <w:tab w:val="left" w:leader="none" w:pos="2160"/>
          <w:tab w:val="left" w:leader="none" w:pos="2160"/>
        </w:tabs>
        <w:ind w:left="1701" w:hanging="765"/>
        <w:rPr/>
      </w:pPr>
      <w:r w:rsidDel="00000000" w:rsidR="00000000" w:rsidRPr="00000000">
        <w:rPr>
          <w:rtl w:val="0"/>
        </w:rPr>
        <w:t xml:space="preserve">the activities the Supplier undertakes, other than under this Contract, with or in respect of the New IPR and Specially Written Software.</w:t>
      </w:r>
    </w:p>
    <w:p w:rsidR="00000000" w:rsidDel="00000000" w:rsidP="00000000" w:rsidRDefault="00000000" w:rsidRPr="00000000" w14:paraId="0000009C">
      <w:pPr>
        <w:pStyle w:val="Heading2"/>
        <w:numPr>
          <w:ilvl w:val="1"/>
          <w:numId w:val="9"/>
        </w:numPr>
        <w:tabs>
          <w:tab w:val="left" w:leader="none" w:pos="1080"/>
          <w:tab w:val="left" w:leader="none" w:pos="1080"/>
        </w:tabs>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09D">
      <w:pPr>
        <w:pStyle w:val="Heading3"/>
        <w:numPr>
          <w:ilvl w:val="2"/>
          <w:numId w:val="9"/>
        </w:numPr>
        <w:tabs>
          <w:tab w:val="left" w:leader="none" w:pos="2160"/>
          <w:tab w:val="left" w:leader="none" w:pos="2160"/>
        </w:tabs>
        <w:ind w:left="1701" w:hanging="765"/>
        <w:rPr/>
      </w:pPr>
      <w:r w:rsidDel="00000000" w:rsidR="00000000" w:rsidRPr="00000000">
        <w:rPr>
          <w:rtl w:val="0"/>
        </w:rPr>
        <w:t xml:space="preserve">within 20 Working Days of the date of the requirement; and</w:t>
      </w:r>
    </w:p>
    <w:p w:rsidR="00000000" w:rsidDel="00000000" w:rsidP="00000000" w:rsidRDefault="00000000" w:rsidRPr="00000000" w14:paraId="0000009E">
      <w:pPr>
        <w:pStyle w:val="Heading3"/>
        <w:numPr>
          <w:ilvl w:val="2"/>
          <w:numId w:val="9"/>
        </w:numPr>
        <w:tabs>
          <w:tab w:val="left" w:leader="none" w:pos="2160"/>
          <w:tab w:val="left" w:leader="none" w:pos="2160"/>
        </w:tabs>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09F">
      <w:pPr>
        <w:pStyle w:val="Heading1"/>
        <w:numPr>
          <w:ilvl w:val="0"/>
          <w:numId w:val="9"/>
        </w:numPr>
        <w:ind w:left="357" w:hanging="357"/>
        <w:rPr/>
      </w:pPr>
      <w:bookmarkStart w:colFirst="0" w:colLast="0" w:name="_heading=h.1pxezwc" w:id="28"/>
      <w:bookmarkEnd w:id="28"/>
      <w:r w:rsidDel="00000000" w:rsidR="00000000" w:rsidRPr="00000000">
        <w:rPr>
          <w:rtl w:val="0"/>
        </w:rPr>
        <w:t xml:space="preserve">Patents</w:t>
      </w:r>
    </w:p>
    <w:p w:rsidR="00000000" w:rsidDel="00000000" w:rsidP="00000000" w:rsidRDefault="00000000" w:rsidRPr="00000000" w14:paraId="000000A0">
      <w:pPr>
        <w:pStyle w:val="Heading2"/>
        <w:numPr>
          <w:ilvl w:val="1"/>
          <w:numId w:val="9"/>
        </w:numPr>
        <w:tabs>
          <w:tab w:val="left" w:leader="none" w:pos="1080"/>
          <w:tab w:val="left" w:leader="none" w:pos="1080"/>
        </w:tabs>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38" w:w="11906"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00" w:before="100" w:lineRule="auto"/>
        <w:ind w:firstLine="57"/>
        <w:rPr>
          <w:b w:val="1"/>
          <w:color w:val="000000"/>
        </w:rPr>
      </w:pPr>
      <w:r w:rsidDel="00000000" w:rsidR="00000000" w:rsidRPr="00000000">
        <w:rPr>
          <w:b w:val="1"/>
          <w:color w:val="000000"/>
          <w:rtl w:val="0"/>
        </w:rPr>
        <w:t xml:space="preserve">ANNEX 1: NEW IPR AND SPECIALLY WRITTEN SOFTWARE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A3">
            <w:pPr>
              <w:tabs>
                <w:tab w:val="left" w:leader="none" w:pos="709"/>
              </w:tabs>
              <w:spacing w:after="120" w:before="120" w:lineRule="auto"/>
              <w:jc w:val="center"/>
              <w:rPr>
                <w:color w:val="000000"/>
              </w:rPr>
            </w:pPr>
            <w:r w:rsidDel="00000000" w:rsidR="00000000" w:rsidRPr="00000000">
              <w:rPr>
                <w:b w:val="1"/>
                <w:color w:val="000000"/>
                <w:rtl w:val="0"/>
              </w:rPr>
              <w:t xml:space="preserve">Name of New IPR</w:t>
            </w:r>
            <w:r w:rsidDel="00000000" w:rsidR="00000000" w:rsidRPr="00000000">
              <w:rPr>
                <w:rtl w:val="0"/>
              </w:rPr>
            </w:r>
          </w:p>
        </w:tc>
        <w:tc>
          <w:tcPr/>
          <w:p w:rsidR="00000000" w:rsidDel="00000000" w:rsidP="00000000" w:rsidRDefault="00000000" w:rsidRPr="00000000" w14:paraId="000000A4">
            <w:pPr>
              <w:tabs>
                <w:tab w:val="left" w:leader="none" w:pos="709"/>
              </w:tabs>
              <w:spacing w:after="120" w:before="12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0A5">
            <w:pPr>
              <w:tabs>
                <w:tab w:val="left" w:leader="none" w:pos="709"/>
              </w:tabs>
              <w:spacing w:after="120" w:before="120" w:lineRule="auto"/>
              <w:jc w:val="center"/>
              <w:rPr>
                <w:color w:val="000000"/>
              </w:rPr>
            </w:pPr>
            <w:r w:rsidDel="00000000" w:rsidR="00000000" w:rsidRPr="00000000">
              <w:rPr>
                <w:rtl w:val="0"/>
              </w:rPr>
            </w:r>
          </w:p>
        </w:tc>
        <w:tc>
          <w:tcPr/>
          <w:p w:rsidR="00000000" w:rsidDel="00000000" w:rsidP="00000000" w:rsidRDefault="00000000" w:rsidRPr="00000000" w14:paraId="000000A6">
            <w:pPr>
              <w:tabs>
                <w:tab w:val="left" w:leader="none" w:pos="709"/>
              </w:tabs>
              <w:spacing w:after="120" w:before="120" w:lineRule="auto"/>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7">
            <w:pPr>
              <w:tabs>
                <w:tab w:val="left" w:leader="none" w:pos="709"/>
              </w:tabs>
              <w:spacing w:after="120" w:before="120" w:lineRule="auto"/>
              <w:jc w:val="center"/>
              <w:rPr>
                <w:color w:val="000000"/>
              </w:rPr>
            </w:pPr>
            <w:r w:rsidDel="00000000" w:rsidR="00000000" w:rsidRPr="00000000">
              <w:rPr>
                <w:rtl w:val="0"/>
              </w:rPr>
            </w:r>
          </w:p>
        </w:tc>
        <w:tc>
          <w:tcPr/>
          <w:p w:rsidR="00000000" w:rsidDel="00000000" w:rsidP="00000000" w:rsidRDefault="00000000" w:rsidRPr="00000000" w14:paraId="000000A8">
            <w:pPr>
              <w:tabs>
                <w:tab w:val="left" w:leader="none" w:pos="709"/>
              </w:tabs>
              <w:spacing w:after="120" w:before="120" w:lineRule="auto"/>
              <w:jc w:val="center"/>
              <w:rPr>
                <w:color w:val="000000"/>
              </w:rPr>
            </w:pPr>
            <w:r w:rsidDel="00000000" w:rsidR="00000000" w:rsidRPr="00000000">
              <w:rPr>
                <w:rtl w:val="0"/>
              </w:rPr>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00" w:before="100" w:lineRule="auto"/>
        <w:ind w:left="360" w:firstLine="936"/>
        <w:rPr>
          <w:color w:val="000000"/>
          <w:highlight w:val="yellow"/>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AA">
            <w:pPr>
              <w:tabs>
                <w:tab w:val="left" w:leader="none" w:pos="709"/>
              </w:tabs>
              <w:spacing w:after="120" w:before="120" w:lineRule="auto"/>
              <w:jc w:val="center"/>
              <w:rPr>
                <w:color w:val="000000"/>
              </w:rPr>
            </w:pPr>
            <w:r w:rsidDel="00000000" w:rsidR="00000000" w:rsidRPr="00000000">
              <w:rPr>
                <w:b w:val="1"/>
                <w:color w:val="000000"/>
                <w:rtl w:val="0"/>
              </w:rPr>
              <w:t xml:space="preserve">Name of Specially Written Software</w:t>
            </w:r>
            <w:r w:rsidDel="00000000" w:rsidR="00000000" w:rsidRPr="00000000">
              <w:rPr>
                <w:rtl w:val="0"/>
              </w:rPr>
            </w:r>
          </w:p>
        </w:tc>
        <w:tc>
          <w:tcPr/>
          <w:p w:rsidR="00000000" w:rsidDel="00000000" w:rsidP="00000000" w:rsidRDefault="00000000" w:rsidRPr="00000000" w14:paraId="000000AB">
            <w:pPr>
              <w:tabs>
                <w:tab w:val="left" w:leader="none" w:pos="709"/>
              </w:tabs>
              <w:spacing w:after="120" w:before="12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0AC">
            <w:pPr>
              <w:tabs>
                <w:tab w:val="left" w:leader="none" w:pos="709"/>
              </w:tabs>
              <w:spacing w:after="120" w:before="120" w:lineRule="auto"/>
              <w:rPr>
                <w:color w:val="000000"/>
              </w:rPr>
            </w:pPr>
            <w:r w:rsidDel="00000000" w:rsidR="00000000" w:rsidRPr="00000000">
              <w:rPr>
                <w:rtl w:val="0"/>
              </w:rPr>
            </w:r>
          </w:p>
        </w:tc>
        <w:tc>
          <w:tcPr/>
          <w:p w:rsidR="00000000" w:rsidDel="00000000" w:rsidP="00000000" w:rsidRDefault="00000000" w:rsidRPr="00000000" w14:paraId="000000AD">
            <w:pPr>
              <w:tabs>
                <w:tab w:val="left" w:leader="none" w:pos="709"/>
              </w:tabs>
              <w:spacing w:after="120" w:before="12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E">
            <w:pPr>
              <w:tabs>
                <w:tab w:val="left" w:leader="none" w:pos="709"/>
              </w:tabs>
              <w:spacing w:after="120" w:before="120" w:lineRule="auto"/>
              <w:rPr>
                <w:color w:val="000000"/>
              </w:rPr>
            </w:pPr>
            <w:r w:rsidDel="00000000" w:rsidR="00000000" w:rsidRPr="00000000">
              <w:rPr>
                <w:rtl w:val="0"/>
              </w:rPr>
            </w:r>
          </w:p>
        </w:tc>
        <w:tc>
          <w:tcPr/>
          <w:p w:rsidR="00000000" w:rsidDel="00000000" w:rsidP="00000000" w:rsidRDefault="00000000" w:rsidRPr="00000000" w14:paraId="000000AF">
            <w:pPr>
              <w:tabs>
                <w:tab w:val="left" w:leader="none" w:pos="709"/>
              </w:tabs>
              <w:spacing w:after="120" w:before="120" w:lineRule="auto"/>
              <w:rPr>
                <w:color w:val="000000"/>
              </w:rPr>
            </w:pP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00" w:before="100" w:lineRule="auto"/>
        <w:ind w:left="360" w:firstLine="936"/>
        <w:rPr>
          <w:color w:val="000000"/>
          <w:highlight w:val="yellow"/>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9"/>
        </w:tabs>
        <w:spacing w:after="120" w:lineRule="auto"/>
        <w:rPr>
          <w:b w:val="1"/>
          <w:i w:val="1"/>
          <w:color w:val="000000"/>
          <w:highlight w:val="yellow"/>
        </w:rPr>
      </w:pPr>
      <w:r w:rsidDel="00000000" w:rsidR="00000000" w:rsidRPr="00000000">
        <w:rPr>
          <w:b w:val="1"/>
          <w:i w:val="1"/>
          <w:color w:val="000000"/>
          <w:highlight w:val="yellow"/>
          <w:rtl w:val="0"/>
        </w:rPr>
        <w:t xml:space="preserve">[Guidance: The </w:t>
      </w:r>
      <w:r w:rsidDel="00000000" w:rsidR="00000000" w:rsidRPr="00000000">
        <w:rPr>
          <w:b w:val="1"/>
          <w:i w:val="1"/>
          <w:highlight w:val="yellow"/>
          <w:rtl w:val="0"/>
        </w:rPr>
        <w:t xml:space="preserve">Buyer </w:t>
      </w:r>
      <w:r w:rsidDel="00000000" w:rsidR="00000000" w:rsidRPr="00000000">
        <w:rPr>
          <w:b w:val="1"/>
          <w:i w:val="1"/>
          <w:color w:val="000000"/>
          <w:highlight w:val="yellow"/>
          <w:rtl w:val="0"/>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this Contract. This may need to be updated throughout the life of this Contract. Only New IPR and Specially Written Software which is part of the Deliverables, or is necessary for the use of the Deliverables by the Buyer will need to be recorded here. IPR such as email communications or documents which do not form part of the Deliverables need not be recorded in this Annex.]</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9"/>
        </w:tabs>
        <w:spacing w:after="120" w:lineRule="auto"/>
        <w:rPr>
          <w:b w:val="1"/>
          <w:i w:val="1"/>
          <w:color w:val="000000"/>
        </w:rPr>
      </w:pPr>
      <w:r w:rsidDel="00000000" w:rsidR="00000000" w:rsidRPr="00000000">
        <w:rPr>
          <w:rtl w:val="0"/>
        </w:rPr>
      </w:r>
    </w:p>
    <w:p w:rsidR="00000000" w:rsidDel="00000000" w:rsidP="00000000" w:rsidRDefault="00000000" w:rsidRPr="00000000" w14:paraId="000000B3">
      <w:pPr>
        <w:spacing w:after="160" w:line="259" w:lineRule="auto"/>
        <w:rPr>
          <w:b w:val="1"/>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00" w:before="100" w:lineRule="auto"/>
        <w:ind w:firstLine="57"/>
        <w:rPr>
          <w:b w:val="1"/>
          <w:color w:val="000000"/>
        </w:rPr>
      </w:pPr>
      <w:r w:rsidDel="00000000" w:rsidR="00000000" w:rsidRPr="00000000">
        <w:rPr>
          <w:b w:val="1"/>
          <w:color w:val="000000"/>
          <w:rtl w:val="0"/>
        </w:rPr>
        <w:t xml:space="preserve">ANNEX 2: FORM OF CONFIDENTIALITY UNDERTAKING</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 AGREEMENT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made 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BETWEEN:</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Sub-licensee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together with the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w:t>
      </w:r>
    </w:p>
    <w:p w:rsidR="00000000" w:rsidDel="00000000" w:rsidP="00000000" w:rsidRDefault="00000000" w:rsidRPr="00000000" w14:paraId="000000BB">
      <w:pPr>
        <w:spacing w:after="200" w:before="100" w:lineRule="auto"/>
        <w:ind w:left="720" w:hanging="720"/>
        <w:rPr/>
      </w:pPr>
      <w:r w:rsidDel="00000000" w:rsidR="00000000" w:rsidRPr="00000000">
        <w:rPr>
          <w:rtl w:val="0"/>
        </w:rPr>
        <w:t xml:space="preserve">(A)</w:t>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name of Buyer]</w:t>
      </w:r>
      <w:r w:rsidDel="00000000" w:rsidR="00000000" w:rsidRPr="00000000">
        <w:rPr>
          <w:rtl w:val="0"/>
        </w:rPr>
        <w:t xml:space="preserve"> (the “</w:t>
      </w:r>
      <w:r w:rsidDel="00000000" w:rsidR="00000000" w:rsidRPr="00000000">
        <w:rPr>
          <w:rFonts w:ascii="Arial" w:cs="Arial" w:eastAsia="Arial" w:hAnsi="Arial"/>
          <w:b w:val="1"/>
          <w:sz w:val="24"/>
          <w:szCs w:val="24"/>
          <w:rtl w:val="0"/>
        </w:rPr>
        <w:t xml:space="preserve">Buyer</w:t>
      </w:r>
      <w:r w:rsidDel="00000000" w:rsidR="00000000" w:rsidRPr="00000000">
        <w:rPr>
          <w:rtl w:val="0"/>
        </w:rPr>
        <w:t xml:space="preserve">”) and the Supplier are party to a contract dated </w:t>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date]</w:t>
      </w:r>
      <w:r w:rsidDel="00000000" w:rsidR="00000000" w:rsidRPr="00000000">
        <w:rPr>
          <w:rtl w:val="0"/>
        </w:rPr>
        <w:t xml:space="preserve"> (the “</w:t>
      </w:r>
      <w:r w:rsidDel="00000000" w:rsidR="00000000" w:rsidRPr="00000000">
        <w:rPr>
          <w:rFonts w:ascii="Arial" w:cs="Arial" w:eastAsia="Arial" w:hAnsi="Arial"/>
          <w:b w:val="1"/>
          <w:sz w:val="24"/>
          <w:szCs w:val="24"/>
          <w:rtl w:val="0"/>
        </w:rPr>
        <w:t xml:space="preserve">Contract</w:t>
      </w:r>
      <w:r w:rsidDel="00000000" w:rsidR="00000000" w:rsidRPr="00000000">
        <w:rPr>
          <w:rtl w:val="0"/>
        </w:rPr>
        <w:t xml:space="preserve">”) for the provision by the Supplier of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brief description of services]</w:t>
      </w:r>
      <w:r w:rsidDel="00000000" w:rsidR="00000000" w:rsidRPr="00000000">
        <w:rPr>
          <w:rtl w:val="0"/>
        </w:rPr>
        <w:t xml:space="preserve"> to the Buyer.</w:t>
      </w:r>
    </w:p>
    <w:p w:rsidR="00000000" w:rsidDel="00000000" w:rsidP="00000000" w:rsidRDefault="00000000" w:rsidRPr="00000000" w14:paraId="000000BC">
      <w:pPr>
        <w:spacing w:after="200" w:before="100" w:lineRule="auto"/>
        <w:ind w:left="720" w:hanging="720"/>
        <w:rPr/>
      </w:pPr>
      <w:bookmarkStart w:colFirst="0" w:colLast="0" w:name="_heading=h.3o7alnk" w:id="29"/>
      <w:bookmarkEnd w:id="29"/>
      <w:r w:rsidDel="00000000" w:rsidR="00000000" w:rsidRPr="00000000">
        <w:rPr>
          <w:rtl w:val="0"/>
        </w:rPr>
        <w:t xml:space="preserve">(B)</w:t>
        <w:tab/>
        <w:t xml:space="preserve">The Buyer wishes to grant a sub-licence to the Sub-licensee in respect of certain software and intellectual property rights licensed to the Buyer pursuant to this Contract (the “</w:t>
      </w:r>
      <w:r w:rsidDel="00000000" w:rsidR="00000000" w:rsidRPr="00000000">
        <w:rPr>
          <w:rFonts w:ascii="Arial" w:cs="Arial" w:eastAsia="Arial" w:hAnsi="Arial"/>
          <w:b w:val="1"/>
          <w:sz w:val="24"/>
          <w:szCs w:val="24"/>
          <w:rtl w:val="0"/>
        </w:rPr>
        <w:t xml:space="preserve">Sub-licence</w:t>
      </w:r>
      <w:r w:rsidDel="00000000" w:rsidR="00000000" w:rsidRPr="00000000">
        <w:rPr>
          <w:rtl w:val="0"/>
        </w:rPr>
        <w:t xml:space="preserve">”).</w:t>
      </w:r>
    </w:p>
    <w:p w:rsidR="00000000" w:rsidDel="00000000" w:rsidP="00000000" w:rsidRDefault="00000000" w:rsidRPr="00000000" w14:paraId="000000BD">
      <w:pPr>
        <w:spacing w:after="200" w:before="100" w:lineRule="auto"/>
        <w:ind w:left="720" w:hanging="720"/>
        <w:rPr/>
      </w:pPr>
      <w:r w:rsidDel="00000000" w:rsidR="00000000" w:rsidRPr="00000000">
        <w:rPr>
          <w:rtl w:val="0"/>
        </w:rPr>
        <w:t xml:space="preserve">(C)</w:t>
        <w:tab/>
        <w:t xml:space="preserve">It is a requirement of this Contract that, before the Buyer grants such sub-licence to the Sub-licensee, the Sub-licensee execute a confidentiality agreement in favour of the Supplier in or substantially in the form of this Agreement to protect the Confidential Information of the Buyer.</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AGREED as follows:</w:t>
      </w:r>
    </w:p>
    <w:p w:rsidR="00000000" w:rsidDel="00000000" w:rsidP="00000000" w:rsidRDefault="00000000" w:rsidRPr="00000000" w14:paraId="000000BF">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color w:val="000000"/>
          <w:sz w:val="22"/>
          <w:szCs w:val="22"/>
          <w:shd w:fill="auto" w:val="clear"/>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Interpretation</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Agreement, unless the context otherwise requires:</w:t>
      </w:r>
      <w:r w:rsidDel="00000000" w:rsidR="00000000" w:rsidRPr="00000000">
        <w:rPr>
          <w:rtl w:val="0"/>
        </w:rPr>
      </w:r>
    </w:p>
    <w:tbl>
      <w:tblPr>
        <w:tblStyle w:val="Table3"/>
        <w:tblW w:w="8165.0" w:type="dxa"/>
        <w:jc w:val="left"/>
        <w:tblInd w:w="624.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835"/>
        <w:gridCol w:w="5330"/>
        <w:tblGridChange w:id="0">
          <w:tblGrid>
            <w:gridCol w:w="2835"/>
            <w:gridCol w:w="5330"/>
          </w:tblGrid>
        </w:tblGridChange>
      </w:tblGrid>
      <w:tr>
        <w:trPr>
          <w:cantSplit w:val="0"/>
          <w:tblHeader w:val="0"/>
        </w:trPr>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 Information”</w:t>
            </w:r>
          </w:p>
        </w:tc>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C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including all personal data within the meaning of the Data Protection Act 2018, and however it is conveyed, provided by the Buyer to the Sub-licensee pursuant to or in connection with the Sub-licence that relates to:</w:t>
            </w:r>
          </w:p>
          <w:p w:rsidR="00000000" w:rsidDel="00000000" w:rsidP="00000000" w:rsidRDefault="00000000" w:rsidRPr="00000000" w14:paraId="000000C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00" w:before="10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w:t>
            </w:r>
          </w:p>
          <w:p w:rsidR="00000000" w:rsidDel="00000000" w:rsidP="00000000" w:rsidRDefault="00000000" w:rsidRPr="00000000" w14:paraId="000000C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00" w:before="10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operations, business, affairs, developments, intellectual property rights, trade secrets, know-how and/or personnel of the Supplier;</w:t>
            </w:r>
          </w:p>
          <w:p w:rsidR="00000000" w:rsidDel="00000000" w:rsidP="00000000" w:rsidRDefault="00000000" w:rsidRPr="00000000" w14:paraId="000000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source code and the object code of the software sub-licensed to the Sub-licensee pursuant to the Sub-licence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rsidR="00000000" w:rsidDel="00000000" w:rsidP="00000000" w:rsidRDefault="00000000" w:rsidRPr="00000000" w14:paraId="000000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rsidR="00000000" w:rsidDel="00000000" w:rsidP="00000000" w:rsidRDefault="00000000" w:rsidRPr="00000000" w14:paraId="000000C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derived from any of the above,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not including any Information that:</w:t>
            </w:r>
          </w:p>
          <w:p w:rsidR="00000000" w:rsidDel="00000000" w:rsidP="00000000" w:rsidRDefault="00000000" w:rsidRPr="00000000" w14:paraId="000000C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in the possession of the Sub-licensee without obligation of confidentiality prior to its disclosure by the Buyer; </w:t>
            </w:r>
          </w:p>
          <w:p w:rsidR="00000000" w:rsidDel="00000000" w:rsidP="00000000" w:rsidRDefault="00000000" w:rsidRPr="00000000" w14:paraId="000000C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already generally available and in the public domain at the time of disclosure otherwise than by a breach of this Agreement or breach of a duty of confidentiality; or</w:t>
            </w:r>
          </w:p>
          <w:p w:rsidR="00000000" w:rsidDel="00000000" w:rsidP="00000000" w:rsidRDefault="00000000" w:rsidRPr="00000000" w14:paraId="000000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independently developed without access to the Information;</w:t>
            </w:r>
          </w:p>
        </w:tc>
      </w:tr>
      <w:tr>
        <w:trPr>
          <w:cantSplit w:val="0"/>
          <w:tblHeader w:val="0"/>
        </w:trPr>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w:t>
            </w:r>
          </w:p>
        </w:tc>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all information of whatever nature, however conveyed and in whatever form, including in writing, orally, by demonstration, electronically and in a tangible, visual or machine-readable medium (including CD-ROM, magnetic and digital form); and</w:t>
            </w:r>
          </w:p>
        </w:tc>
      </w:tr>
      <w:tr>
        <w:trPr>
          <w:cantSplit w:val="0"/>
          <w:tblHeader w:val="0"/>
        </w:trPr>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“Sub-licence”</w:t>
            </w:r>
          </w:p>
        </w:tc>
        <w:tc>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that expression in recital (B) to this Agreement.</w:t>
            </w:r>
          </w:p>
        </w:tc>
      </w:tr>
    </w:tbl>
    <w:p w:rsidR="00000000" w:rsidDel="00000000" w:rsidP="00000000" w:rsidRDefault="00000000" w:rsidRPr="00000000" w14:paraId="000000D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Agreement:</w:t>
      </w:r>
    </w:p>
    <w:p w:rsidR="00000000" w:rsidDel="00000000" w:rsidP="00000000" w:rsidRDefault="00000000" w:rsidRPr="00000000" w14:paraId="000000D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reference to any gender includes a reference to other genders;</w:t>
      </w:r>
    </w:p>
    <w:p w:rsidR="00000000" w:rsidDel="00000000" w:rsidP="00000000" w:rsidRDefault="00000000" w:rsidRPr="00000000" w14:paraId="000000D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singular includes the plural and vice versa;</w:t>
      </w:r>
    </w:p>
    <w:p w:rsidR="00000000" w:rsidDel="00000000" w:rsidP="00000000" w:rsidRDefault="00000000" w:rsidRPr="00000000" w14:paraId="000000D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“include” and cognate expressions shall be construed as if they were immediately followed by the words “without limitation”;</w:t>
      </w:r>
    </w:p>
    <w:p w:rsidR="00000000" w:rsidDel="00000000" w:rsidP="00000000" w:rsidRDefault="00000000" w:rsidRPr="00000000" w14:paraId="000000D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rsidR="00000000" w:rsidDel="00000000" w:rsidP="00000000" w:rsidRDefault="00000000" w:rsidRPr="00000000" w14:paraId="000000D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headings are included for ease of reference only and shall not affect the interpretation or construction of this Agreement; and</w:t>
      </w:r>
    </w:p>
    <w:p w:rsidR="00000000" w:rsidDel="00000000" w:rsidP="00000000" w:rsidRDefault="00000000" w:rsidRPr="00000000" w14:paraId="000000D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Clauses are to clauses of this Agreement.</w:t>
      </w:r>
    </w:p>
    <w:p w:rsidR="00000000" w:rsidDel="00000000" w:rsidP="00000000" w:rsidRDefault="00000000" w:rsidRPr="00000000" w14:paraId="000000D8">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 Obligations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consideration of the Buyer entering into the Sub-licence, the Sub-licensee shall:</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all Confidential Information as secret and confidential;</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in place and maintain proper security measures and procedures to protect the confidentiality of the Confidential Information (having regard to its form and nature); </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disclose or permit the disclosure of any of the Confidential Information to any other person without obtaining the prior written consent of the Supplier or except as expressly set out in this Agreement; </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transfer any of the Confidential Information outside the United Kingdom;</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use or exploit any of the Confidential Information for any purpose whatsoever other than as permitted under the Sub-licence; </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notify the Supplier in writing if it suspects or becomes aware of any unauthorised access, copying, use or disclosure in any form of any of the Confidential Information; and</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the expiry or termination of the Sub-licence:</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00" w:line="240" w:lineRule="auto"/>
        <w:ind w:left="2523"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destroy or return to the Supplier all documents and other tangible materials that contain any of the Confidential Information;</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00" w:line="240" w:lineRule="auto"/>
        <w:ind w:left="720" w:right="0" w:firstLine="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00" w:line="240" w:lineRule="auto"/>
        <w:ind w:left="720" w:right="0" w:firstLine="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no further use of any Confidential Information. </w:t>
      </w:r>
      <w:r w:rsidDel="00000000" w:rsidR="00000000" w:rsidRPr="00000000">
        <w:rPr>
          <w:rtl w:val="0"/>
        </w:rPr>
      </w:r>
    </w:p>
    <w:p w:rsidR="00000000" w:rsidDel="00000000" w:rsidP="00000000" w:rsidRDefault="00000000" w:rsidRPr="00000000" w14:paraId="000000E4">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Disclosures</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may disclose Confidential Information to those of its directors, officers, employees, consultants and professional advisers who:</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reasonably need to receive the Confidential Information in connection with the Sub-licence; and</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informed by the Sub-licensee of the confidential nature of the Confidential Information; and</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agreed to terms similar to those in this Agreement.</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bookmarkStart w:colFirst="0" w:colLast="0" w:name="_heading=h.23ckvvd"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shall be entitled to disclose Confidential Information to the extent that it is required to do so by applicable law or by order of a court or other public body that has jurisdiction over the Sub-licensee.</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bookmarkStart w:colFirst="0" w:colLast="0" w:name="_heading=h.ihv636"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making a disclosure pursuant to Clause 3.2, the Sub-licensee shall, if the circumstances permit:</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Supplier in writing of the proposed disclosure as soon as possible (and if possible before the court or other public body orders the disclosure of the Confidential Information); and</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the court or other public body to treat the Confidential Information as confidential.</w:t>
      </w:r>
      <w:r w:rsidDel="00000000" w:rsidR="00000000" w:rsidRPr="00000000">
        <w:rPr>
          <w:rtl w:val="0"/>
        </w:rPr>
      </w:r>
    </w:p>
    <w:p w:rsidR="00000000" w:rsidDel="00000000" w:rsidP="00000000" w:rsidRDefault="00000000" w:rsidRPr="00000000" w14:paraId="000000ED">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acknowledges and agrees that all property, including intellectual property rights, in Confidential Information disclosed to it by the Supplier shall remain with and be vested in the Supplier.</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does not include, expressly or by implication, any representations, warranties or other obligations:</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grant the Sub-licensee any licence or rights other than as may be expressly stated in the Sub-licence;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require the Supplier to disclose, continue disclosing or update any Confidential Information; or</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to the accuracy, efficacy, completeness, capabilities, safety or any other qualities whatsoever of any Information or materials provided pursuant to or in anticipation of the Sub-licence.</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maximum liability of the Sub-licensee to the Supplier for any breach of this Agreement shall be limited to ten million pounds (£10,000,000).</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the Contracts (Rights of Third Parties) Act 1999 no one other than the Parties has the right to enforce the terms of this Agreement.</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be responsible for all costs incurred by it or on its behalf in connection with this Agreement.</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r w:rsidDel="00000000" w:rsidR="00000000" w:rsidRPr="00000000">
        <w:rPr>
          <w:rtl w:val="0"/>
        </w:rPr>
      </w:r>
    </w:p>
    <w:p w:rsidR="00000000" w:rsidDel="00000000" w:rsidP="00000000" w:rsidRDefault="00000000" w:rsidRPr="00000000" w14:paraId="000000F9">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bookmarkStart w:colFirst="0" w:colLast="0" w:name="_heading=h.32hioqz"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notice to be given under this Agreement (each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bookmarkStart w:colFirst="0" w:colLast="0" w:name="_heading=h.1hmsyys"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Notice:</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to be given to the Supplier shall be sent to:</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[Address]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Attention: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[Contact name and/or position, e.g. “The Finance Director”]</w:t>
      </w:r>
    </w:p>
    <w:p w:rsidR="00000000" w:rsidDel="00000000" w:rsidP="00000000" w:rsidRDefault="00000000" w:rsidRPr="00000000" w14:paraId="000000F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to be given to the Sub-licensee shall be sent to:</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Organisation]</w:t>
        <w:br w:type="textWrapping"/>
        <w:t xml:space="preserve">[Address]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Attention: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102">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hereby irrevocably submits to the exclusive jurisdiction of the English courts in respect of any claim or dispute arising out of or in connection with this Agreement.</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4"/>
      <w:bookmarkEnd w:id="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WITNESS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above this Agreement has been signed by the duly authorised representatives of the Parties on the date which appears at the head of page 1.</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Supplier]</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6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gridCol w:w="4532"/>
        <w:tblGridChange w:id="0">
          <w:tblGrid>
            <w:gridCol w:w="4531"/>
            <w:gridCol w:w="4532"/>
          </w:tblGrid>
        </w:tblGridChange>
      </w:tblGrid>
      <w:tr>
        <w:trPr>
          <w:cantSplit w:val="0"/>
          <w:tblHeader w:val="0"/>
        </w:trPr>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______________________________</w:t>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Sub-licensee]</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06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gridCol w:w="4532"/>
        <w:tblGridChange w:id="0">
          <w:tblGrid>
            <w:gridCol w:w="4531"/>
            <w:gridCol w:w="4532"/>
          </w:tblGrid>
        </w:tblGridChange>
      </w:tblGrid>
      <w:tr>
        <w:trPr>
          <w:cantSplit w:val="0"/>
          <w:tblHeader w:val="0"/>
        </w:trPr>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______________________________</w:t>
            </w:r>
          </w:p>
        </w:tc>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9"/>
        </w:tabs>
        <w:spacing w:after="120" w:lineRule="auto"/>
        <w:rPr>
          <w:b w:val="1"/>
          <w:i w:val="1"/>
          <w:color w:val="000000"/>
          <w:sz w:val="22"/>
          <w:szCs w:val="22"/>
        </w:rPr>
      </w:pPr>
      <w:r w:rsidDel="00000000" w:rsidR="00000000" w:rsidRPr="00000000">
        <w:rPr>
          <w:rtl w:val="0"/>
        </w:rPr>
      </w:r>
    </w:p>
    <w:sectPr>
      <w:type w:val="nextPage"/>
      <w:pgSz w:h="16838" w:w="11906" w:orient="portrait"/>
      <w:pgMar w:bottom="1797"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RM6285</w:t>
    </w:r>
  </w:p>
  <w:p w:rsidR="00000000" w:rsidDel="00000000" w:rsidP="00000000" w:rsidRDefault="00000000" w:rsidRPr="00000000" w14:paraId="00000117">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26 (Intellectual Property Rights) Crown Copyright 2024</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5"/>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
      <w:lvlJc w:val="left"/>
      <w:pPr>
        <w:ind w:left="1440" w:hanging="720"/>
      </w:pPr>
      <w:rPr/>
    </w:lvl>
    <w:lvl w:ilvl="4">
      <w:start w:val="1"/>
      <w:numFmt w:val="decimal"/>
      <w:lvlText w:val=""/>
      <w:lvlJc w:val="left"/>
      <w:pPr>
        <w:ind w:left="1440" w:hanging="720"/>
      </w:pPr>
      <w:rPr/>
    </w:lvl>
    <w:lvl w:ilvl="5">
      <w:start w:val="1"/>
      <w:numFmt w:val="decimal"/>
      <w:lvlText w:val=""/>
      <w:lvlJc w:val="left"/>
      <w:pPr>
        <w:ind w:left="1440" w:hanging="720"/>
      </w:pPr>
      <w:rPr/>
    </w:lvl>
    <w:lvl w:ilvl="6">
      <w:start w:val="1"/>
      <w:numFmt w:val="decimal"/>
      <w:lvlText w:val=""/>
      <w:lvlJc w:val="left"/>
      <w:pPr>
        <w:ind w:left="1440" w:hanging="720"/>
      </w:pPr>
      <w:rPr/>
    </w:lvl>
    <w:lvl w:ilvl="7">
      <w:start w:val="1"/>
      <w:numFmt w:val="decimal"/>
      <w:lvlText w:val=""/>
      <w:lvlJc w:val="left"/>
      <w:pPr>
        <w:ind w:left="1440" w:hanging="720"/>
      </w:pPr>
      <w:rPr/>
    </w:lvl>
    <w:lvl w:ilvl="8">
      <w:start w:val="1"/>
      <w:numFmt w:val="decimal"/>
      <w:lvlText w:val=""/>
      <w:lvlJc w:val="left"/>
      <w:pPr>
        <w:ind w:left="1440" w:hanging="720"/>
      </w:pPr>
      <w:rPr/>
    </w:lvl>
  </w:abstractNum>
  <w:abstractNum w:abstractNumId="4">
    <w:lvl w:ilvl="0">
      <w:start w:val="1"/>
      <w:numFmt w:val="decimal"/>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
      <w:lvlJc w:val="left"/>
      <w:pPr>
        <w:ind w:left="1440" w:hanging="720"/>
      </w:pPr>
      <w:rPr/>
    </w:lvl>
    <w:lvl w:ilvl="4">
      <w:start w:val="1"/>
      <w:numFmt w:val="decimal"/>
      <w:lvlText w:val=""/>
      <w:lvlJc w:val="left"/>
      <w:pPr>
        <w:ind w:left="1440" w:hanging="720"/>
      </w:pPr>
      <w:rPr/>
    </w:lvl>
    <w:lvl w:ilvl="5">
      <w:start w:val="1"/>
      <w:numFmt w:val="decimal"/>
      <w:lvlText w:val=""/>
      <w:lvlJc w:val="left"/>
      <w:pPr>
        <w:ind w:left="1440" w:hanging="720"/>
      </w:pPr>
      <w:rPr/>
    </w:lvl>
    <w:lvl w:ilvl="6">
      <w:start w:val="1"/>
      <w:numFmt w:val="decimal"/>
      <w:lvlText w:val=""/>
      <w:lvlJc w:val="left"/>
      <w:pPr>
        <w:ind w:left="1440" w:hanging="720"/>
      </w:pPr>
      <w:rPr/>
    </w:lvl>
    <w:lvl w:ilvl="7">
      <w:start w:val="1"/>
      <w:numFmt w:val="decimal"/>
      <w:lvlText w:val=""/>
      <w:lvlJc w:val="left"/>
      <w:pPr>
        <w:ind w:left="1440" w:hanging="720"/>
      </w:pPr>
      <w:rPr/>
    </w:lvl>
    <w:lvl w:ilvl="8">
      <w:start w:val="1"/>
      <w:numFmt w:val="decimal"/>
      <w:lvlText w:val=""/>
      <w:lvlJc w:val="left"/>
      <w:pPr>
        <w:ind w:left="1440" w:hanging="720"/>
      </w:pPr>
      <w:rPr/>
    </w:lvl>
  </w:abstractNum>
  <w:abstractNum w:abstractNumId="6">
    <w:lvl w:ilvl="0">
      <w:start w:val="1"/>
      <w:numFmt w:val="decimal"/>
      <w:lvlText w:val="%1"/>
      <w:lvlJc w:val="left"/>
      <w:pPr>
        <w:ind w:left="720" w:hanging="720"/>
      </w:pPr>
      <w:rPr>
        <w:smallCaps w:val="0"/>
        <w:strike w:val="0"/>
        <w:u w:val="none"/>
        <w:vertAlign w:val="baseline"/>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decimal"/>
      <w:lvlText w:val="%2.%3.%4"/>
      <w:lvlJc w:val="left"/>
      <w:pPr>
        <w:ind w:left="1803" w:hanging="1083"/>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720"/>
      </w:pPr>
      <w:rPr>
        <w:smallCaps w:val="0"/>
        <w:strike w:val="0"/>
        <w:u w:val="none"/>
        <w:vertAlign w:val="baseline"/>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decimal"/>
      <w:lvlText w:val="%2.%3.%4"/>
      <w:lvlJc w:val="left"/>
      <w:pPr>
        <w:ind w:left="1803" w:hanging="1083"/>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firstLine="1083"/>
      </w:pPr>
      <w:rPr>
        <w:b w:val="0"/>
        <w:i w:val="0"/>
        <w:smallCaps w:val="0"/>
        <w:strike w:val="0"/>
        <w:u w:val="none"/>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5"/>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357" w:right="0" w:hanging="357"/>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240" w:before="0" w:line="240" w:lineRule="auto"/>
      <w:ind w:left="3132" w:right="0" w:hanging="579"/>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240" w:before="0" w:line="240" w:lineRule="auto"/>
      <w:ind w:left="1701" w:right="0" w:hanging="765"/>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240" w:before="0" w:line="240" w:lineRule="auto"/>
      <w:ind w:left="2591" w:right="0" w:hanging="935"/>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240" w:before="0" w:line="240" w:lineRule="auto"/>
      <w:ind w:left="3005" w:right="0" w:hanging="413.9999999999998"/>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240" w:before="0" w:line="240" w:lineRule="auto"/>
      <w:ind w:left="3402" w:right="0" w:hanging="396.9999999999999"/>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357" w:right="0" w:hanging="357"/>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240" w:before="0" w:line="240" w:lineRule="auto"/>
      <w:ind w:left="3132" w:right="0" w:hanging="579"/>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240" w:before="0" w:line="240" w:lineRule="auto"/>
      <w:ind w:left="1701" w:right="0" w:hanging="765"/>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240" w:before="0" w:line="240" w:lineRule="auto"/>
      <w:ind w:left="2591" w:right="0" w:hanging="935"/>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240" w:before="0" w:line="240" w:lineRule="auto"/>
      <w:ind w:left="3005" w:right="0" w:hanging="413.9999999999998"/>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240" w:before="0" w:line="240" w:lineRule="auto"/>
      <w:ind w:left="3402" w:right="0" w:hanging="396.9999999999999"/>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0.0" w:type="dxa"/>
      </w:tblCellMar>
    </w:tblPr>
    <w:tcPr>
      <w:shd w:fill="auto" w:val="clear"/>
    </w:tcPr>
  </w:style>
  <w:style w:type="table" w:styleId="Table4">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0.0" w:type="dxa"/>
      </w:tblCellMar>
    </w:tblPr>
    <w:tcPr>
      <w:shd w:fill="auto" w:val="clear"/>
    </w:tcPr>
  </w:style>
  <w:style w:type="table" w:styleId="Table5">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0.0" w:type="dxa"/>
      </w:tblCellMar>
    </w:tblPr>
    <w:tcPr>
      <w:shd w:fill="auto"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Calibri" w:cs="Calibri" w:eastAsia="Calibri" w:hAnsi="Calibri"/>
      <w:b w:val="1"/>
      <w:color w:val="ffffff"/>
      <w:sz w:val="24"/>
      <w:szCs w:val="24"/>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mvxiZ3+cVM/O2Af5rN7wi3le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zbzdhbG5rMgloLjIzY2t2dmQyCGguaWh2NjM2MgloLjMyaGlvcXoyCWguMWhtc3l5czIJaC40MW1naG1sOAByITFHNlQtX0NyWXNSZW5uNXVaM3RfOU45Y3p1NnNrMTl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AHS Applied</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Plato Config - LV</vt:lpwstr>
  </property>
</Properties>
</file>