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mallCaps w:val="1"/>
          <w:sz w:val="24"/>
          <w:szCs w:val="24"/>
        </w:rPr>
        <w:sectPr>
          <w:headerReference r:id="rId7" w:type="default"/>
          <w:headerReference r:id="rId8" w:type="first"/>
          <w:footerReference r:id="rId9" w:type="default"/>
          <w:footerReference r:id="rId10" w:type="first"/>
          <w:pgSz w:h="16838" w:w="11906" w:orient="portrait"/>
          <w:pgMar w:bottom="1440" w:top="1440" w:left="1440" w:right="1440" w:header="720" w:footer="720"/>
          <w:pgNumType w:start="1"/>
        </w:sectPr>
      </w:pPr>
      <w:bookmarkStart w:colFirst="0" w:colLast="0" w:name="_heading=h.gjdgxs" w:id="0"/>
      <w:bookmarkEnd w:id="0"/>
      <w:r w:rsidDel="00000000" w:rsidR="00000000" w:rsidRPr="00000000">
        <w:rPr>
          <w:rFonts w:ascii="Arial" w:cs="Arial" w:eastAsia="Arial" w:hAnsi="Arial"/>
          <w:b w:val="1"/>
          <w:smallCaps w:val="1"/>
          <w:sz w:val="24"/>
          <w:szCs w:val="24"/>
        </w:rPr>
        <mc:AlternateContent>
          <mc:Choice Requires="wpg">
            <w:drawing>
              <wp:anchor allowOverlap="1" behindDoc="0" distB="0" distT="0" distL="114300" distR="114300" hidden="0" layoutInCell="1" locked="0" relativeHeight="0" simplePos="0">
                <wp:simplePos x="0" y="0"/>
                <wp:positionH relativeFrom="page">
                  <wp:posOffset>914400</wp:posOffset>
                </wp:positionH>
                <wp:positionV relativeFrom="margin">
                  <wp:posOffset>1081616</wp:posOffset>
                </wp:positionV>
                <wp:extent cx="6286500" cy="7582653"/>
                <wp:effectExtent b="0" l="0" r="0" t="0"/>
                <wp:wrapNone/>
                <wp:docPr id="3" name=""/>
                <a:graphic>
                  <a:graphicData uri="http://schemas.microsoft.com/office/word/2010/wordprocessingGroup">
                    <wpg:wgp>
                      <wpg:cNvGrpSpPr/>
                      <wpg:grpSpPr>
                        <a:xfrm>
                          <a:off x="2202750" y="0"/>
                          <a:ext cx="6286500" cy="7582653"/>
                          <a:chOff x="2202750" y="0"/>
                          <a:chExt cx="6286500" cy="7560000"/>
                        </a:xfrm>
                      </wpg:grpSpPr>
                      <wpg:grpSp>
                        <wpg:cNvGrpSpPr/>
                        <wpg:grpSpPr>
                          <a:xfrm>
                            <a:off x="2202750" y="0"/>
                            <a:ext cx="6286500" cy="7560000"/>
                            <a:chOff x="2202750" y="0"/>
                            <a:chExt cx="6286500" cy="7560000"/>
                          </a:xfrm>
                        </wpg:grpSpPr>
                        <wps:wsp>
                          <wps:cNvSpPr/>
                          <wps:cNvPr id="3" name="Shape 3"/>
                          <wps:spPr>
                            <a:xfrm>
                              <a:off x="2202750" y="0"/>
                              <a:ext cx="62865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0"/>
                              <a:ext cx="6286500" cy="7560000"/>
                              <a:chOff x="2202750" y="0"/>
                              <a:chExt cx="6286525" cy="7560000"/>
                            </a:xfrm>
                          </wpg:grpSpPr>
                          <wps:wsp>
                            <wps:cNvSpPr/>
                            <wps:cNvPr id="5" name="Shape 5"/>
                            <wps:spPr>
                              <a:xfrm>
                                <a:off x="2202750" y="0"/>
                                <a:ext cx="628652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0"/>
                                <a:ext cx="6286500" cy="7560000"/>
                                <a:chOff x="2202750" y="0"/>
                                <a:chExt cx="6286500" cy="7560000"/>
                              </a:xfrm>
                            </wpg:grpSpPr>
                            <wps:wsp>
                              <wps:cNvSpPr/>
                              <wps:cNvPr id="7" name="Shape 7"/>
                              <wps:spPr>
                                <a:xfrm>
                                  <a:off x="2202750" y="0"/>
                                  <a:ext cx="62865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0"/>
                                  <a:ext cx="6286500" cy="7560000"/>
                                  <a:chOff x="-133357" y="-2276513"/>
                                  <a:chExt cx="6286835" cy="8320544"/>
                                </a:xfrm>
                              </wpg:grpSpPr>
                              <wps:wsp>
                                <wps:cNvSpPr/>
                                <wps:cNvPr id="9" name="Shape 9"/>
                                <wps:spPr>
                                  <a:xfrm>
                                    <a:off x="-133357" y="-2276513"/>
                                    <a:ext cx="6286825" cy="8320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980383" y="5629376"/>
                                    <a:ext cx="3173095" cy="41465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right"/>
                                        <w:textDirection w:val="btLr"/>
                                      </w:pPr>
                                    </w:p>
                                  </w:txbxContent>
                                </wps:txbx>
                                <wps:bodyPr anchorCtr="0" anchor="t" bIns="45700" lIns="91425" spcFirstLastPara="1" rIns="91425" wrap="square" tIns="45700">
                                  <a:noAutofit/>
                                </wps:bodyPr>
                              </wps:wsp>
                              <wps:wsp>
                                <wps:cNvSpPr/>
                                <wps:cNvPr id="11" name="Shape 11"/>
                                <wps:spPr>
                                  <a:xfrm>
                                    <a:off x="-133357" y="-2276513"/>
                                    <a:ext cx="5485128" cy="4615177"/>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1f497d"/>
                                          <w:sz w:val="72"/>
                                          <w:vertAlign w:val="baseline"/>
                                        </w:rPr>
                                        <w:t xml:space="preserve">Framework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72"/>
                                          <w:vertAlign w:val="baseline"/>
                                        </w:rPr>
                                      </w:r>
                                      <w:r w:rsidDel="00000000" w:rsidR="00000000" w:rsidRPr="00000000">
                                        <w:rPr>
                                          <w:rFonts w:ascii="Calibri" w:cs="Calibri" w:eastAsia="Calibri" w:hAnsi="Calibri"/>
                                          <w:b w:val="1"/>
                                          <w:i w:val="0"/>
                                          <w:smallCaps w:val="0"/>
                                          <w:strike w:val="0"/>
                                          <w:color w:val="1f497d"/>
                                          <w:sz w:val="72"/>
                                          <w:vertAlign w:val="baseline"/>
                                        </w:rPr>
                                        <w:t xml:space="preserve">Award Form</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72"/>
                                          <w:vertAlign w:val="baseline"/>
                                        </w:rPr>
                                      </w:r>
                                    </w:p>
                                  </w:txbxContent>
                                </wps:txbx>
                                <wps:bodyPr anchorCtr="0" anchor="b" bIns="45700" lIns="91425" spcFirstLastPara="1" rIns="91425" wrap="square" tIns="45700">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914400</wp:posOffset>
                </wp:positionH>
                <wp:positionV relativeFrom="margin">
                  <wp:posOffset>1081616</wp:posOffset>
                </wp:positionV>
                <wp:extent cx="6286500" cy="7582653"/>
                <wp:effectExtent b="0" l="0" r="0" t="0"/>
                <wp:wrapNone/>
                <wp:docPr id="3"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286500" cy="7582653"/>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96524</wp:posOffset>
            </wp:positionH>
            <wp:positionV relativeFrom="paragraph">
              <wp:posOffset>1698625</wp:posOffset>
            </wp:positionV>
            <wp:extent cx="1647190" cy="1371600"/>
            <wp:effectExtent b="0" l="0" r="0" t="0"/>
            <wp:wrapNone/>
            <wp:docPr descr="Crown Commercial Service" id="4" name="image1.png"/>
            <a:graphic>
              <a:graphicData uri="http://schemas.openxmlformats.org/drawingml/2006/picture">
                <pic:pic>
                  <pic:nvPicPr>
                    <pic:cNvPr descr="Crown Commercial Service" id="0" name="image1.png"/>
                    <pic:cNvPicPr preferRelativeResize="0"/>
                  </pic:nvPicPr>
                  <pic:blipFill>
                    <a:blip r:embed="rId12"/>
                    <a:srcRect b="0" l="0" r="0" t="0"/>
                    <a:stretch>
                      <a:fillRect/>
                    </a:stretch>
                  </pic:blipFill>
                  <pic:spPr>
                    <a:xfrm>
                      <a:off x="0" y="0"/>
                      <a:ext cx="1647190" cy="1371600"/>
                    </a:xfrm>
                    <a:prstGeom prst="rect"/>
                    <a:ln/>
                  </pic:spPr>
                </pic:pic>
              </a:graphicData>
            </a:graphic>
          </wp:anchor>
        </w:drawing>
      </w:r>
    </w:p>
    <w:p w:rsidR="00000000" w:rsidDel="00000000" w:rsidP="00000000" w:rsidRDefault="00000000" w:rsidRPr="00000000" w14:paraId="00000002">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Award Form creates the Framework Contract RM6285 Back Office Software 2. It summarises the main features of the procurement and includes CCS and the Supplier’s contact details.</w:t>
      </w:r>
    </w:p>
    <w:tbl>
      <w:tblPr>
        <w:tblStyle w:val="Table1"/>
        <w:tblW w:w="10531.0" w:type="dxa"/>
        <w:jc w:val="left"/>
        <w:tblInd w:w="-730.0" w:type="dxa"/>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436"/>
        <w:gridCol w:w="2040"/>
        <w:gridCol w:w="8055"/>
        <w:tblGridChange w:id="0">
          <w:tblGrid>
            <w:gridCol w:w="436"/>
            <w:gridCol w:w="2040"/>
            <w:gridCol w:w="8055"/>
          </w:tblGrid>
        </w:tblGridChange>
      </w:tblGrid>
      <w:tr>
        <w:trPr>
          <w:cantSplit w:val="0"/>
          <w:trHeight w:val="1072" w:hRule="atLeast"/>
          <w:tblHeader w:val="0"/>
        </w:trPr>
        <w:tc>
          <w:tcPr/>
          <w:p w:rsidR="00000000" w:rsidDel="00000000" w:rsidP="00000000" w:rsidRDefault="00000000" w:rsidRPr="00000000" w14:paraId="00000004">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w:t>
            </w:r>
          </w:p>
        </w:tc>
        <w:tc>
          <w:tcPr/>
          <w:p w:rsidR="00000000" w:rsidDel="00000000" w:rsidP="00000000" w:rsidRDefault="00000000" w:rsidRPr="00000000" w14:paraId="00000006">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Minister for the Cabinet Office represented by its executive agency the Crown Commercial Service (CCS). </w:t>
            </w:r>
          </w:p>
          <w:p w:rsidR="00000000" w:rsidDel="00000000" w:rsidP="00000000" w:rsidRDefault="00000000" w:rsidRPr="00000000" w14:paraId="00000007">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offices are on: 9th Floor, The Capital, Old Hall Street, Liverpool L3 9PP.</w:t>
            </w:r>
          </w:p>
          <w:p w:rsidR="00000000" w:rsidDel="00000000" w:rsidP="00000000" w:rsidRDefault="00000000" w:rsidRPr="00000000" w14:paraId="00000009">
            <w:pPr>
              <w:spacing w:after="0" w:lineRule="auto"/>
              <w:rPr>
                <w:rFonts w:ascii="Arial" w:cs="Arial" w:eastAsia="Arial" w:hAnsi="Arial"/>
                <w:b w:val="1"/>
                <w:color w:val="000000"/>
                <w:sz w:val="24"/>
                <w:szCs w:val="24"/>
                <w:highlight w:val="yellow"/>
              </w:rPr>
            </w:pPr>
            <w:r w:rsidDel="00000000" w:rsidR="00000000" w:rsidRPr="00000000">
              <w:rPr>
                <w:rtl w:val="0"/>
              </w:rPr>
            </w:r>
          </w:p>
        </w:tc>
      </w:tr>
      <w:tr>
        <w:trPr>
          <w:cantSplit w:val="0"/>
          <w:trHeight w:val="976" w:hRule="atLeast"/>
          <w:tblHeader w:val="0"/>
        </w:trPr>
        <w:tc>
          <w:tcPr/>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tl w:val="0"/>
              </w:rPr>
            </w:r>
          </w:p>
          <w:tbl>
            <w:tblPr>
              <w:tblStyle w:val="Table2"/>
              <w:tblW w:w="728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96"/>
              <w:gridCol w:w="4991"/>
              <w:tblGridChange w:id="0">
                <w:tblGrid>
                  <w:gridCol w:w="2296"/>
                  <w:gridCol w:w="4991"/>
                </w:tblGrid>
              </w:tblGridChange>
            </w:tblGrid>
            <w:tr>
              <w:trPr>
                <w:cantSplit w:val="0"/>
                <w:tblHeader w:val="0"/>
              </w:trPr>
              <w:tc>
                <w:tcPr>
                  <w:shd w:fill="auto" w:val="clear"/>
                </w:tcPr>
                <w:p w:rsidR="00000000" w:rsidDel="00000000" w:rsidP="00000000" w:rsidRDefault="00000000" w:rsidRPr="00000000" w14:paraId="0000000D">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tc>
              <w:tc>
                <w:tcPr/>
                <w:p w:rsidR="00000000" w:rsidDel="00000000" w:rsidP="00000000" w:rsidRDefault="00000000" w:rsidRPr="00000000" w14:paraId="0000000E">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[Insert name (registered name if registered)]</w:t>
                  </w:r>
                </w:p>
              </w:tc>
            </w:tr>
            <w:tr>
              <w:trPr>
                <w:cantSplit w:val="0"/>
                <w:tblHeader w:val="0"/>
              </w:trPr>
              <w:tc>
                <w:tcPr>
                  <w:shd w:fill="auto" w:val="clear"/>
                </w:tcPr>
                <w:p w:rsidR="00000000" w:rsidDel="00000000" w:rsidP="00000000" w:rsidRDefault="00000000" w:rsidRPr="00000000" w14:paraId="0000000F">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w:t>
                  </w:r>
                </w:p>
              </w:tc>
              <w:tc>
                <w:tcPr/>
                <w:p w:rsidR="00000000" w:rsidDel="00000000" w:rsidP="00000000" w:rsidRDefault="00000000" w:rsidRPr="00000000" w14:paraId="00000010">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[Insert address registered address if registered]</w:t>
                  </w:r>
                </w:p>
              </w:tc>
            </w:tr>
            <w:tr>
              <w:trPr>
                <w:cantSplit w:val="0"/>
                <w:tblHeader w:val="0"/>
              </w:trPr>
              <w:tc>
                <w:tcPr>
                  <w:shd w:fill="auto" w:val="clear"/>
                </w:tcPr>
                <w:p w:rsidR="00000000" w:rsidDel="00000000" w:rsidP="00000000" w:rsidRDefault="00000000" w:rsidRPr="00000000" w14:paraId="00000011">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Registration number:    </w:t>
                  </w:r>
                </w:p>
              </w:tc>
              <w:tc>
                <w:tcPr/>
                <w:p w:rsidR="00000000" w:rsidDel="00000000" w:rsidP="00000000" w:rsidRDefault="00000000" w:rsidRPr="00000000" w14:paraId="00000012">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[Insert registration number if registered]</w:t>
                  </w:r>
                </w:p>
              </w:tc>
            </w:tr>
            <w:tr>
              <w:trPr>
                <w:cantSplit w:val="0"/>
                <w:tblHeader w:val="0"/>
              </w:trPr>
              <w:tc>
                <w:tcPr>
                  <w:shd w:fill="auto" w:val="clear"/>
                </w:tcPr>
                <w:p w:rsidR="00000000" w:rsidDel="00000000" w:rsidP="00000000" w:rsidRDefault="00000000" w:rsidRPr="00000000" w14:paraId="00000013">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SID4GOV ID:</w:t>
                  </w:r>
                </w:p>
              </w:tc>
              <w:tc>
                <w:tcPr/>
                <w:p w:rsidR="00000000" w:rsidDel="00000000" w:rsidP="00000000" w:rsidRDefault="00000000" w:rsidRPr="00000000" w14:paraId="00000014">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w:t>
                  </w:r>
                </w:p>
              </w:tc>
            </w:tr>
            <w:tr>
              <w:trPr>
                <w:cantSplit w:val="0"/>
                <w:tblHeader w:val="0"/>
              </w:trPr>
              <w:tc>
                <w:tcPr>
                  <w:shd w:fill="auto" w:val="clear"/>
                </w:tcPr>
                <w:p w:rsidR="00000000" w:rsidDel="00000000" w:rsidP="00000000" w:rsidRDefault="00000000" w:rsidRPr="00000000" w14:paraId="00000015">
                  <w:pPr>
                    <w:spacing w:after="0" w:lineRule="auto"/>
                    <w:ind w:left="-75" w:firstLine="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16">
                  <w:pPr>
                    <w:spacing w:after="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17">
            <w:pPr>
              <w:spacing w:after="0" w:lineRule="auto"/>
              <w:rPr>
                <w:rFonts w:ascii="Arial" w:cs="Arial" w:eastAsia="Arial" w:hAnsi="Arial"/>
                <w:color w:val="000000"/>
                <w:sz w:val="24"/>
                <w:szCs w:val="24"/>
              </w:rPr>
            </w:pPr>
            <w:r w:rsidDel="00000000" w:rsidR="00000000" w:rsidRPr="00000000">
              <w:rPr>
                <w:rtl w:val="0"/>
              </w:rPr>
            </w:r>
          </w:p>
        </w:tc>
      </w:tr>
      <w:tr>
        <w:trPr>
          <w:cantSplit w:val="0"/>
          <w:trHeight w:val="1446" w:hRule="atLeast"/>
          <w:tblHeader w:val="0"/>
        </w:trPr>
        <w:tc>
          <w:tcPr/>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34" w:hanging="36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contract between CCS and the Supplier allows the Supplier to be considered for Call-off Contracts to supply the Deliverables in Lot(s). You cannot deliver in any other Lot under this contract. Any references made to other Lots in this contract do not apply.</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This opportunity is advertised in the Contract Notice in the Find a Tender Service reference 2024/S 000-023165 (FTS Contract Notice).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r>
      <w:tr>
        <w:trPr>
          <w:cantSplit w:val="0"/>
          <w:trHeight w:val="327" w:hRule="atLeast"/>
          <w:tblHeader w:val="0"/>
        </w:trPr>
        <w:tc>
          <w:tcPr/>
          <w:p w:rsidR="00000000" w:rsidDel="00000000" w:rsidP="00000000" w:rsidRDefault="00000000" w:rsidRPr="00000000" w14:paraId="0000001D">
            <w:pPr>
              <w:keepNext w:val="1"/>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 </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See Framework Schedule 1 (Specification) for further details.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r>
      <w:tr>
        <w:trPr>
          <w:cantSplit w:val="0"/>
          <w:trHeight w:val="463" w:hRule="atLeast"/>
          <w:tblHeader w:val="0"/>
        </w:trPr>
        <w:tc>
          <w:tcPr/>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Start Date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5">
            <w:pPr>
              <w:spacing w:after="0" w:lineRule="auto"/>
              <w:ind w:right="936"/>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18/02/2025</w:t>
            </w: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Expiry Date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9">
            <w:pPr>
              <w:spacing w:after="0" w:lineRule="auto"/>
              <w:ind w:right="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17/08/2027 </w:t>
            </w:r>
          </w:p>
        </w:tc>
      </w:tr>
      <w:tr>
        <w:trPr>
          <w:cantSplit w:val="0"/>
          <w:trHeight w:val="471" w:hRule="atLeast"/>
          <w:tblHeader w:val="0"/>
        </w:trPr>
        <w:tc>
          <w:tcPr/>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Optional</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Extension</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Period</w:t>
            </w:r>
          </w:p>
        </w:tc>
        <w:tc>
          <w:tcPr/>
          <w:p w:rsidR="00000000" w:rsidDel="00000000" w:rsidP="00000000" w:rsidRDefault="00000000" w:rsidRPr="00000000" w14:paraId="0000002F">
            <w:pPr>
              <w:spacing w:after="0" w:lineRule="auto"/>
              <w:ind w:right="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18 months from Framework Expiry Date</w:t>
            </w:r>
          </w:p>
        </w:tc>
      </w:tr>
      <w:tr>
        <w:trPr>
          <w:cantSplit w:val="0"/>
          <w:trHeight w:val="837" w:hRule="atLeast"/>
          <w:tblHeader w:val="0"/>
        </w:trPr>
        <w:tc>
          <w:tcPr/>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Procedure</w:t>
            </w:r>
          </w:p>
        </w:tc>
        <w:tc>
          <w:tcPr/>
          <w:p w:rsidR="00000000" w:rsidDel="00000000" w:rsidP="00000000" w:rsidRDefault="00000000" w:rsidRPr="00000000" w14:paraId="00000033">
            <w:pPr>
              <w:spacing w:after="0" w:lineRule="auto"/>
              <w:ind w:right="93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0" w:lineRule="auto"/>
              <w:ind w:left="720" w:right="936" w:hanging="360"/>
              <w:rPr>
                <w:color w:val="000000"/>
                <w:sz w:val="24"/>
                <w:szCs w:val="24"/>
              </w:rPr>
            </w:pPr>
            <w:r w:rsidDel="00000000" w:rsidR="00000000" w:rsidRPr="00000000">
              <w:rPr>
                <w:rFonts w:ascii="Arial" w:cs="Arial" w:eastAsia="Arial" w:hAnsi="Arial"/>
                <w:color w:val="000000"/>
                <w:sz w:val="24"/>
                <w:szCs w:val="24"/>
                <w:rtl w:val="0"/>
              </w:rPr>
              <w:t xml:space="preserve">direct award</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ind w:left="0" w:right="93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0" w:lineRule="auto"/>
              <w:ind w:left="720" w:right="936" w:hanging="360"/>
              <w:rPr>
                <w:color w:val="000000"/>
                <w:sz w:val="24"/>
                <w:szCs w:val="24"/>
              </w:rPr>
            </w:pPr>
            <w:r w:rsidDel="00000000" w:rsidR="00000000" w:rsidRPr="00000000">
              <w:rPr>
                <w:rFonts w:ascii="Arial" w:cs="Arial" w:eastAsia="Arial" w:hAnsi="Arial"/>
                <w:color w:val="000000"/>
                <w:sz w:val="24"/>
                <w:szCs w:val="24"/>
                <w:rtl w:val="0"/>
              </w:rPr>
              <w:t xml:space="preserve">further competition</w:t>
            </w:r>
            <w:r w:rsidDel="00000000" w:rsidR="00000000" w:rsidRPr="00000000">
              <w:rPr>
                <w:rtl w:val="0"/>
              </w:rPr>
            </w:r>
          </w:p>
          <w:p w:rsidR="00000000" w:rsidDel="00000000" w:rsidP="00000000" w:rsidRDefault="00000000" w:rsidRPr="00000000" w14:paraId="00000037">
            <w:pPr>
              <w:spacing w:after="0" w:lineRule="auto"/>
              <w:ind w:right="93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spacing w:after="0" w:lineRule="auto"/>
              <w:ind w:right="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See Framework Schedule 7 (Call-off Award Procedure)</w:t>
            </w:r>
          </w:p>
          <w:p w:rsidR="00000000" w:rsidDel="00000000" w:rsidP="00000000" w:rsidRDefault="00000000" w:rsidRPr="00000000" w14:paraId="00000039">
            <w:pPr>
              <w:spacing w:after="0" w:lineRule="auto"/>
              <w:ind w:right="936"/>
              <w:rPr>
                <w:rFonts w:ascii="Arial" w:cs="Arial" w:eastAsia="Arial" w:hAnsi="Arial"/>
                <w:color w:val="000000"/>
                <w:sz w:val="24"/>
                <w:szCs w:val="24"/>
              </w:rPr>
            </w:pPr>
            <w:r w:rsidDel="00000000" w:rsidR="00000000" w:rsidRPr="00000000">
              <w:rPr>
                <w:rtl w:val="0"/>
              </w:rPr>
            </w:r>
          </w:p>
        </w:tc>
      </w:tr>
      <w:tr>
        <w:trPr>
          <w:cantSplit w:val="0"/>
          <w:trHeight w:val="231" w:hRule="atLeast"/>
          <w:tblHeader w:val="0"/>
        </w:trPr>
        <w:tc>
          <w:tcPr/>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Incorporated Terms</w:t>
            </w:r>
          </w:p>
          <w:p w:rsidR="00000000" w:rsidDel="00000000" w:rsidP="00000000" w:rsidRDefault="00000000" w:rsidRPr="00000000" w14:paraId="0000003C">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spacing w:after="0"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(together these documents form the ‘the Framework Contract’)</w:t>
            </w:r>
          </w:p>
          <w:p w:rsidR="00000000" w:rsidDel="00000000" w:rsidP="00000000" w:rsidRDefault="00000000" w:rsidRPr="00000000" w14:paraId="0000003E">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F">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8">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9">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A">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B">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C">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D">
            <w:pPr>
              <w:spacing w:after="0" w:line="259" w:lineRule="auto"/>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4E">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documents are incorporated into the Framework Contract. Where numbers are missing we are not using these schedules. If the documents conflict, the following order of precedence applies:</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Award Form</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Framework Special Terms (see Section 10 ‘Framework Special Terms’ in this Framework Award Form)</w:t>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 (Definitions) RM6285 </w:t>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 RM6285</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for RM6285 (in equal order of precedence):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ind w:left="45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5">
            <w:pPr>
              <w:numPr>
                <w:ilvl w:val="1"/>
                <w:numId w:val="2"/>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Framework Schedule 1 (Specification) </w:t>
            </w:r>
            <w:r w:rsidDel="00000000" w:rsidR="00000000" w:rsidRPr="00000000">
              <w:rPr>
                <w:rtl w:val="0"/>
              </w:rPr>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Framework Schedule 3 (Framework Prices)</w:t>
            </w:r>
            <w:r w:rsidDel="00000000" w:rsidR="00000000" w:rsidRPr="00000000">
              <w:rPr>
                <w:rtl w:val="0"/>
              </w:rPr>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Framework Schedule 4 (Framework Management)</w:t>
            </w:r>
            <w:r w:rsidDel="00000000" w:rsidR="00000000" w:rsidRPr="00000000">
              <w:rPr>
                <w:rtl w:val="0"/>
              </w:rPr>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Framework Schedule 5 (Management Charges and Information)</w:t>
            </w:r>
            <w:r w:rsidDel="00000000" w:rsidR="00000000" w:rsidRPr="00000000">
              <w:rPr>
                <w:rtl w:val="0"/>
              </w:rPr>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Framework Schedule 6 (Order Form Template and Call-Off Schedules) including the following template Call-Off Schedules: </w:t>
            </w:r>
            <w:r w:rsidDel="00000000" w:rsidR="00000000" w:rsidRPr="00000000">
              <w:rPr>
                <w:rtl w:val="0"/>
              </w:rPr>
            </w:r>
          </w:p>
          <w:p w:rsidR="00000000" w:rsidDel="00000000" w:rsidP="00000000" w:rsidRDefault="00000000" w:rsidRPr="00000000" w14:paraId="0000005A">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r w:rsidDel="00000000" w:rsidR="00000000" w:rsidRPr="00000000">
              <w:rPr>
                <w:rtl w:val="0"/>
              </w:rPr>
            </w:r>
          </w:p>
          <w:p w:rsidR="00000000" w:rsidDel="00000000" w:rsidP="00000000" w:rsidRDefault="00000000" w:rsidRPr="00000000" w14:paraId="0000005B">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r w:rsidDel="00000000" w:rsidR="00000000" w:rsidRPr="00000000">
              <w:rPr>
                <w:rtl w:val="0"/>
              </w:rPr>
            </w:r>
          </w:p>
          <w:p w:rsidR="00000000" w:rsidDel="00000000" w:rsidP="00000000" w:rsidRDefault="00000000" w:rsidRPr="00000000" w14:paraId="0000005C">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r w:rsidDel="00000000" w:rsidR="00000000" w:rsidRPr="00000000">
              <w:rPr>
                <w:rtl w:val="0"/>
              </w:rPr>
            </w:r>
          </w:p>
          <w:p w:rsidR="00000000" w:rsidDel="00000000" w:rsidP="00000000" w:rsidRDefault="00000000" w:rsidRPr="00000000" w14:paraId="0000005D">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Call-Off Schedule 4 (Call-Off Tender)</w:t>
              <w:tab/>
              <w:tab/>
            </w:r>
            <w:r w:rsidDel="00000000" w:rsidR="00000000" w:rsidRPr="00000000">
              <w:rPr>
                <w:rtl w:val="0"/>
              </w:rPr>
            </w:r>
          </w:p>
          <w:p w:rsidR="00000000" w:rsidDel="00000000" w:rsidP="00000000" w:rsidRDefault="00000000" w:rsidRPr="00000000" w14:paraId="0000005E">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Call-Off Schedule 5 </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Pricing Details)</w:t>
              <w:tab/>
              <w:t xml:space="preserve">           </w:t>
            </w:r>
            <w:r w:rsidDel="00000000" w:rsidR="00000000" w:rsidRPr="00000000">
              <w:rPr>
                <w:rtl w:val="0"/>
              </w:rPr>
            </w:r>
          </w:p>
          <w:p w:rsidR="00000000" w:rsidDel="00000000" w:rsidP="00000000" w:rsidRDefault="00000000" w:rsidRPr="00000000" w14:paraId="0000005F">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Call-Off Schedule 6 (ICT Services)</w:t>
              <w:tab/>
            </w:r>
            <w:r w:rsidDel="00000000" w:rsidR="00000000" w:rsidRPr="00000000">
              <w:rPr>
                <w:rtl w:val="0"/>
              </w:rPr>
            </w:r>
          </w:p>
          <w:p w:rsidR="00000000" w:rsidDel="00000000" w:rsidP="00000000" w:rsidRDefault="00000000" w:rsidRPr="00000000" w14:paraId="00000060">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Call-Off Schedule 7 (Key Supplier Staff)</w:t>
              <w:tab/>
              <w:tab/>
            </w:r>
            <w:r w:rsidDel="00000000" w:rsidR="00000000" w:rsidRPr="00000000">
              <w:rPr>
                <w:rtl w:val="0"/>
              </w:rPr>
            </w:r>
          </w:p>
          <w:p w:rsidR="00000000" w:rsidDel="00000000" w:rsidP="00000000" w:rsidRDefault="00000000" w:rsidRPr="00000000" w14:paraId="00000061">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Call-Off Schedule 8 (Business Continuity and Disaster Recovery) </w:t>
            </w:r>
            <w:r w:rsidDel="00000000" w:rsidR="00000000" w:rsidRPr="00000000">
              <w:rPr>
                <w:rtl w:val="0"/>
              </w:rPr>
            </w:r>
          </w:p>
          <w:p w:rsidR="00000000" w:rsidDel="00000000" w:rsidP="00000000" w:rsidRDefault="00000000" w:rsidRPr="00000000" w14:paraId="00000062">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Call-Off Schedule 9 (Security)</w:t>
              <w:tab/>
              <w:tab/>
              <w:t xml:space="preserve"> </w:t>
              <w:tab/>
            </w:r>
            <w:r w:rsidDel="00000000" w:rsidR="00000000" w:rsidRPr="00000000">
              <w:rPr>
                <w:rtl w:val="0"/>
              </w:rPr>
            </w:r>
          </w:p>
          <w:p w:rsidR="00000000" w:rsidDel="00000000" w:rsidP="00000000" w:rsidRDefault="00000000" w:rsidRPr="00000000" w14:paraId="00000063">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Call-Off Schedule 10 (Exit Management) </w:t>
              <w:tab/>
            </w:r>
            <w:r w:rsidDel="00000000" w:rsidR="00000000" w:rsidRPr="00000000">
              <w:rPr>
                <w:rtl w:val="0"/>
              </w:rPr>
            </w:r>
          </w:p>
          <w:p w:rsidR="00000000" w:rsidDel="00000000" w:rsidP="00000000" w:rsidRDefault="00000000" w:rsidRPr="00000000" w14:paraId="00000064">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Call-Off Schedule 11 (Installation Works) </w:t>
              <w:tab/>
            </w:r>
            <w:r w:rsidDel="00000000" w:rsidR="00000000" w:rsidRPr="00000000">
              <w:rPr>
                <w:rtl w:val="0"/>
              </w:rPr>
            </w:r>
          </w:p>
          <w:p w:rsidR="00000000" w:rsidDel="00000000" w:rsidP="00000000" w:rsidRDefault="00000000" w:rsidRPr="00000000" w14:paraId="00000065">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Call-Off Schedule 12 (Clustering) </w:t>
              <w:tab/>
              <w:tab/>
            </w:r>
            <w:r w:rsidDel="00000000" w:rsidR="00000000" w:rsidRPr="00000000">
              <w:rPr>
                <w:rtl w:val="0"/>
              </w:rPr>
            </w:r>
          </w:p>
          <w:p w:rsidR="00000000" w:rsidDel="00000000" w:rsidP="00000000" w:rsidRDefault="00000000" w:rsidRPr="00000000" w14:paraId="00000066">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Call-Off Schedule 13 (Implementation Plan and Testing)</w:t>
            </w:r>
            <w:r w:rsidDel="00000000" w:rsidR="00000000" w:rsidRPr="00000000">
              <w:rPr>
                <w:rtl w:val="0"/>
              </w:rPr>
            </w:r>
          </w:p>
          <w:p w:rsidR="00000000" w:rsidDel="00000000" w:rsidP="00000000" w:rsidRDefault="00000000" w:rsidRPr="00000000" w14:paraId="00000067">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rPr>
            </w:pPr>
            <w:r w:rsidDel="00000000" w:rsidR="00000000" w:rsidRPr="00000000">
              <w:rPr>
                <w:rFonts w:ascii="Arial" w:cs="Arial" w:eastAsia="Arial" w:hAnsi="Arial"/>
                <w:color w:val="000000"/>
                <w:sz w:val="24"/>
                <w:szCs w:val="24"/>
                <w:rtl w:val="0"/>
              </w:rPr>
              <w:t xml:space="preserve">Call-Off Schedule 14 (Service Levels) </w:t>
              <w:tab/>
              <w:tab/>
            </w:r>
            <w:r w:rsidDel="00000000" w:rsidR="00000000" w:rsidRPr="00000000">
              <w:rPr>
                <w:rtl w:val="0"/>
              </w:rPr>
            </w:r>
          </w:p>
          <w:p w:rsidR="00000000" w:rsidDel="00000000" w:rsidP="00000000" w:rsidRDefault="00000000" w:rsidRPr="00000000" w14:paraId="00000068">
            <w:pPr>
              <w:numPr>
                <w:ilvl w:val="2"/>
                <w:numId w:val="2"/>
              </w:numPr>
              <w:pBdr>
                <w:top w:space="0" w:sz="0" w:val="nil"/>
                <w:left w:space="0" w:sz="0" w:val="nil"/>
                <w:bottom w:space="0" w:sz="0" w:val="nil"/>
                <w:right w:space="0" w:sz="0" w:val="nil"/>
                <w:between w:space="0" w:sz="0" w:val="nil"/>
              </w:pBdr>
              <w:spacing w:after="0" w:line="259" w:lineRule="auto"/>
              <w:ind w:left="216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Call-Off Schedule 15 (Call-Off Contract </w:t>
            </w:r>
            <w:r w:rsidDel="00000000" w:rsidR="00000000" w:rsidRPr="00000000">
              <w:rPr>
                <w:rFonts w:ascii="Arial" w:cs="Arial" w:eastAsia="Arial" w:hAnsi="Arial"/>
                <w:color w:val="000000"/>
                <w:sz w:val="24"/>
                <w:szCs w:val="24"/>
                <w:rtl w:val="0"/>
              </w:rPr>
              <w:t xml:space="preserve">Management)</w:t>
            </w:r>
            <w:r w:rsidDel="00000000" w:rsidR="00000000" w:rsidRPr="00000000">
              <w:rPr>
                <w:rtl w:val="0"/>
              </w:rPr>
            </w:r>
          </w:p>
          <w:p w:rsidR="00000000" w:rsidDel="00000000" w:rsidP="00000000" w:rsidRDefault="00000000" w:rsidRPr="00000000" w14:paraId="0000006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000000"/>
                <w:sz w:val="24"/>
                <w:szCs w:val="24"/>
              </w:rPr>
            </w:pPr>
            <w:r w:rsidDel="00000000" w:rsidR="00000000" w:rsidRPr="00000000">
              <w:rPr>
                <w:rFonts w:ascii="Arial" w:cs="Arial" w:eastAsia="Arial" w:hAnsi="Arial"/>
                <w:color w:val="000000"/>
                <w:sz w:val="24"/>
                <w:szCs w:val="24"/>
                <w:rtl w:val="0"/>
              </w:rPr>
              <w:t xml:space="preserve">Call-Off Schedule 16 (Benchmarking) </w:t>
              <w:tab/>
              <w:tab/>
            </w:r>
            <w:r w:rsidDel="00000000" w:rsidR="00000000" w:rsidRPr="00000000">
              <w:rPr>
                <w:rtl w:val="0"/>
              </w:rPr>
            </w:r>
          </w:p>
          <w:p w:rsidR="00000000" w:rsidDel="00000000" w:rsidP="00000000" w:rsidRDefault="00000000" w:rsidRPr="00000000" w14:paraId="0000006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000000"/>
                <w:sz w:val="24"/>
                <w:szCs w:val="24"/>
              </w:rPr>
            </w:pPr>
            <w:r w:rsidDel="00000000" w:rsidR="00000000" w:rsidRPr="00000000">
              <w:rPr>
                <w:rFonts w:ascii="Arial" w:cs="Arial" w:eastAsia="Arial" w:hAnsi="Arial"/>
                <w:color w:val="000000"/>
                <w:sz w:val="24"/>
                <w:szCs w:val="24"/>
                <w:rtl w:val="0"/>
              </w:rPr>
              <w:t xml:space="preserve">Call-Off Schedule 17 (MOD Terms) </w:t>
              <w:tab/>
              <w:tab/>
              <w:t xml:space="preserve">              </w:t>
            </w:r>
            <w:r w:rsidDel="00000000" w:rsidR="00000000" w:rsidRPr="00000000">
              <w:rPr>
                <w:rtl w:val="0"/>
              </w:rPr>
            </w:r>
          </w:p>
          <w:p w:rsidR="00000000" w:rsidDel="00000000" w:rsidP="00000000" w:rsidRDefault="00000000" w:rsidRPr="00000000" w14:paraId="0000006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000000"/>
                <w:sz w:val="24"/>
                <w:szCs w:val="24"/>
              </w:rPr>
            </w:pPr>
            <w:r w:rsidDel="00000000" w:rsidR="00000000" w:rsidRPr="00000000">
              <w:rPr>
                <w:rFonts w:ascii="Arial" w:cs="Arial" w:eastAsia="Arial" w:hAnsi="Arial"/>
                <w:color w:val="000000"/>
                <w:sz w:val="24"/>
                <w:szCs w:val="24"/>
                <w:rtl w:val="0"/>
              </w:rPr>
              <w:t xml:space="preserve">Call-Off Schedule 18 (Background Checks) </w:t>
              <w:tab/>
            </w:r>
            <w:r w:rsidDel="00000000" w:rsidR="00000000" w:rsidRPr="00000000">
              <w:rPr>
                <w:rtl w:val="0"/>
              </w:rPr>
            </w:r>
          </w:p>
          <w:p w:rsidR="00000000" w:rsidDel="00000000" w:rsidP="00000000" w:rsidRDefault="00000000" w:rsidRPr="00000000" w14:paraId="0000006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000000"/>
                <w:sz w:val="24"/>
                <w:szCs w:val="24"/>
              </w:rPr>
            </w:pPr>
            <w:r w:rsidDel="00000000" w:rsidR="00000000" w:rsidRPr="00000000">
              <w:rPr>
                <w:rFonts w:ascii="Arial" w:cs="Arial" w:eastAsia="Arial" w:hAnsi="Arial"/>
                <w:color w:val="000000"/>
                <w:sz w:val="24"/>
                <w:szCs w:val="24"/>
                <w:rtl w:val="0"/>
              </w:rPr>
              <w:t xml:space="preserve">Call-Off Schedule 19 (Scottish Law)</w:t>
              <w:tab/>
              <w:tab/>
              <w:t xml:space="preserve">     </w:t>
            </w:r>
            <w:r w:rsidDel="00000000" w:rsidR="00000000" w:rsidRPr="00000000">
              <w:rPr>
                <w:rtl w:val="0"/>
              </w:rPr>
            </w:r>
          </w:p>
          <w:p w:rsidR="00000000" w:rsidDel="00000000" w:rsidP="00000000" w:rsidRDefault="00000000" w:rsidRPr="00000000" w14:paraId="0000006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000000"/>
                <w:sz w:val="24"/>
                <w:szCs w:val="24"/>
              </w:rPr>
            </w:pPr>
            <w:r w:rsidDel="00000000" w:rsidR="00000000" w:rsidRPr="00000000">
              <w:rPr>
                <w:rFonts w:ascii="Arial" w:cs="Arial" w:eastAsia="Arial" w:hAnsi="Arial"/>
                <w:color w:val="000000"/>
                <w:sz w:val="24"/>
                <w:szCs w:val="24"/>
                <w:rtl w:val="0"/>
              </w:rPr>
              <w:t xml:space="preserve">Call-Off Schedule 20 (Call-Off Specification)     </w:t>
            </w:r>
            <w:r w:rsidDel="00000000" w:rsidR="00000000" w:rsidRPr="00000000">
              <w:rPr>
                <w:rtl w:val="0"/>
              </w:rPr>
            </w:r>
          </w:p>
          <w:p w:rsidR="00000000" w:rsidDel="00000000" w:rsidP="00000000" w:rsidRDefault="00000000" w:rsidRPr="00000000" w14:paraId="0000006E">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000000"/>
                <w:sz w:val="24"/>
                <w:szCs w:val="24"/>
              </w:rPr>
            </w:pPr>
            <w:r w:rsidDel="00000000" w:rsidR="00000000" w:rsidRPr="00000000">
              <w:rPr>
                <w:rFonts w:ascii="Arial" w:cs="Arial" w:eastAsia="Arial" w:hAnsi="Arial"/>
                <w:color w:val="000000"/>
                <w:sz w:val="24"/>
                <w:szCs w:val="24"/>
                <w:rtl w:val="0"/>
              </w:rPr>
              <w:t xml:space="preserve">Call-Off Schedule 21 (Northern Ireland Law)    </w:t>
            </w:r>
            <w:r w:rsidDel="00000000" w:rsidR="00000000" w:rsidRPr="00000000">
              <w:rPr>
                <w:rtl w:val="0"/>
              </w:rPr>
            </w:r>
          </w:p>
          <w:p w:rsidR="00000000" w:rsidDel="00000000" w:rsidP="00000000" w:rsidRDefault="00000000" w:rsidRPr="00000000" w14:paraId="0000006F">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000000"/>
                <w:sz w:val="24"/>
                <w:szCs w:val="24"/>
              </w:rPr>
            </w:pPr>
            <w:r w:rsidDel="00000000" w:rsidR="00000000" w:rsidRPr="00000000">
              <w:rPr>
                <w:rFonts w:ascii="Arial" w:cs="Arial" w:eastAsia="Arial" w:hAnsi="Arial"/>
                <w:color w:val="000000"/>
                <w:sz w:val="24"/>
                <w:szCs w:val="24"/>
                <w:rtl w:val="0"/>
              </w:rPr>
              <w:t xml:space="preserve">Call-Off Schedule 22 (Lease Terms)                 </w:t>
            </w:r>
            <w:r w:rsidDel="00000000" w:rsidR="00000000" w:rsidRPr="00000000">
              <w:rPr>
                <w:rtl w:val="0"/>
              </w:rPr>
            </w:r>
          </w:p>
          <w:p w:rsidR="00000000" w:rsidDel="00000000" w:rsidP="00000000" w:rsidRDefault="00000000" w:rsidRPr="00000000" w14:paraId="0000007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000000"/>
                <w:sz w:val="24"/>
                <w:szCs w:val="24"/>
              </w:rPr>
            </w:pPr>
            <w:r w:rsidDel="00000000" w:rsidR="00000000" w:rsidRPr="00000000">
              <w:rPr>
                <w:rFonts w:ascii="Arial" w:cs="Arial" w:eastAsia="Arial" w:hAnsi="Arial"/>
                <w:color w:val="000000"/>
                <w:sz w:val="24"/>
                <w:szCs w:val="24"/>
                <w:rtl w:val="0"/>
              </w:rPr>
              <w:t xml:space="preserve">Call-Off Schedule 23 (HMRC Terms)                 </w:t>
            </w:r>
            <w:r w:rsidDel="00000000" w:rsidR="00000000" w:rsidRPr="00000000">
              <w:rPr>
                <w:rtl w:val="0"/>
              </w:rPr>
            </w:r>
          </w:p>
          <w:p w:rsidR="00000000" w:rsidDel="00000000" w:rsidP="00000000" w:rsidRDefault="00000000" w:rsidRPr="00000000" w14:paraId="0000007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000000"/>
                <w:sz w:val="24"/>
                <w:szCs w:val="24"/>
              </w:rPr>
            </w:pPr>
            <w:r w:rsidDel="00000000" w:rsidR="00000000" w:rsidRPr="00000000">
              <w:rPr>
                <w:rFonts w:ascii="Arial" w:cs="Arial" w:eastAsia="Arial" w:hAnsi="Arial"/>
                <w:color w:val="000000"/>
                <w:sz w:val="24"/>
                <w:szCs w:val="24"/>
                <w:rtl w:val="0"/>
              </w:rPr>
              <w:t xml:space="preserve">Call-Off Schedule 24 (Corporate Resolution Planning)</w:t>
            </w:r>
            <w:r w:rsidDel="00000000" w:rsidR="00000000" w:rsidRPr="00000000">
              <w:rPr>
                <w:rtl w:val="0"/>
              </w:rPr>
            </w:r>
          </w:p>
          <w:p w:rsidR="00000000" w:rsidDel="00000000" w:rsidP="00000000" w:rsidRDefault="00000000" w:rsidRPr="00000000" w14:paraId="0000007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000000"/>
                <w:sz w:val="24"/>
                <w:szCs w:val="24"/>
              </w:rPr>
            </w:pPr>
            <w:r w:rsidDel="00000000" w:rsidR="00000000" w:rsidRPr="00000000">
              <w:rPr>
                <w:rFonts w:ascii="Arial" w:cs="Arial" w:eastAsia="Arial" w:hAnsi="Arial"/>
                <w:color w:val="000000"/>
                <w:sz w:val="24"/>
                <w:szCs w:val="24"/>
                <w:rtl w:val="0"/>
              </w:rPr>
              <w:t xml:space="preserve">Call-Off Schedule 26 (Intellectual Property Rights)                                  </w:t>
              <w:tab/>
              <w:tab/>
              <w:tab/>
              <w:tab/>
              <w:t xml:space="preserve">       </w:t>
            </w: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Framework Schedule 7 (Call-Off Award Procedure)</w:t>
            </w: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Framework Schedule 8 (Self Audit Certificate)</w:t>
            </w:r>
            <w:r w:rsidDel="00000000" w:rsidR="00000000" w:rsidRPr="00000000">
              <w:rPr>
                <w:rtl w:val="0"/>
              </w:rPr>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Framework Schedule 9 (Cyber Essentials Scheme) </w:t>
            </w:r>
            <w:r w:rsidDel="00000000" w:rsidR="00000000" w:rsidRPr="00000000">
              <w:rPr>
                <w:rtl w:val="0"/>
              </w:rPr>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Joint Schedule 2 (Variation Form)</w:t>
            </w:r>
            <w:r w:rsidDel="00000000" w:rsidR="00000000" w:rsidRPr="00000000">
              <w:rPr>
                <w:rtl w:val="0"/>
              </w:rPr>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r w:rsidDel="00000000" w:rsidR="00000000" w:rsidRPr="00000000">
              <w:rPr>
                <w:rtl w:val="0"/>
              </w:rPr>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r w:rsidDel="00000000" w:rsidR="00000000" w:rsidRPr="00000000">
              <w:rPr>
                <w:rtl w:val="0"/>
              </w:rPr>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Joint Schedule 6 (Key Subcontractors)</w:t>
            </w:r>
            <w:r w:rsidDel="00000000" w:rsidR="00000000" w:rsidRPr="00000000">
              <w:rPr>
                <w:rtl w:val="0"/>
              </w:rPr>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Joint Schedule 7 (Financial Difficulties)</w:t>
            </w:r>
            <w:r w:rsidDel="00000000" w:rsidR="00000000" w:rsidRPr="00000000">
              <w:rPr>
                <w:rtl w:val="0"/>
              </w:rPr>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Joint Schedule 8 (Guarantee)</w:t>
            </w:r>
            <w:r w:rsidDel="00000000" w:rsidR="00000000" w:rsidRPr="00000000">
              <w:rPr>
                <w:rtl w:val="0"/>
              </w:rPr>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Joint Schedule 9 (Minimum Standards of Reliability)</w:t>
            </w:r>
            <w:r w:rsidDel="00000000" w:rsidR="00000000" w:rsidRPr="00000000">
              <w:rPr>
                <w:rtl w:val="0"/>
              </w:rPr>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Joint Schedule 10 (Rectification Plan)</w:t>
            </w:r>
            <w:r w:rsidDel="00000000" w:rsidR="00000000" w:rsidRPr="00000000">
              <w:rPr>
                <w:rtl w:val="0"/>
              </w:rPr>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Joint Schedule 12 (Supply Chain Visibility)</w:t>
            </w:r>
            <w:r w:rsidDel="00000000" w:rsidR="00000000" w:rsidRPr="00000000">
              <w:rPr>
                <w:rtl w:val="0"/>
              </w:rPr>
            </w:r>
          </w:p>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(version 3.0.11)</w:t>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RM6285</w:t>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25 (Supplier Terms)                </w:t>
            </w:r>
          </w:p>
          <w:p w:rsidR="00000000" w:rsidDel="00000000" w:rsidP="00000000" w:rsidRDefault="00000000" w:rsidRPr="00000000" w14:paraId="00000082">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2 (Framework Tender) RM6285 as long as any part of the Framework Tender that offers a better commercial position for CCS or Buyers (as decided by CCS) take precedence over the documents above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r>
      <w:tr>
        <w:trPr>
          <w:cantSplit w:val="0"/>
          <w:trHeight w:val="940" w:hRule="atLeast"/>
          <w:tblHeader w:val="0"/>
        </w:trPr>
        <w:tc>
          <w:tcPr>
            <w:vMerge w:val="restart"/>
          </w:tcPr>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vMerge w:val="restart"/>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Special Terms</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88">
            <w:pPr>
              <w:spacing w:after="0" w:lineRule="auto"/>
              <w:ind w:left="45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Special Terms amend the Core Terms unless otherwise stated.</w:t>
            </w:r>
          </w:p>
          <w:p w:rsidR="00000000" w:rsidDel="00000000" w:rsidP="00000000" w:rsidRDefault="00000000" w:rsidRPr="00000000" w14:paraId="00000089">
            <w:pPr>
              <w:spacing w:after="0" w:lineRule="auto"/>
              <w:ind w:left="45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A">
            <w:pPr>
              <w:spacing w:after="0" w:lineRule="auto"/>
              <w:ind w:left="45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Special Term 1</w:t>
            </w:r>
          </w:p>
          <w:p w:rsidR="00000000" w:rsidDel="00000000" w:rsidP="00000000" w:rsidRDefault="00000000" w:rsidRPr="00000000" w14:paraId="0000008B">
            <w:pPr>
              <w:spacing w:after="0" w:lineRule="auto"/>
              <w:ind w:left="45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8C">
            <w:pPr>
              <w:spacing w:after="0" w:lineRule="auto"/>
              <w:ind w:left="45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Clause 9 is replaced with the following clause:</w:t>
            </w:r>
          </w:p>
          <w:p w:rsidR="00000000" w:rsidDel="00000000" w:rsidP="00000000" w:rsidRDefault="00000000" w:rsidRPr="00000000" w14:paraId="0000008D">
            <w:pPr>
              <w:pStyle w:val="Heading2"/>
              <w:spacing w:after="0" w:lineRule="auto"/>
              <w:ind w:left="450" w:firstLine="0"/>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9.1 The Parties agree that the terms set out in Call-Off Schedule 26 (Intellectual Property Rights) shall apply to this Contract. </w:t>
            </w:r>
          </w:p>
          <w:p w:rsidR="00000000" w:rsidDel="00000000" w:rsidP="00000000" w:rsidRDefault="00000000" w:rsidRPr="00000000" w14:paraId="0000008E">
            <w:pPr>
              <w:pStyle w:val="Heading2"/>
              <w:pBdr>
                <w:top w:space="0" w:sz="0" w:val="nil"/>
                <w:left w:space="0" w:sz="0" w:val="nil"/>
                <w:bottom w:space="0" w:sz="0" w:val="nil"/>
                <w:right w:space="0" w:sz="0" w:val="nil"/>
                <w:between w:space="0" w:sz="0" w:val="nil"/>
              </w:pBdr>
              <w:spacing w:after="0" w:lineRule="auto"/>
              <w:ind w:left="450" w:firstLine="0"/>
              <w:rPr>
                <w:rFonts w:ascii="Arial" w:cs="Arial" w:eastAsia="Arial" w:hAnsi="Arial"/>
                <w:b w:val="0"/>
                <w:color w:val="000000"/>
                <w:sz w:val="24"/>
                <w:szCs w:val="24"/>
              </w:rPr>
            </w:pPr>
            <w:bookmarkStart w:colFirst="0" w:colLast="0" w:name="_heading=h.1fob9te" w:id="2"/>
            <w:bookmarkEnd w:id="2"/>
            <w:r w:rsidDel="00000000" w:rsidR="00000000" w:rsidRPr="00000000">
              <w:rPr>
                <w:rFonts w:ascii="Arial" w:cs="Arial" w:eastAsia="Arial" w:hAnsi="Arial"/>
                <w:b w:val="0"/>
                <w:color w:val="000000"/>
                <w:sz w:val="24"/>
                <w:szCs w:val="24"/>
                <w:rtl w:val="0"/>
              </w:rPr>
              <w:t xml:space="preserve">9.2 If there is an IPR Claim, the Supplier indemnifies CCS and the Buyer against all losses, damages, costs or expenses (including professional fees and fines) incurred as a result.</w:t>
            </w:r>
          </w:p>
          <w:p w:rsidR="00000000" w:rsidDel="00000000" w:rsidP="00000000" w:rsidRDefault="00000000" w:rsidRPr="00000000" w14:paraId="0000008F">
            <w:pPr>
              <w:pStyle w:val="Heading2"/>
              <w:pBdr>
                <w:top w:space="0" w:sz="0" w:val="nil"/>
                <w:left w:space="0" w:sz="0" w:val="nil"/>
                <w:bottom w:space="0" w:sz="0" w:val="nil"/>
                <w:right w:space="0" w:sz="0" w:val="nil"/>
                <w:between w:space="0" w:sz="0" w:val="nil"/>
              </w:pBdr>
              <w:spacing w:after="0" w:lineRule="auto"/>
              <w:ind w:left="450" w:firstLine="0"/>
              <w:rPr>
                <w:rFonts w:ascii="Arial" w:cs="Arial" w:eastAsia="Arial" w:hAnsi="Arial"/>
                <w:b w:val="0"/>
                <w:color w:val="000000"/>
                <w:sz w:val="24"/>
                <w:szCs w:val="24"/>
              </w:rPr>
            </w:pPr>
            <w:bookmarkStart w:colFirst="0" w:colLast="0" w:name="_heading=h.3znysh7" w:id="3"/>
            <w:bookmarkEnd w:id="3"/>
            <w:r w:rsidDel="00000000" w:rsidR="00000000" w:rsidRPr="00000000">
              <w:rPr>
                <w:rFonts w:ascii="Arial" w:cs="Arial" w:eastAsia="Arial" w:hAnsi="Arial"/>
                <w:b w:val="0"/>
                <w:color w:val="000000"/>
                <w:sz w:val="24"/>
                <w:szCs w:val="24"/>
                <w:rtl w:val="0"/>
              </w:rPr>
              <w:t xml:space="preserve">9.3 If an IPR Claim is made or anticipated the Supplier must at its own expense and the Buyer’s sole option, either:</w:t>
            </w:r>
          </w:p>
          <w:p w:rsidR="00000000" w:rsidDel="00000000" w:rsidP="00000000" w:rsidRDefault="00000000" w:rsidRPr="00000000" w14:paraId="00000090">
            <w:pPr>
              <w:pStyle w:val="Heading2"/>
              <w:pBdr>
                <w:top w:space="0" w:sz="0" w:val="nil"/>
                <w:left w:space="0" w:sz="0" w:val="nil"/>
                <w:bottom w:space="0" w:sz="0" w:val="nil"/>
                <w:right w:space="0" w:sz="0" w:val="nil"/>
                <w:between w:space="0" w:sz="0" w:val="nil"/>
              </w:pBdr>
              <w:spacing w:after="0" w:lineRule="auto"/>
              <w:ind w:left="450" w:firstLine="0"/>
              <w:rPr>
                <w:rFonts w:ascii="Arial" w:cs="Arial" w:eastAsia="Arial" w:hAnsi="Arial"/>
                <w:b w:val="0"/>
                <w:color w:val="000000"/>
                <w:sz w:val="24"/>
                <w:szCs w:val="24"/>
              </w:rPr>
            </w:pPr>
            <w:bookmarkStart w:colFirst="0" w:colLast="0" w:name="_heading=h.2et92p0" w:id="4"/>
            <w:bookmarkEnd w:id="4"/>
            <w:r w:rsidDel="00000000" w:rsidR="00000000" w:rsidRPr="00000000">
              <w:rPr>
                <w:rFonts w:ascii="Arial" w:cs="Arial" w:eastAsia="Arial" w:hAnsi="Arial"/>
                <w:b w:val="0"/>
                <w:color w:val="000000"/>
                <w:sz w:val="24"/>
                <w:szCs w:val="24"/>
                <w:rtl w:val="0"/>
              </w:rPr>
              <w:t xml:space="preserve">9.3.1 obtain for the Buyer the rights to continue using the relevant item without infringing any third party IPR; or</w:t>
            </w:r>
          </w:p>
          <w:p w:rsidR="00000000" w:rsidDel="00000000" w:rsidP="00000000" w:rsidRDefault="00000000" w:rsidRPr="00000000" w14:paraId="00000091">
            <w:pPr>
              <w:pStyle w:val="Heading2"/>
              <w:pBdr>
                <w:top w:space="0" w:sz="0" w:val="nil"/>
                <w:left w:space="0" w:sz="0" w:val="nil"/>
                <w:bottom w:space="0" w:sz="0" w:val="nil"/>
                <w:right w:space="0" w:sz="0" w:val="nil"/>
                <w:between w:space="0" w:sz="0" w:val="nil"/>
              </w:pBdr>
              <w:spacing w:after="0" w:lineRule="auto"/>
              <w:ind w:left="450" w:firstLine="0"/>
              <w:rPr>
                <w:rFonts w:ascii="Arial" w:cs="Arial" w:eastAsia="Arial" w:hAnsi="Arial"/>
                <w:b w:val="0"/>
                <w:color w:val="000000"/>
                <w:sz w:val="24"/>
                <w:szCs w:val="24"/>
              </w:rPr>
            </w:pPr>
            <w:bookmarkStart w:colFirst="0" w:colLast="0" w:name="_heading=h.tyjcwt" w:id="5"/>
            <w:bookmarkEnd w:id="5"/>
            <w:r w:rsidDel="00000000" w:rsidR="00000000" w:rsidRPr="00000000">
              <w:rPr>
                <w:rFonts w:ascii="Arial" w:cs="Arial" w:eastAsia="Arial" w:hAnsi="Arial"/>
                <w:b w:val="0"/>
                <w:color w:val="000000"/>
                <w:sz w:val="24"/>
                <w:szCs w:val="24"/>
                <w:rtl w:val="0"/>
              </w:rPr>
              <w:t xml:space="preserve">9.3.2 replace or modify the relevant item with substitutes that don’t infringe IPR without adversely affecting the functionality or performance of the Deliverables.</w:t>
            </w:r>
          </w:p>
          <w:p w:rsidR="00000000" w:rsidDel="00000000" w:rsidP="00000000" w:rsidRDefault="00000000" w:rsidRPr="00000000" w14:paraId="00000092">
            <w:pPr>
              <w:pStyle w:val="Heading2"/>
              <w:pBdr>
                <w:top w:space="0" w:sz="0" w:val="nil"/>
                <w:left w:space="0" w:sz="0" w:val="nil"/>
                <w:bottom w:space="0" w:sz="0" w:val="nil"/>
                <w:right w:space="0" w:sz="0" w:val="nil"/>
                <w:between w:space="0" w:sz="0" w:val="nil"/>
              </w:pBdr>
              <w:spacing w:after="0" w:lineRule="auto"/>
              <w:ind w:left="450" w:firstLine="0"/>
              <w:rPr>
                <w:rFonts w:ascii="Arial" w:cs="Arial" w:eastAsia="Arial" w:hAnsi="Arial"/>
                <w:b w:val="0"/>
                <w:color w:val="000000"/>
                <w:sz w:val="24"/>
                <w:szCs w:val="24"/>
              </w:rPr>
            </w:pPr>
            <w:bookmarkStart w:colFirst="0" w:colLast="0" w:name="_heading=h.3dy6vkm" w:id="6"/>
            <w:bookmarkEnd w:id="6"/>
            <w:r w:rsidDel="00000000" w:rsidR="00000000" w:rsidRPr="00000000">
              <w:rPr>
                <w:rFonts w:ascii="Arial" w:cs="Arial" w:eastAsia="Arial" w:hAnsi="Arial"/>
                <w:b w:val="0"/>
                <w:color w:val="000000"/>
                <w:sz w:val="24"/>
                <w:szCs w:val="24"/>
                <w:rtl w:val="0"/>
              </w:rPr>
              <w:t xml:space="preserve">9.4 If the Buyer requires that the Supplier procures a licence in accordance with Clause 9.3.1 or to modify or replace an item pursuant to Clause 9.3.2, but this has not avoided or resolved the IPR Claim, then the Buyer may terminate this Contract by written notice with immediate effect and the consequences of termination set out in Clause 10.4.1 shall apply.</w:t>
            </w:r>
          </w:p>
          <w:p w:rsidR="00000000" w:rsidDel="00000000" w:rsidP="00000000" w:rsidRDefault="00000000" w:rsidRPr="00000000" w14:paraId="00000093">
            <w:pPr>
              <w:pStyle w:val="Heading2"/>
              <w:spacing w:after="0" w:lineRule="auto"/>
              <w:ind w:left="450" w:firstLine="0"/>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9.5 For the avoidance of doubt, nothing in this Contract provides the Supplier with an indemnity in respect of IPR Claims.</w:t>
            </w:r>
          </w:p>
          <w:p w:rsidR="00000000" w:rsidDel="00000000" w:rsidP="00000000" w:rsidRDefault="00000000" w:rsidRPr="00000000" w14:paraId="00000094">
            <w:pPr>
              <w:rPr>
                <w:color w:val="000000"/>
              </w:rPr>
            </w:pPr>
            <w:r w:rsidDel="00000000" w:rsidR="00000000" w:rsidRPr="00000000">
              <w:rPr>
                <w:rtl w:val="0"/>
              </w:rPr>
            </w:r>
          </w:p>
          <w:p w:rsidR="00000000" w:rsidDel="00000000" w:rsidP="00000000" w:rsidRDefault="00000000" w:rsidRPr="00000000" w14:paraId="0000009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reference in clause 11.5 to clause 9.5 is replaced with a reference to clause 9.2.</w:t>
            </w:r>
          </w:p>
          <w:p w:rsidR="00000000" w:rsidDel="00000000" w:rsidP="00000000" w:rsidRDefault="00000000" w:rsidRPr="00000000" w14:paraId="00000096">
            <w:pPr>
              <w:spacing w:after="0" w:lineRule="auto"/>
              <w:ind w:left="450" w:firstLine="0"/>
              <w:rPr>
                <w:rFonts w:ascii="Arial" w:cs="Arial" w:eastAsia="Arial" w:hAnsi="Arial"/>
                <w:color w:val="000000"/>
                <w:sz w:val="24"/>
                <w:szCs w:val="24"/>
              </w:rPr>
            </w:pPr>
            <w:r w:rsidDel="00000000" w:rsidR="00000000" w:rsidRPr="00000000">
              <w:rPr>
                <w:rtl w:val="0"/>
              </w:rPr>
            </w:r>
          </w:p>
        </w:tc>
      </w:tr>
      <w:tr>
        <w:trPr>
          <w:cantSplit w:val="0"/>
          <w:trHeight w:val="666" w:hRule="atLeast"/>
          <w:tblHeader w:val="0"/>
        </w:trPr>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9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Special Term 2</w:t>
            </w:r>
          </w:p>
          <w:p w:rsidR="00000000" w:rsidDel="00000000" w:rsidP="00000000" w:rsidRDefault="00000000" w:rsidRPr="00000000" w14:paraId="0000009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clause 11.2 for Lot 1 procurements replace the words “the greater of £5 million or 150%” with “the greater of £5 million or 125%”</w:t>
            </w:r>
          </w:p>
          <w:p w:rsidR="00000000" w:rsidDel="00000000" w:rsidP="00000000" w:rsidRDefault="00000000" w:rsidRPr="00000000" w14:paraId="0000009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clause 11.2 for Lot 2 procurements replaced the words “the greater of £5 million or 150%” with “125%”</w:t>
            </w:r>
          </w:p>
        </w:tc>
      </w:tr>
      <w:tr>
        <w:trPr>
          <w:cantSplit w:val="0"/>
          <w:trHeight w:val="690" w:hRule="atLeast"/>
          <w:tblHeader w:val="0"/>
        </w:trPr>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9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Special Term 3</w:t>
            </w:r>
          </w:p>
          <w:p w:rsidR="00000000" w:rsidDel="00000000" w:rsidP="00000000" w:rsidRDefault="00000000" w:rsidRPr="00000000" w14:paraId="0000009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clause 10.6.1(c) after the words “has paid in advance” insert the words  “(less the Compensation Amount where termination arises from Clause 10.2.2)”</w:t>
            </w:r>
          </w:p>
          <w:p w:rsidR="00000000" w:rsidDel="00000000" w:rsidP="00000000" w:rsidRDefault="00000000" w:rsidRPr="00000000" w14:paraId="000000A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clause 10.6.3(a) after the words “outstanding Charges” add “and any Compensation Amount where termination arises from Clause 10.2.2”</w:t>
            </w:r>
          </w:p>
        </w:tc>
      </w:tr>
      <w:tr>
        <w:trPr>
          <w:cantSplit w:val="0"/>
          <w:trHeight w:val="690" w:hRule="atLeast"/>
          <w:tblHeader w:val="0"/>
        </w:trPr>
        <w:tc>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Special Term 4</w:t>
            </w:r>
          </w:p>
          <w:p w:rsidR="00000000" w:rsidDel="00000000" w:rsidP="00000000" w:rsidRDefault="00000000" w:rsidRPr="00000000" w14:paraId="000000A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Amend clause 6.4:</w:t>
            </w:r>
          </w:p>
          <w:p w:rsidR="00000000" w:rsidDel="00000000" w:rsidP="00000000" w:rsidRDefault="00000000" w:rsidRPr="00000000" w14:paraId="000000A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the end of the clause add before “; and”:</w:t>
            </w:r>
          </w:p>
          <w:p w:rsidR="00000000" w:rsidDel="00000000" w:rsidP="00000000" w:rsidRDefault="00000000" w:rsidRPr="00000000" w14:paraId="000000A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granting such access could disrupt the technical operations of the Supplier, in which case the Supplier shall discuss with the Auditor what other options are available to enable the Audit”</w:t>
            </w:r>
          </w:p>
          <w:p w:rsidR="00000000" w:rsidDel="00000000" w:rsidP="00000000" w:rsidRDefault="00000000" w:rsidRPr="00000000" w14:paraId="000000A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Insert new clauses 6.9:</w:t>
            </w:r>
          </w:p>
          <w:p w:rsidR="00000000" w:rsidDel="00000000" w:rsidP="00000000" w:rsidRDefault="00000000" w:rsidRPr="00000000" w14:paraId="000000A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6.9       CCS shall use reasonable endeavours to ensure that the conduct of each Audit does not unreasonably disrupt the Supplier or delay the provision of the Services pursuant to the Call-Off Contracts, save insofar as the Supplier accepts and acknowledges that control over the conduct of Audits carried out by the Auditors is outside of the control of CCS.</w:t>
            </w:r>
          </w:p>
          <w:p w:rsidR="00000000" w:rsidDel="00000000" w:rsidP="00000000" w:rsidRDefault="00000000" w:rsidRPr="00000000" w14:paraId="000000A9">
            <w:pPr>
              <w:rPr>
                <w:rFonts w:ascii="Arial" w:cs="Arial" w:eastAsia="Arial" w:hAnsi="Arial"/>
                <w:color w:val="000000"/>
                <w:sz w:val="24"/>
                <w:szCs w:val="24"/>
              </w:rPr>
            </w:pPr>
            <w:r w:rsidDel="00000000" w:rsidR="00000000" w:rsidRPr="00000000">
              <w:rPr>
                <w:rtl w:val="0"/>
              </w:rPr>
            </w:r>
          </w:p>
        </w:tc>
      </w:tr>
      <w:tr>
        <w:trPr>
          <w:cantSplit w:val="0"/>
          <w:trHeight w:val="690" w:hRule="atLeast"/>
          <w:tblHeader w:val="0"/>
        </w:trPr>
        <w:tc>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Special Term 5</w:t>
            </w:r>
          </w:p>
          <w:p w:rsidR="00000000" w:rsidDel="00000000" w:rsidP="00000000" w:rsidRDefault="00000000" w:rsidRPr="00000000" w14:paraId="000000A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 a new limb (f) to clause 14.8 and amend (d) accordingly:</w:t>
            </w:r>
          </w:p>
          <w:p w:rsidR="00000000" w:rsidDel="00000000" w:rsidP="00000000" w:rsidRDefault="00000000" w:rsidRPr="00000000" w14:paraId="000000A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 will notify CCS and the Buyer within 24 hours of becoming aware of loss, damage or unauthorised access to Government Data.</w:t>
            </w:r>
          </w:p>
          <w:p w:rsidR="00000000" w:rsidDel="00000000" w:rsidP="00000000" w:rsidRDefault="00000000" w:rsidRPr="00000000" w14:paraId="000000AF">
            <w:pPr>
              <w:rPr>
                <w:rFonts w:ascii="Arial" w:cs="Arial" w:eastAsia="Arial" w:hAnsi="Arial"/>
                <w:color w:val="000000"/>
                <w:sz w:val="24"/>
                <w:szCs w:val="24"/>
              </w:rPr>
            </w:pPr>
            <w:r w:rsidDel="00000000" w:rsidR="00000000" w:rsidRPr="00000000">
              <w:rPr>
                <w:rtl w:val="0"/>
              </w:rPr>
            </w:r>
          </w:p>
        </w:tc>
      </w:tr>
      <w:tr>
        <w:trPr>
          <w:cantSplit w:val="0"/>
          <w:trHeight w:val="55" w:hRule="atLeast"/>
          <w:tblHeader w:val="0"/>
        </w:trPr>
        <w:tc>
          <w:tcPr/>
          <w:p w:rsidR="00000000" w:rsidDel="00000000" w:rsidP="00000000" w:rsidRDefault="00000000" w:rsidRPr="00000000" w14:paraId="000000B0">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Prices </w:t>
            </w:r>
          </w:p>
        </w:tc>
        <w:tc>
          <w:tcPr/>
          <w:p w:rsidR="00000000" w:rsidDel="00000000" w:rsidP="00000000" w:rsidRDefault="00000000" w:rsidRPr="00000000" w14:paraId="000000B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in Framework Schedule 3 (Framework Prices)</w:t>
            </w:r>
          </w:p>
          <w:p w:rsidR="00000000" w:rsidDel="00000000" w:rsidP="00000000" w:rsidRDefault="00000000" w:rsidRPr="00000000" w14:paraId="000000B3">
            <w:pPr>
              <w:rPr>
                <w:rFonts w:ascii="Arial" w:cs="Arial" w:eastAsia="Arial" w:hAnsi="Arial"/>
                <w:color w:val="000000"/>
                <w:sz w:val="24"/>
                <w:szCs w:val="24"/>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B4">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Insurance</w:t>
            </w:r>
          </w:p>
        </w:tc>
        <w:tc>
          <w:tcPr>
            <w:shd w:fill="auto" w:val="clea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Details in Annex of Joint Schedule 3 (Insurance Requirements).</w:t>
            </w:r>
            <w:r w:rsidDel="00000000" w:rsidR="00000000" w:rsidRPr="00000000">
              <w:rPr>
                <w:rtl w:val="0"/>
              </w:rPr>
            </w:r>
          </w:p>
        </w:tc>
      </w:tr>
      <w:tr>
        <w:trPr>
          <w:cantSplit w:val="0"/>
          <w:trHeight w:val="939" w:hRule="atLeast"/>
          <w:tblHeader w:val="0"/>
        </w:trPr>
        <w:tc>
          <w:tcPr/>
          <w:p w:rsidR="00000000" w:rsidDel="00000000" w:rsidP="00000000" w:rsidRDefault="00000000" w:rsidRPr="00000000" w14:paraId="000000B7">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Essentials Certification</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Cyber Essentials Scheme Basic Certificate. Details in Framework Schedule F9 (Cyber Essentials Scheme)</w:t>
            </w:r>
          </w:p>
        </w:tc>
      </w:tr>
      <w:tr>
        <w:trPr>
          <w:cantSplit w:val="0"/>
          <w:trHeight w:val="731" w:hRule="atLeast"/>
          <w:tblHeader w:val="0"/>
        </w:trPr>
        <w:tc>
          <w:tcPr/>
          <w:p w:rsidR="00000000" w:rsidDel="00000000" w:rsidP="00000000" w:rsidRDefault="00000000" w:rsidRPr="00000000" w14:paraId="000000BB">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Charge</w:t>
            </w:r>
          </w:p>
        </w:tc>
        <w:tc>
          <w:tcPr/>
          <w:p w:rsidR="00000000" w:rsidDel="00000000" w:rsidP="00000000" w:rsidRDefault="00000000" w:rsidRPr="00000000" w14:paraId="000000B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will pay, excluding VAT, 1 % of all the Charges for the Deliverables invoiced to the Buyer under all Call-Off Contracts.</w:t>
            </w:r>
          </w:p>
        </w:tc>
      </w:tr>
      <w:tr>
        <w:trPr>
          <w:cantSplit w:val="0"/>
          <w:trHeight w:val="1333" w:hRule="atLeast"/>
          <w:tblHeader w:val="0"/>
        </w:trPr>
        <w:tc>
          <w:tcPr/>
          <w:p w:rsidR="00000000" w:rsidDel="00000000" w:rsidP="00000000" w:rsidRDefault="00000000" w:rsidRPr="00000000" w14:paraId="000000BE">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Manager</w:t>
            </w:r>
          </w:p>
        </w:tc>
        <w:tc>
          <w:tcPr/>
          <w:p w:rsidR="00000000" w:rsidDel="00000000" w:rsidP="00000000" w:rsidRDefault="00000000" w:rsidRPr="00000000" w14:paraId="000000C2">
            <w:pPr>
              <w:rPr>
                <w:rFonts w:ascii="Arial" w:cs="Arial" w:eastAsia="Arial" w:hAnsi="Arial"/>
                <w:color w:val="000000"/>
                <w:sz w:val="24"/>
                <w:szCs w:val="24"/>
              </w:rPr>
            </w:pP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C3">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 Representative</w:t>
            </w:r>
          </w:p>
        </w:tc>
        <w:tc>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C7">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Officer</w:t>
            </w:r>
          </w:p>
        </w:tc>
        <w:tc>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CB">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Data Protection </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Officer</w:t>
            </w:r>
          </w:p>
        </w:tc>
        <w:tc>
          <w:tcPr/>
          <w:p w:rsidR="00000000" w:rsidDel="00000000" w:rsidP="00000000" w:rsidRDefault="00000000" w:rsidRPr="00000000" w14:paraId="000000CE">
            <w:pPr>
              <w:rPr>
                <w:rFonts w:ascii="Arial" w:cs="Arial" w:eastAsia="Arial" w:hAnsi="Arial"/>
                <w:color w:val="000000"/>
                <w:sz w:val="24"/>
                <w:szCs w:val="24"/>
              </w:rPr>
            </w:pP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CF">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Liability Cap</w:t>
            </w:r>
          </w:p>
        </w:tc>
        <w:tc>
          <w:tcPr/>
          <w:p w:rsidR="00000000" w:rsidDel="00000000" w:rsidP="00000000" w:rsidRDefault="00000000" w:rsidRPr="00000000" w14:paraId="000000D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£10,000,000</w:t>
            </w:r>
          </w:p>
        </w:tc>
      </w:tr>
      <w:tr>
        <w:trPr>
          <w:cantSplit w:val="0"/>
          <w:trHeight w:val="1333" w:hRule="atLeast"/>
          <w:tblHeader w:val="0"/>
        </w:trPr>
        <w:tc>
          <w:tcPr/>
          <w:p w:rsidR="00000000" w:rsidDel="00000000" w:rsidP="00000000" w:rsidRDefault="00000000" w:rsidRPr="00000000" w14:paraId="000000D2">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Marketing Contact</w:t>
            </w:r>
          </w:p>
        </w:tc>
        <w:tc>
          <w:tcPr/>
          <w:p w:rsidR="00000000" w:rsidDel="00000000" w:rsidP="00000000" w:rsidRDefault="00000000" w:rsidRPr="00000000" w14:paraId="000000D5">
            <w:pPr>
              <w:rPr>
                <w:rFonts w:ascii="Arial" w:cs="Arial" w:eastAsia="Arial" w:hAnsi="Arial"/>
                <w:color w:val="000000"/>
                <w:sz w:val="24"/>
                <w:szCs w:val="24"/>
              </w:rPr>
            </w:pPr>
            <w:r w:rsidDel="00000000" w:rsidR="00000000" w:rsidRPr="00000000">
              <w:rPr>
                <w:rtl w:val="0"/>
              </w:rPr>
            </w:r>
          </w:p>
        </w:tc>
      </w:tr>
      <w:tr>
        <w:trPr>
          <w:cantSplit w:val="0"/>
          <w:trHeight w:val="2047.119140625" w:hRule="atLeast"/>
          <w:tblHeader w:val="0"/>
        </w:trPr>
        <w:tc>
          <w:tcPr/>
          <w:p w:rsidR="00000000" w:rsidDel="00000000" w:rsidP="00000000" w:rsidRDefault="00000000" w:rsidRPr="00000000" w14:paraId="000000D6">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Subcontractors</w:t>
            </w:r>
          </w:p>
        </w:tc>
        <w:tc>
          <w:tcPr>
            <w:shd w:fill="auto" w:val="clear"/>
          </w:tcPr>
          <w:p w:rsidR="00000000" w:rsidDel="00000000" w:rsidP="00000000" w:rsidRDefault="00000000" w:rsidRPr="00000000" w14:paraId="000000D8">
            <w:pPr>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If Applicable - Please see embedded folder within the Framework</w:t>
            </w:r>
          </w:p>
          <w:p w:rsidR="00000000" w:rsidDel="00000000" w:rsidP="00000000" w:rsidRDefault="00000000" w:rsidRPr="00000000" w14:paraId="000000D9">
            <w:pPr>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Documents folder.</w:t>
            </w:r>
          </w:p>
          <w:p w:rsidR="00000000" w:rsidDel="00000000" w:rsidP="00000000" w:rsidRDefault="00000000" w:rsidRPr="00000000" w14:paraId="000000DA">
            <w:pPr>
              <w:spacing w:after="120" w:before="120" w:lineRule="auto"/>
              <w:rPr>
                <w:rFonts w:ascii="Arial" w:cs="Arial" w:eastAsia="Arial" w:hAnsi="Arial"/>
                <w:b w:val="1"/>
                <w:color w:val="000000"/>
                <w:sz w:val="24"/>
                <w:szCs w:val="24"/>
              </w:rPr>
            </w:pP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DB">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 Representative</w:t>
            </w:r>
          </w:p>
        </w:tc>
        <w:tc>
          <w:tcPr/>
          <w:p w:rsidR="00000000" w:rsidDel="00000000" w:rsidP="00000000" w:rsidRDefault="00000000" w:rsidRPr="00000000" w14:paraId="000000D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Rebekah Loades</w:t>
            </w:r>
          </w:p>
          <w:p w:rsidR="00000000" w:rsidDel="00000000" w:rsidP="00000000" w:rsidRDefault="00000000" w:rsidRPr="00000000" w14:paraId="000000D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Category Agreement Manager</w:t>
            </w:r>
          </w:p>
          <w:p w:rsidR="00000000" w:rsidDel="00000000" w:rsidP="00000000" w:rsidRDefault="00000000" w:rsidRPr="00000000" w14:paraId="000000E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rebekah.loades@crowncommercial.gov.uk</w:t>
            </w:r>
          </w:p>
          <w:p w:rsidR="00000000" w:rsidDel="00000000" w:rsidP="00000000" w:rsidRDefault="00000000" w:rsidRPr="00000000" w14:paraId="000000E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07593521620</w:t>
            </w:r>
          </w:p>
        </w:tc>
      </w:tr>
    </w:tbl>
    <w:p w:rsidR="00000000" w:rsidDel="00000000" w:rsidP="00000000" w:rsidRDefault="00000000" w:rsidRPr="00000000" w14:paraId="000000E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rPr>
          <w:rFonts w:ascii="Arial" w:cs="Arial" w:eastAsia="Arial" w:hAnsi="Arial"/>
          <w:sz w:val="24"/>
          <w:szCs w:val="24"/>
        </w:rPr>
      </w:pPr>
      <w:r w:rsidDel="00000000" w:rsidR="00000000" w:rsidRPr="00000000">
        <w:rPr>
          <w:rtl w:val="0"/>
        </w:rPr>
      </w:r>
    </w:p>
    <w:tbl>
      <w:tblPr>
        <w:tblStyle w:val="Table3"/>
        <w:tblW w:w="9170.000000000002" w:type="dxa"/>
        <w:jc w:val="left"/>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1526"/>
        <w:gridCol w:w="2980"/>
        <w:gridCol w:w="1698"/>
        <w:gridCol w:w="2966"/>
        <w:tblGridChange w:id="0">
          <w:tblGrid>
            <w:gridCol w:w="1526"/>
            <w:gridCol w:w="2980"/>
            <w:gridCol w:w="1698"/>
            <w:gridCol w:w="2966"/>
          </w:tblGrid>
        </w:tblGridChange>
      </w:tblGrid>
      <w:tr>
        <w:trPr>
          <w:cantSplit w:val="0"/>
          <w:trHeight w:val="635" w:hRule="atLeast"/>
          <w:tblHeader w:val="0"/>
        </w:trPr>
        <w:tc>
          <w:tcPr>
            <w:gridSpan w:val="2"/>
          </w:tcPr>
          <w:p w:rsidR="00000000" w:rsidDel="00000000" w:rsidP="00000000" w:rsidRDefault="00000000" w:rsidRPr="00000000" w14:paraId="000000E4">
            <w:pPr>
              <w:keepNext w:val="1"/>
              <w:pBdr>
                <w:top w:space="0" w:sz="0" w:val="nil"/>
                <w:left w:space="0" w:sz="0" w:val="nil"/>
                <w:bottom w:space="0" w:sz="0" w:val="nil"/>
                <w:right w:space="0" w:sz="0" w:val="nil"/>
                <w:between w:space="0" w:sz="0" w:val="nil"/>
              </w:pBdr>
              <w:spacing w:after="12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0E6">
            <w:pPr>
              <w:keepNext w:val="1"/>
              <w:pBdr>
                <w:top w:space="0" w:sz="0" w:val="nil"/>
                <w:left w:space="0" w:sz="0" w:val="nil"/>
                <w:bottom w:space="0" w:sz="0" w:val="nil"/>
                <w:right w:space="0" w:sz="0" w:val="nil"/>
                <w:between w:space="0" w:sz="0" w:val="nil"/>
              </w:pBdr>
              <w:spacing w:after="120" w:before="24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CCS:</w:t>
            </w:r>
          </w:p>
        </w:tc>
      </w:tr>
      <w:tr>
        <w:trPr>
          <w:cantSplit w:val="0"/>
          <w:trHeight w:val="635" w:hRule="atLeast"/>
          <w:tblHeader w:val="0"/>
        </w:trPr>
        <w:tc>
          <w:tcPr/>
          <w:p w:rsidR="00000000" w:rsidDel="00000000" w:rsidP="00000000" w:rsidRDefault="00000000" w:rsidRPr="00000000" w14:paraId="000000E8">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E9">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A">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EB">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EC">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ED">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E">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EF">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F0">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F1">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F2">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F3">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F4">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F5">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F6">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F7">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F8">
      <w:pPr>
        <w:pBdr>
          <w:top w:space="0" w:sz="0" w:val="nil"/>
          <w:left w:space="0" w:sz="0" w:val="nil"/>
          <w:bottom w:space="0" w:sz="0" w:val="nil"/>
          <w:right w:space="0" w:sz="0" w:val="nil"/>
          <w:between w:space="0" w:sz="0" w:val="nil"/>
        </w:pBdr>
        <w:ind w:left="792" w:firstLine="0"/>
        <w:rPr>
          <w:rFonts w:ascii="Arial" w:cs="Arial" w:eastAsia="Arial" w:hAnsi="Arial"/>
          <w:i w:val="1"/>
          <w:color w:val="000000"/>
        </w:rPr>
      </w:pPr>
      <w:r w:rsidDel="00000000" w:rsidR="00000000" w:rsidRPr="00000000">
        <w:rPr>
          <w:rtl w:val="0"/>
        </w:rPr>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tabs>
        <w:tab w:val="center" w:leader="none" w:pos="4513"/>
        <w:tab w:val="right" w:leader="none" w:pos="9026"/>
      </w:tabs>
      <w:spacing w:after="0" w:lineRule="auto"/>
      <w:rPr>
        <w:color w:val="a6a6a6"/>
      </w:rPr>
    </w:pPr>
    <w:r w:rsidDel="00000000" w:rsidR="00000000" w:rsidRPr="00000000">
      <w:rPr>
        <w:rtl w:val="0"/>
      </w:rPr>
    </w:r>
  </w:p>
  <w:p w:rsidR="00000000" w:rsidDel="00000000" w:rsidP="00000000" w:rsidRDefault="00000000" w:rsidRPr="00000000" w14:paraId="000000FF">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v3.11</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103">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5">
    <w:pPr>
      <w:spacing w:after="0" w:line="240" w:lineRule="auto"/>
      <w:jc w:val="both"/>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 v2.9</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Framework Award Form</w:t>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Crown Copyright 2023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a6a6a6"/>
        <w:sz w:val="20"/>
        <w:szCs w:val="20"/>
      </w:rPr>
    </w:pPr>
    <w:r w:rsidDel="00000000" w:rsidR="00000000" w:rsidRPr="00000000">
      <w:rPr>
        <w:rFonts w:ascii="Arial" w:cs="Arial" w:eastAsia="Arial" w:hAnsi="Arial"/>
        <w:b w:val="1"/>
        <w:color w:val="a6a6a6"/>
        <w:sz w:val="20"/>
        <w:szCs w:val="20"/>
        <w:rtl w:val="0"/>
      </w:rPr>
      <w:t xml:space="preserve">Framework Award Form</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Crown Copyright 2018</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430" w:hanging="360"/>
      </w:pPr>
      <w:rPr>
        <w:rFonts w:ascii="Courier New" w:cs="Courier New" w:eastAsia="Courier New" w:hAnsi="Courier New"/>
      </w:rPr>
    </w:lvl>
    <w:lvl w:ilvl="2">
      <w:start w:val="1"/>
      <w:numFmt w:val="bullet"/>
      <w:lvlText w:val="▪"/>
      <w:lvlJc w:val="left"/>
      <w:pPr>
        <w:ind w:left="3150" w:hanging="360"/>
      </w:pPr>
      <w:rPr>
        <w:rFonts w:ascii="Noto Sans Symbols" w:cs="Noto Sans Symbols" w:eastAsia="Noto Sans Symbols" w:hAnsi="Noto Sans Symbols"/>
      </w:rPr>
    </w:lvl>
    <w:lvl w:ilvl="3">
      <w:start w:val="1"/>
      <w:numFmt w:val="bullet"/>
      <w:lvlText w:val="●"/>
      <w:lvlJc w:val="left"/>
      <w:pPr>
        <w:ind w:left="3870" w:hanging="360"/>
      </w:pPr>
      <w:rPr>
        <w:rFonts w:ascii="Noto Sans Symbols" w:cs="Noto Sans Symbols" w:eastAsia="Noto Sans Symbols" w:hAnsi="Noto Sans Symbols"/>
      </w:rPr>
    </w:lvl>
    <w:lvl w:ilvl="4">
      <w:start w:val="1"/>
      <w:numFmt w:val="bullet"/>
      <w:lvlText w:val="o"/>
      <w:lvlJc w:val="left"/>
      <w:pPr>
        <w:ind w:left="4590" w:hanging="360"/>
      </w:pPr>
      <w:rPr>
        <w:rFonts w:ascii="Courier New" w:cs="Courier New" w:eastAsia="Courier New" w:hAnsi="Courier New"/>
      </w:rPr>
    </w:lvl>
    <w:lvl w:ilvl="5">
      <w:start w:val="1"/>
      <w:numFmt w:val="bullet"/>
      <w:lvlText w:val="▪"/>
      <w:lvlJc w:val="left"/>
      <w:pPr>
        <w:ind w:left="5310" w:hanging="360"/>
      </w:pPr>
      <w:rPr>
        <w:rFonts w:ascii="Noto Sans Symbols" w:cs="Noto Sans Symbols" w:eastAsia="Noto Sans Symbols" w:hAnsi="Noto Sans Symbols"/>
      </w:rPr>
    </w:lvl>
    <w:lvl w:ilvl="6">
      <w:start w:val="1"/>
      <w:numFmt w:val="bullet"/>
      <w:lvlText w:val="●"/>
      <w:lvlJc w:val="left"/>
      <w:pPr>
        <w:ind w:left="6030" w:hanging="360"/>
      </w:pPr>
      <w:rPr>
        <w:rFonts w:ascii="Noto Sans Symbols" w:cs="Noto Sans Symbols" w:eastAsia="Noto Sans Symbols" w:hAnsi="Noto Sans Symbols"/>
      </w:rPr>
    </w:lvl>
    <w:lvl w:ilvl="7">
      <w:start w:val="1"/>
      <w:numFmt w:val="bullet"/>
      <w:lvlText w:val="o"/>
      <w:lvlJc w:val="left"/>
      <w:pPr>
        <w:ind w:left="6750" w:hanging="360"/>
      </w:pPr>
      <w:rPr>
        <w:rFonts w:ascii="Courier New" w:cs="Courier New" w:eastAsia="Courier New" w:hAnsi="Courier New"/>
      </w:rPr>
    </w:lvl>
    <w:lvl w:ilvl="8">
      <w:start w:val="1"/>
      <w:numFmt w:val="bullet"/>
      <w:lvlText w:val="▪"/>
      <w:lvlJc w:val="left"/>
      <w:pPr>
        <w:ind w:left="7470" w:hanging="360"/>
      </w:pPr>
      <w:rPr>
        <w:rFonts w:ascii="Noto Sans Symbols" w:cs="Noto Sans Symbols" w:eastAsia="Noto Sans Symbols" w:hAnsi="Noto Sans Symbols"/>
      </w:rPr>
    </w:lvl>
  </w:abstractNum>
  <w:abstractNum w:abstractNumId="2">
    <w:lvl w:ilvl="0">
      <w:start w:val="1"/>
      <w:numFmt w:val="decimal"/>
      <w:lvlText w:val="%1."/>
      <w:lvlJc w:val="left"/>
      <w:pPr>
        <w:ind w:left="45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644" w:hanging="358.9999999999999"/>
      </w:pPr>
      <w:rPr>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4590" w:hanging="360"/>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4590" w:hanging="36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4590" w:hanging="360"/>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4590" w:hanging="36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366091"/>
    </w:r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tcBorders>
      </w:tcPr>
    </w:tblStylePr>
    <w:tblStylePr w:type="band1Vert">
      <w:tcPr>
        <w:tcBorders>
          <w:top w:color="000000" w:space="0" w:sz="8" w:val="single"/>
          <w:left w:color="000000" w:space="0" w:sz="8" w:val="single"/>
          <w:bottom w:color="000000" w:space="0" w:sz="8" w:val="single"/>
          <w:right w:color="000000" w:space="0" w:sz="8" w:val="single"/>
        </w:tcBorders>
      </w:tcPr>
    </w:tblStylePr>
    <w:tblStylePr w:type="firstCol">
      <w:rPr>
        <w:b w:val="1"/>
      </w:rPr>
    </w:tblStylePr>
    <w:tblStylePr w:type="firstRow">
      <w:pPr>
        <w:spacing w:after="0" w:before="0" w:line="240" w:lineRule="auto"/>
      </w:pPr>
      <w:rPr>
        <w:b w:val="1"/>
        <w:color w:val="ffffff"/>
      </w:rPr>
      <w:tcPr>
        <w:shd w:fill="000000" w:val="clear"/>
      </w:tcPr>
    </w:tblStylePr>
    <w:tblStylePr w:type="lastCol">
      <w:rPr>
        <w:b w:val="1"/>
      </w:rPr>
    </w:tblStylePr>
    <w:tblStylePr w:type="lastRow">
      <w:pPr>
        <w:spacing w:after="0" w:before="0" w:line="240" w:lineRule="auto"/>
      </w:pPr>
      <w:rPr>
        <w:b w:val="1"/>
      </w:rPr>
      <w:tcPr>
        <w:tcBorders>
          <w:top w:color="000000" w:space="0" w:sz="6" w:val="single"/>
          <w:left w:color="000000" w:space="0" w:sz="8" w:val="single"/>
          <w:bottom w:color="000000" w:space="0" w:sz="8" w:val="single"/>
          <w:right w:color="000000" w:space="0" w:sz="8" w:val="single"/>
        </w:tcBorders>
      </w:tcPr>
    </w:tblStylePr>
  </w:style>
  <w:style w:type="table" w:styleId="Table2">
    <w:basedOn w:val="TableNormal"/>
    <w:rPr>
      <w:color w:val="366091"/>
    </w:rPr>
    <w:tblPr>
      <w:tblStyleRowBandSize w:val="1"/>
      <w:tblStyleColBandSize w:val="1"/>
      <w:tblCellMar>
        <w:top w:w="0.0" w:type="dxa"/>
        <w:left w:w="108.0" w:type="dxa"/>
        <w:bottom w:w="0.0" w:type="dxa"/>
        <w:right w:w="108.0" w:type="dxa"/>
      </w:tblCellMar>
    </w:tblPr>
  </w:style>
  <w:style w:type="table" w:styleId="Table3">
    <w:basedOn w:val="TableNormal"/>
    <w:rPr>
      <w:color w:val="366091"/>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366091"/>
    </w:r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tcBorders>
      </w:tcPr>
    </w:tblStylePr>
    <w:tblStylePr w:type="band1Vert">
      <w:tcPr>
        <w:tcBorders>
          <w:top w:color="000000" w:space="0" w:sz="8" w:val="single"/>
          <w:left w:color="000000" w:space="0" w:sz="8" w:val="single"/>
          <w:bottom w:color="000000" w:space="0" w:sz="8" w:val="single"/>
          <w:right w:color="000000" w:space="0" w:sz="8" w:val="single"/>
        </w:tcBorders>
      </w:tcPr>
    </w:tblStylePr>
    <w:tblStylePr w:type="firstCol">
      <w:rPr>
        <w:b w:val="1"/>
      </w:rPr>
    </w:tblStylePr>
    <w:tblStylePr w:type="firstRow">
      <w:pPr>
        <w:spacing w:after="0" w:before="0" w:line="240" w:lineRule="auto"/>
      </w:pPr>
      <w:rPr>
        <w:b w:val="1"/>
        <w:color w:val="ffffff"/>
      </w:rPr>
      <w:tcPr>
        <w:shd w:fill="000000" w:val="clear"/>
      </w:tcPr>
    </w:tblStylePr>
    <w:tblStylePr w:type="lastCol">
      <w:rPr>
        <w:b w:val="1"/>
      </w:rPr>
    </w:tblStylePr>
    <w:tblStylePr w:type="lastRow">
      <w:pPr>
        <w:spacing w:after="0" w:before="0" w:line="240" w:lineRule="auto"/>
      </w:pPr>
      <w:rPr>
        <w:b w:val="1"/>
      </w:rPr>
      <w:tcPr>
        <w:tcBorders>
          <w:top w:color="000000" w:space="0" w:sz="6" w:val="single"/>
          <w:left w:color="000000" w:space="0" w:sz="8" w:val="single"/>
          <w:bottom w:color="000000" w:space="0" w:sz="8" w:val="single"/>
          <w:right w:color="000000" w:space="0" w:sz="8" w:val="single"/>
        </w:tcBorders>
      </w:tcPr>
    </w:tblStylePr>
  </w:style>
  <w:style w:type="table" w:styleId="Table2">
    <w:basedOn w:val="TableNormal"/>
    <w:rPr>
      <w:color w:val="366091"/>
    </w:rPr>
    <w:tblPr>
      <w:tblStyleRowBandSize w:val="1"/>
      <w:tblStyleColBandSize w:val="1"/>
      <w:tblCellMar>
        <w:top w:w="0.0" w:type="dxa"/>
        <w:left w:w="108.0" w:type="dxa"/>
        <w:bottom w:w="0.0" w:type="dxa"/>
        <w:right w:w="108.0" w:type="dxa"/>
      </w:tblCellMar>
    </w:tblPr>
  </w:style>
  <w:style w:type="table" w:styleId="Table3">
    <w:basedOn w:val="TableNormal"/>
    <w:rPr>
      <w:color w:val="366091"/>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footer" Target="footer2.xml"/><Relationship Id="rId12" Type="http://schemas.openxmlformats.org/officeDocument/2006/relationships/image" Target="media/image1.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TN4OjW+/+cz56/aZBZgK084OQ==">CgMxLjAyCGguZ2pkZ3hzMgloLjMwajB6bGwyCWguMWZvYjl0ZTIJaC4zem55c2g3MgloLjJldDkycDAyCGgudHlqY3d0MgloLjNkeTZ2a204AHIhMU4xcGZPdnpDS1RldFJFcHlpS2F1X1J2UFJncTdGZUNR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