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02">
      <w:pP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Joint Schedule 12 (Supply Chain Visibility)</w:t>
      </w:r>
    </w:p>
    <w:p w:rsidR="00000000" w:rsidDel="00000000" w:rsidP="00000000" w:rsidRDefault="00000000" w:rsidRPr="00000000" w14:paraId="00000003">
      <w:pPr>
        <w:numPr>
          <w:ilvl w:val="0"/>
          <w:numId w:val="2"/>
        </w:numPr>
        <w:pBdr>
          <w:top w:space="0" w:sz="0" w:val="nil"/>
          <w:left w:space="0" w:sz="0" w:val="nil"/>
          <w:bottom w:space="0" w:sz="0" w:val="nil"/>
          <w:right w:space="0" w:sz="0" w:val="nil"/>
          <w:between w:space="0" w:sz="0" w:val="nil"/>
        </w:pBdr>
        <w:spacing w:after="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Definitions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ind w:left="720"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720" w:hanging="4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1.1</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In this Schedule, the following words shall have the following meanings and they shall supplement Joint Schedule 1 (Definitions):</w:t>
      </w:r>
    </w:p>
    <w:tbl>
      <w:tblPr>
        <w:tblStyle w:val="Table1"/>
        <w:tblW w:w="8198.0" w:type="dxa"/>
        <w:jc w:val="left"/>
        <w:tblInd w:w="52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42"/>
        <w:gridCol w:w="4856"/>
        <w:tblGridChange w:id="0">
          <w:tblGrid>
            <w:gridCol w:w="3342"/>
            <w:gridCol w:w="4856"/>
          </w:tblGrid>
        </w:tblGridChange>
      </w:tblGrid>
      <w:tr>
        <w:trPr>
          <w:cantSplit w:val="0"/>
          <w:trHeight w:val="20" w:hRule="atLeast"/>
          <w:tblHeader w:val="0"/>
        </w:trPr>
        <w:tc>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709"/>
                <w:tab w:val="left" w:leader="none" w:pos="1134"/>
              </w:tabs>
              <w:spacing w:after="120" w:before="12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"Contracts Finder"</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709"/>
                <w:tab w:val="left" w:leader="none" w:pos="1134"/>
              </w:tabs>
              <w:spacing w:after="120" w:before="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Government’s publishing portal for public sector procurement opportunities; </w:t>
            </w:r>
          </w:p>
        </w:tc>
      </w:tr>
      <w:tr>
        <w:trPr>
          <w:cantSplit w:val="0"/>
          <w:trHeight w:val="20"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709"/>
                <w:tab w:val="left" w:leader="none" w:pos="1134"/>
              </w:tabs>
              <w:spacing w:after="120" w:before="12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"SME"</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709"/>
                <w:tab w:val="left" w:leader="none" w:pos="1134"/>
              </w:tabs>
              <w:spacing w:after="120" w:before="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enterprise falling within the category of micro, small and medium sized enterprises defined by the Commission Recommendation of 6 May 2003 concerning the definition of micro, small and medium sized enterprises; </w:t>
            </w:r>
          </w:p>
        </w:tc>
      </w:tr>
      <w:tr>
        <w:trPr>
          <w:cantSplit w:val="0"/>
          <w:trHeight w:val="20" w:hRule="atLeast"/>
          <w:tblHeader w:val="0"/>
        </w:trPr>
        <w:tc>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709"/>
                <w:tab w:val="left" w:leader="none" w:pos="1134"/>
              </w:tabs>
              <w:spacing w:after="120" w:before="12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“Supply Chain Information Report Template”</w:t>
            </w:r>
          </w:p>
        </w:tc>
        <w:tc>
          <w:tcPr/>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709"/>
                <w:tab w:val="left" w:leader="none" w:pos="1134"/>
              </w:tabs>
              <w:spacing w:after="120" w:before="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document at Annex 1 of this Schedule 12; and</w:t>
            </w:r>
          </w:p>
        </w:tc>
      </w:tr>
      <w:tr>
        <w:trPr>
          <w:cantSplit w:val="0"/>
          <w:trHeight w:val="20" w:hRule="atLeast"/>
          <w:tblHeader w:val="0"/>
        </w:trPr>
        <w:tc>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709"/>
                <w:tab w:val="left" w:leader="none" w:pos="1134"/>
              </w:tabs>
              <w:spacing w:after="120" w:before="12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"VCSE"</w:t>
            </w:r>
          </w:p>
        </w:tc>
        <w:tc>
          <w:tcPr/>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709"/>
                <w:tab w:val="left" w:leader="none" w:pos="1134"/>
              </w:tabs>
              <w:spacing w:after="120" w:before="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non-governmental organisation that is value-driven and which principally reinvests its surpluses to further social, environmental or cultural objectives.</w:t>
            </w:r>
          </w:p>
        </w:tc>
      </w:tr>
      <w:tr>
        <w:trPr>
          <w:cantSplit w:val="0"/>
          <w:trHeight w:val="20" w:hRule="atLeast"/>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709"/>
                <w:tab w:val="left" w:leader="none" w:pos="1134"/>
              </w:tabs>
              <w:spacing w:after="120" w:before="120" w:lineRule="auto"/>
              <w:jc w:val="both"/>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709"/>
                <w:tab w:val="left" w:leader="none" w:pos="1134"/>
              </w:tabs>
              <w:spacing w:after="120" w:before="120" w:lineRule="auto"/>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pacing w:after="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Visibility of Sub-Contract Opportunities in the Supply Chain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ind w:left="720"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2">
      <w:pPr>
        <w:numPr>
          <w:ilvl w:val="1"/>
          <w:numId w:val="2"/>
        </w:numPr>
        <w:pBdr>
          <w:top w:space="0" w:sz="0" w:val="nil"/>
          <w:left w:space="0" w:sz="0" w:val="nil"/>
          <w:bottom w:space="0" w:sz="0" w:val="nil"/>
          <w:right w:space="0" w:sz="0" w:val="nil"/>
          <w:between w:space="0" w:sz="0" w:val="nil"/>
        </w:pBdr>
        <w:spacing w:after="0" w:lineRule="auto"/>
        <w:ind w:left="993" w:hanging="63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The Supplier shall:</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4">
      <w:pPr>
        <w:numPr>
          <w:ilvl w:val="2"/>
          <w:numId w:val="2"/>
        </w:numPr>
        <w:pBdr>
          <w:top w:space="0" w:sz="0" w:val="nil"/>
          <w:left w:space="0" w:sz="0" w:val="nil"/>
          <w:bottom w:space="0" w:sz="0" w:val="nil"/>
          <w:right w:space="0" w:sz="0" w:val="nil"/>
          <w:between w:space="0" w:sz="0" w:val="nil"/>
        </w:pBdr>
        <w:spacing w:after="0" w:lineRule="auto"/>
        <w:ind w:left="108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subject to Paragraph 2.3, advertise on Contracts Finder all Sub-Contract opportunities arising from or in connection with the provision of the Deliverables above a minimum threshold of £25,000 that arise during the Contract Period;</w:t>
      </w:r>
    </w:p>
    <w:p w:rsidR="00000000" w:rsidDel="00000000" w:rsidP="00000000" w:rsidRDefault="00000000" w:rsidRPr="00000000" w14:paraId="00000015">
      <w:pPr>
        <w:numPr>
          <w:ilvl w:val="2"/>
          <w:numId w:val="2"/>
        </w:numPr>
        <w:pBdr>
          <w:top w:space="0" w:sz="0" w:val="nil"/>
          <w:left w:space="0" w:sz="0" w:val="nil"/>
          <w:bottom w:space="0" w:sz="0" w:val="nil"/>
          <w:right w:space="0" w:sz="0" w:val="nil"/>
          <w:between w:space="0" w:sz="0" w:val="nil"/>
        </w:pBdr>
        <w:spacing w:after="0" w:lineRule="auto"/>
        <w:ind w:left="108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within 90 days of awarding a Sub-Contract to a Subcontractor, update the notice on Contract Finder with details of the successful Subcontractor; </w:t>
      </w:r>
    </w:p>
    <w:p w:rsidR="00000000" w:rsidDel="00000000" w:rsidP="00000000" w:rsidRDefault="00000000" w:rsidRPr="00000000" w14:paraId="00000016">
      <w:pPr>
        <w:numPr>
          <w:ilvl w:val="2"/>
          <w:numId w:val="2"/>
        </w:numPr>
        <w:pBdr>
          <w:top w:space="0" w:sz="0" w:val="nil"/>
          <w:left w:space="0" w:sz="0" w:val="nil"/>
          <w:bottom w:space="0" w:sz="0" w:val="nil"/>
          <w:right w:space="0" w:sz="0" w:val="nil"/>
          <w:between w:space="0" w:sz="0" w:val="nil"/>
        </w:pBdr>
        <w:spacing w:after="0" w:lineRule="auto"/>
        <w:ind w:left="1080" w:hanging="720"/>
        <w:rPr>
          <w:rFonts w:ascii="Arial" w:cs="Arial" w:eastAsia="Arial" w:hAnsi="Arial"/>
          <w:color w:val="000000"/>
          <w:sz w:val="24"/>
          <w:szCs w:val="24"/>
        </w:rPr>
      </w:pPr>
      <w:bookmarkStart w:colFirst="0" w:colLast="0" w:name="_gjdgxs" w:id="0"/>
      <w:bookmarkEnd w:id="0"/>
      <w:r w:rsidDel="00000000" w:rsidR="00000000" w:rsidRPr="00000000">
        <w:rPr>
          <w:rFonts w:ascii="Arial" w:cs="Arial" w:eastAsia="Arial" w:hAnsi="Arial"/>
          <w:color w:val="000000"/>
          <w:sz w:val="24"/>
          <w:szCs w:val="24"/>
          <w:rtl w:val="0"/>
        </w:rPr>
        <w:t xml:space="preserve">monitor the number, type and value of the Sub-Contract opportunities placed on Contracts Finder advertised and awarded in its supply chain during the Contract Period; </w:t>
      </w:r>
    </w:p>
    <w:p w:rsidR="00000000" w:rsidDel="00000000" w:rsidP="00000000" w:rsidRDefault="00000000" w:rsidRPr="00000000" w14:paraId="00000017">
      <w:pPr>
        <w:numPr>
          <w:ilvl w:val="2"/>
          <w:numId w:val="2"/>
        </w:numPr>
        <w:pBdr>
          <w:top w:space="0" w:sz="0" w:val="nil"/>
          <w:left w:space="0" w:sz="0" w:val="nil"/>
          <w:bottom w:space="0" w:sz="0" w:val="nil"/>
          <w:right w:space="0" w:sz="0" w:val="nil"/>
          <w:between w:space="0" w:sz="0" w:val="nil"/>
        </w:pBdr>
        <w:spacing w:after="0" w:lineRule="auto"/>
        <w:ind w:left="108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 reports on the information at Paragraph 2.1.3 to the Relevant Authority in the format and frequency as reasonably specified by the Relevant Authority; and </w:t>
      </w:r>
    </w:p>
    <w:p w:rsidR="00000000" w:rsidDel="00000000" w:rsidP="00000000" w:rsidRDefault="00000000" w:rsidRPr="00000000" w14:paraId="00000018">
      <w:pPr>
        <w:numPr>
          <w:ilvl w:val="2"/>
          <w:numId w:val="2"/>
        </w:numPr>
        <w:pBdr>
          <w:top w:space="0" w:sz="0" w:val="nil"/>
          <w:left w:space="0" w:sz="0" w:val="nil"/>
          <w:bottom w:space="0" w:sz="0" w:val="nil"/>
          <w:right w:space="0" w:sz="0" w:val="nil"/>
          <w:between w:space="0" w:sz="0" w:val="nil"/>
        </w:pBdr>
        <w:spacing w:after="0" w:lineRule="auto"/>
        <w:ind w:left="108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promote Contracts Finder to its suppliers and encourage those organisations to register on Contracts Finder.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ind w:left="108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Rule="auto"/>
        <w:ind w:left="108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B">
      <w:pPr>
        <w:numPr>
          <w:ilvl w:val="1"/>
          <w:numId w:val="2"/>
        </w:numPr>
        <w:pBdr>
          <w:top w:space="0" w:sz="0" w:val="nil"/>
          <w:left w:space="0" w:sz="0" w:val="nil"/>
          <w:bottom w:space="0" w:sz="0" w:val="nil"/>
          <w:right w:space="0" w:sz="0" w:val="nil"/>
          <w:between w:space="0" w:sz="0" w:val="nil"/>
        </w:pBdr>
        <w:spacing w:after="0" w:lineRule="auto"/>
        <w:ind w:left="993" w:hanging="63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advert referred to at Paragraph 2.1.1 of this Schedule 12 shall provide a full and detailed description of the Sub-Contract opportunity with each of the mandatory fields being completed on Contracts Finder by the Supplier.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Rule="auto"/>
        <w:ind w:left="993" w:hanging="633"/>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D">
      <w:pPr>
        <w:numPr>
          <w:ilvl w:val="1"/>
          <w:numId w:val="2"/>
        </w:numPr>
        <w:pBdr>
          <w:top w:space="0" w:sz="0" w:val="nil"/>
          <w:left w:space="0" w:sz="0" w:val="nil"/>
          <w:bottom w:space="0" w:sz="0" w:val="nil"/>
          <w:right w:space="0" w:sz="0" w:val="nil"/>
          <w:between w:space="0" w:sz="0" w:val="nil"/>
        </w:pBdr>
        <w:spacing w:after="0" w:lineRule="auto"/>
        <w:ind w:left="993" w:hanging="63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obligation on the Supplier set out at Paragraph 2.1 shall only apply in respect of Sub-Contract opportunities arising after the Effective Date.</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Rule="auto"/>
        <w:ind w:left="993" w:hanging="633"/>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F">
      <w:pPr>
        <w:numPr>
          <w:ilvl w:val="1"/>
          <w:numId w:val="2"/>
        </w:numPr>
        <w:pBdr>
          <w:top w:space="0" w:sz="0" w:val="nil"/>
          <w:left w:space="0" w:sz="0" w:val="nil"/>
          <w:bottom w:space="0" w:sz="0" w:val="nil"/>
          <w:right w:space="0" w:sz="0" w:val="nil"/>
          <w:between w:space="0" w:sz="0" w:val="nil"/>
        </w:pBdr>
        <w:spacing w:after="0" w:lineRule="auto"/>
        <w:ind w:left="993" w:hanging="63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Notwithstanding Paragraph 2.1, the Authority may by giving its prior Approval, agree that a Sub-Contract opportunity is not required to be advertised by the Supplier on Contracts Finder.  </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pacing w:after="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Visibility of Supply Chain Spend</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Rule="auto"/>
        <w:ind w:left="720"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3">
      <w:pPr>
        <w:numPr>
          <w:ilvl w:val="1"/>
          <w:numId w:val="2"/>
        </w:numPr>
        <w:pBdr>
          <w:top w:space="0" w:sz="0" w:val="nil"/>
          <w:left w:space="0" w:sz="0" w:val="nil"/>
          <w:bottom w:space="0" w:sz="0" w:val="nil"/>
          <w:right w:space="0" w:sz="0" w:val="nil"/>
          <w:between w:space="0" w:sz="0" w:val="nil"/>
        </w:pBdr>
        <w:ind w:left="993" w:hanging="567"/>
        <w:rPr>
          <w:rFonts w:ascii="Arial" w:cs="Arial" w:eastAsia="Arial" w:hAnsi="Arial"/>
          <w:color w:val="000000"/>
          <w:sz w:val="24"/>
          <w:szCs w:val="24"/>
        </w:rPr>
      </w:pPr>
      <w:bookmarkStart w:colFirst="0" w:colLast="0" w:name="_30j0zll" w:id="1"/>
      <w:bookmarkEnd w:id="1"/>
      <w:r w:rsidDel="00000000" w:rsidR="00000000" w:rsidRPr="00000000">
        <w:rPr>
          <w:rFonts w:ascii="Arial" w:cs="Arial" w:eastAsia="Arial" w:hAnsi="Arial"/>
          <w:color w:val="000000"/>
          <w:sz w:val="24"/>
          <w:szCs w:val="24"/>
          <w:rtl w:val="0"/>
        </w:rP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after="0" w:line="360" w:lineRule="auto"/>
        <w:ind w:left="144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total contract revenue received directly on the Contract;</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after="0" w:line="36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total value of sub-contracted revenues under the Contract (including revenues for non-SMEs/non-VCSEs); and</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after="0" w:line="360" w:lineRule="auto"/>
        <w:ind w:left="144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total value of sub-contracted revenues to SMEs and VCSEs.</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8">
      <w:pPr>
        <w:numPr>
          <w:ilvl w:val="1"/>
          <w:numId w:val="2"/>
        </w:numPr>
        <w:pBdr>
          <w:top w:space="0" w:sz="0" w:val="nil"/>
          <w:left w:space="0" w:sz="0" w:val="nil"/>
          <w:bottom w:space="0" w:sz="0" w:val="nil"/>
          <w:right w:space="0" w:sz="0" w:val="nil"/>
          <w:between w:space="0" w:sz="0" w:val="nil"/>
        </w:pBdr>
        <w:spacing w:after="0" w:lineRule="auto"/>
        <w:ind w:left="993" w:hanging="63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A">
      <w:pPr>
        <w:numPr>
          <w:ilvl w:val="1"/>
          <w:numId w:val="2"/>
        </w:numPr>
        <w:pBdr>
          <w:top w:space="0" w:sz="0" w:val="nil"/>
          <w:left w:space="0" w:sz="0" w:val="nil"/>
          <w:bottom w:space="0" w:sz="0" w:val="nil"/>
          <w:right w:space="0" w:sz="0" w:val="nil"/>
          <w:between w:space="0" w:sz="0" w:val="nil"/>
        </w:pBdr>
        <w:ind w:left="993"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further agrees and acknowledges that it may not make any amendment to the Supply Chain Information Report Template without the prior Approval of the Authority.  </w:t>
      </w:r>
    </w:p>
    <w:p w:rsidR="00000000" w:rsidDel="00000000" w:rsidP="00000000" w:rsidRDefault="00000000" w:rsidRPr="00000000" w14:paraId="0000002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ind w:left="3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Annex 1</w:t>
      </w:r>
    </w:p>
    <w:p w:rsidR="00000000" w:rsidDel="00000000" w:rsidP="00000000" w:rsidRDefault="00000000" w:rsidRPr="00000000" w14:paraId="0000002D">
      <w:pPr>
        <w:ind w:left="3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Supply Chain Information Report template</w:t>
      </w:r>
    </w:p>
    <w:p w:rsidR="00000000" w:rsidDel="00000000" w:rsidP="00000000" w:rsidRDefault="00000000" w:rsidRPr="00000000" w14:paraId="0000002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sz w:val="24"/>
          <w:szCs w:val="24"/>
        </w:rPr>
        <w:drawing>
          <wp:inline distB="0" distT="0" distL="114300" distR="114300">
            <wp:extent cx="1485900" cy="723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85900" cy="72390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rPr>
          <w:rFonts w:ascii="Arial" w:cs="Arial" w:eastAsia="Arial" w:hAnsi="Arial"/>
          <w:sz w:val="24"/>
          <w:szCs w:val="24"/>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rtl w:val="0"/>
      </w:rPr>
    </w:r>
  </w:p>
  <w:p w:rsidR="00000000" w:rsidDel="00000000" w:rsidP="00000000" w:rsidRDefault="00000000" w:rsidRPr="00000000" w14:paraId="00000037">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RM6285</w:t>
      <w:tab/>
      <w:t xml:space="preserve">                                           </w:t>
    </w:r>
  </w:p>
  <w:p w:rsidR="00000000" w:rsidDel="00000000" w:rsidP="00000000" w:rsidRDefault="00000000" w:rsidRPr="00000000" w14:paraId="00000038">
    <w:pP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rPr>
    </w:pPr>
    <w:r w:rsidDel="00000000" w:rsidR="00000000" w:rsidRPr="00000000">
      <w:rPr>
        <w:rFonts w:ascii="Arial" w:cs="Arial" w:eastAsia="Arial" w:hAnsi="Arial"/>
        <w:sz w:val="20"/>
        <w:szCs w:val="20"/>
        <w:rtl w:val="0"/>
      </w:rPr>
      <w:t xml:space="preserve">Model Version: v1.0</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Joint Schedule 12 (Supply Chain Visibility)</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Crown Copyright 20</w:t>
    </w:r>
    <w:r w:rsidDel="00000000" w:rsidR="00000000" w:rsidRPr="00000000">
      <w:rPr>
        <w:rFonts w:ascii="Arial" w:cs="Arial" w:eastAsia="Arial" w:hAnsi="Arial"/>
        <w:rtl w:val="0"/>
      </w:rPr>
      <w:t xml:space="preserve">23</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