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b w:val="1"/>
          <w:color w:val="000000"/>
          <w:sz w:val="36"/>
          <w:szCs w:val="36"/>
        </w:rPr>
      </w:pPr>
      <w:r w:rsidDel="00000000" w:rsidR="00000000" w:rsidRPr="00000000">
        <w:rPr>
          <w:rFonts w:ascii="Arial" w:cs="Arial" w:eastAsia="Arial" w:hAnsi="Arial"/>
          <w:b w:val="1"/>
          <w:color w:val="000000"/>
          <w:sz w:val="36"/>
          <w:szCs w:val="36"/>
          <w:rtl w:val="0"/>
        </w:rPr>
        <w:t xml:space="preserve">Joint Schedule 9 (</w:t>
      </w:r>
      <w:r w:rsidDel="00000000" w:rsidR="00000000" w:rsidRPr="00000000">
        <w:rPr>
          <w:rFonts w:ascii="Arial" w:cs="Arial" w:eastAsia="Arial" w:hAnsi="Arial"/>
          <w:b w:val="1"/>
          <w:sz w:val="36"/>
          <w:szCs w:val="36"/>
          <w:rtl w:val="0"/>
        </w:rPr>
        <w:t xml:space="preserve">Minimum Standards of Reliability</w:t>
      </w:r>
      <w:r w:rsidDel="00000000" w:rsidR="00000000" w:rsidRPr="00000000">
        <w:rPr>
          <w:rFonts w:ascii="Arial" w:cs="Arial" w:eastAsia="Arial" w:hAnsi="Arial"/>
          <w:b w:val="1"/>
          <w:color w:val="000000"/>
          <w:sz w:val="36"/>
          <w:szCs w:val="36"/>
          <w:rtl w:val="0"/>
        </w:rPr>
        <w:t xml:space="preserve">)</w:t>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left" w:leader="none" w:pos="709"/>
        </w:tabs>
        <w:spacing w:after="120" w:before="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1</w:t>
      </w:r>
      <w:r w:rsidDel="00000000" w:rsidR="00000000" w:rsidRPr="00000000">
        <w:rPr>
          <w:rFonts w:ascii="Arial" w:cs="Arial" w:eastAsia="Arial" w:hAnsi="Arial"/>
          <w:b w:val="1"/>
          <w:color w:val="000000"/>
          <w:sz w:val="32"/>
          <w:szCs w:val="32"/>
          <w:rtl w:val="0"/>
        </w:rPr>
        <w:t xml:space="preserve">. </w:t>
      </w:r>
      <w:r w:rsidDel="00000000" w:rsidR="00000000" w:rsidRPr="00000000">
        <w:rPr>
          <w:rFonts w:ascii="Arial" w:cs="Arial" w:eastAsia="Arial" w:hAnsi="Arial"/>
          <w:b w:val="1"/>
          <w:color w:val="000000"/>
          <w:sz w:val="24"/>
          <w:szCs w:val="24"/>
          <w:rtl w:val="0"/>
        </w:rPr>
        <w:t xml:space="preserve">Standards</w:t>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709"/>
        </w:tabs>
        <w:spacing w:after="120" w:before="120" w:lineRule="auto"/>
        <w:ind w:left="360" w:hanging="360"/>
        <w:rPr>
          <w:rFonts w:ascii="Arial" w:cs="Arial" w:eastAsia="Arial" w:hAnsi="Arial"/>
          <w:color w:val="000000"/>
          <w:sz w:val="24"/>
          <w:szCs w:val="24"/>
        </w:rPr>
      </w:pPr>
      <w:bookmarkStart w:colFirst="0" w:colLast="0" w:name="_heading=h.gjdgxs" w:id="0"/>
      <w:bookmarkEnd w:id="0"/>
      <w:r w:rsidDel="00000000" w:rsidR="00000000" w:rsidRPr="00000000">
        <w:rPr>
          <w:rFonts w:ascii="Arial" w:cs="Arial" w:eastAsia="Arial" w:hAnsi="Arial"/>
          <w:b w:val="1"/>
          <w:color w:val="000000"/>
          <w:sz w:val="24"/>
          <w:szCs w:val="24"/>
          <w:rtl w:val="0"/>
        </w:rPr>
        <w:t xml:space="preserve">1.1</w:t>
      </w:r>
      <w:r w:rsidDel="00000000" w:rsidR="00000000" w:rsidRPr="00000000">
        <w:rPr>
          <w:rFonts w:ascii="Arial" w:cs="Arial" w:eastAsia="Arial" w:hAnsi="Arial"/>
          <w:color w:val="000000"/>
          <w:sz w:val="24"/>
          <w:szCs w:val="24"/>
          <w:rtl w:val="0"/>
        </w:rPr>
        <w:t xml:space="preserve"> No Call-Off Contract with an anticipated contract value in excess of £20 million (excluding VAT) shall be awarded to the Supplier if it does not show that it meets the minimum standards of reliability as set out in the Contract Notice </w:t>
      </w:r>
      <w:r w:rsidDel="00000000" w:rsidR="00000000" w:rsidRPr="00000000">
        <w:rPr>
          <w:rFonts w:ascii="Arial" w:cs="Arial" w:eastAsia="Arial" w:hAnsi="Arial"/>
          <w:b w:val="1"/>
          <w:color w:val="000000"/>
          <w:sz w:val="24"/>
          <w:szCs w:val="24"/>
          <w:rtl w:val="0"/>
        </w:rPr>
        <w:t xml:space="preserve">(“Minimum Standards of Reliability”) </w:t>
      </w:r>
      <w:r w:rsidDel="00000000" w:rsidR="00000000" w:rsidRPr="00000000">
        <w:rPr>
          <w:rFonts w:ascii="Arial" w:cs="Arial" w:eastAsia="Arial" w:hAnsi="Arial"/>
          <w:color w:val="000000"/>
          <w:sz w:val="24"/>
          <w:szCs w:val="24"/>
          <w:rtl w:val="0"/>
        </w:rPr>
        <w:t xml:space="preserve">at the time of the proposed award of that Call-Off Contract. </w:t>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1134"/>
        </w:tabs>
        <w:spacing w:after="120" w:before="120" w:lineRule="auto"/>
        <w:jc w:val="left"/>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1.2 </w:t>
      </w:r>
      <w:r w:rsidDel="00000000" w:rsidR="00000000" w:rsidRPr="00000000">
        <w:rPr>
          <w:rFonts w:ascii="Arial" w:cs="Arial" w:eastAsia="Arial" w:hAnsi="Arial"/>
          <w:color w:val="000000"/>
          <w:sz w:val="24"/>
          <w:szCs w:val="24"/>
          <w:rtl w:val="0"/>
        </w:rPr>
        <w:t xml:space="preserve">CCS shall assess the Supplier’s compliance with the Minimum Standards of Reliability:</w:t>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1985"/>
        </w:tabs>
        <w:spacing w:after="120" w:before="120" w:lineRule="auto"/>
        <w:ind w:left="720" w:firstLine="0"/>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1.2.1 </w:t>
      </w:r>
      <w:r w:rsidDel="00000000" w:rsidR="00000000" w:rsidRPr="00000000">
        <w:rPr>
          <w:rFonts w:ascii="Arial" w:cs="Arial" w:eastAsia="Arial" w:hAnsi="Arial"/>
          <w:color w:val="000000"/>
          <w:sz w:val="24"/>
          <w:szCs w:val="24"/>
          <w:rtl w:val="0"/>
        </w:rPr>
        <w:t xml:space="preserve">upon the request of any Buyer; or </w:t>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1985"/>
        </w:tabs>
        <w:spacing w:after="120" w:before="120" w:lineRule="auto"/>
        <w:ind w:left="720" w:firstLine="0"/>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1.2.2 </w:t>
      </w:r>
      <w:r w:rsidDel="00000000" w:rsidR="00000000" w:rsidRPr="00000000">
        <w:rPr>
          <w:rFonts w:ascii="Arial" w:cs="Arial" w:eastAsia="Arial" w:hAnsi="Arial"/>
          <w:color w:val="000000"/>
          <w:sz w:val="24"/>
          <w:szCs w:val="24"/>
          <w:rtl w:val="0"/>
        </w:rPr>
        <w:t xml:space="preserve">whenever it considers (in its absolute discretion) that it is appropriate to do so. </w:t>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709"/>
        </w:tabs>
        <w:spacing w:after="120" w:before="120"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1.3 </w:t>
      </w:r>
      <w:r w:rsidDel="00000000" w:rsidR="00000000" w:rsidRPr="00000000">
        <w:rPr>
          <w:rFonts w:ascii="Arial" w:cs="Arial" w:eastAsia="Arial" w:hAnsi="Arial"/>
          <w:color w:val="000000"/>
          <w:sz w:val="24"/>
          <w:szCs w:val="24"/>
          <w:rtl w:val="0"/>
        </w:rPr>
        <w:t xml:space="preserve">In the event that the Supplier does not demonstrate that it meets the Minimum Standards of Reliability in an assessment carried out pursuant to Paragraph</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1.2, CCS shall so notify the Supplier (and any Buyer in writing) and the CCS reserves the right to terminate its Framework Contract for material Default under Clause 10.4 (When CCS or the Buyer can end this contract).</w:t>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709"/>
        </w:tabs>
        <w:spacing w:after="120" w:before="120" w:lineRule="auto"/>
        <w:rPr>
          <w:color w:val="000000"/>
          <w:sz w:val="28"/>
          <w:szCs w:val="28"/>
        </w:rPr>
      </w:pPr>
      <w:r w:rsidDel="00000000" w:rsidR="00000000" w:rsidRPr="00000000">
        <w:rPr>
          <w:rtl w:val="0"/>
        </w:rPr>
      </w:r>
    </w:p>
    <w:p w:rsidR="00000000" w:rsidDel="00000000" w:rsidP="00000000" w:rsidRDefault="00000000" w:rsidRPr="00000000" w14:paraId="00000009">
      <w:pPr>
        <w:tabs>
          <w:tab w:val="left" w:leader="none" w:pos="2440"/>
        </w:tabs>
        <w:rPr/>
      </w:pPr>
      <w:bookmarkStart w:colFirst="0" w:colLast="0" w:name="_heading=h.1fob9te" w:id="1"/>
      <w:bookmarkEnd w:id="1"/>
      <w:r w:rsidDel="00000000" w:rsidR="00000000" w:rsidRPr="00000000">
        <w:rPr>
          <w:rtl w:val="0"/>
        </w:rPr>
      </w:r>
    </w:p>
    <w:sectPr>
      <w:headerReference r:id="rId7" w:type="default"/>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C">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RM6285</w:t>
      <w:tab/>
      <w:t xml:space="preserve">                                           </w:t>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0E">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026"/>
      </w:tabs>
      <w:spacing w:after="0" w:lineRule="auto"/>
      <w:rPr>
        <w:rFonts w:ascii="Arial" w:cs="Arial" w:eastAsia="Arial" w:hAnsi="Arial"/>
        <w:color w:val="bfbfbf"/>
        <w:sz w:val="20"/>
        <w:szCs w:val="20"/>
      </w:rPr>
    </w:pPr>
    <w:r w:rsidDel="00000000" w:rsidR="00000000" w:rsidRPr="00000000">
      <w:rPr>
        <w:rFonts w:ascii="Arial" w:cs="Arial" w:eastAsia="Arial" w:hAnsi="Arial"/>
        <w:sz w:val="20"/>
        <w:szCs w:val="20"/>
        <w:rtl w:val="0"/>
      </w:rPr>
      <w:t xml:space="preserve">Model Version: v3.3</w:t>
      <w:tab/>
      <w:tab/>
    </w:r>
    <w:r w:rsidDel="00000000" w:rsidR="00000000" w:rsidRPr="00000000">
      <w:rPr>
        <w:rFonts w:ascii="Arial" w:cs="Arial" w:eastAsia="Arial" w:hAnsi="Arial"/>
        <w:color w:val="bfbfbf"/>
        <w:sz w:val="20"/>
        <w:szCs w:val="20"/>
        <w:rtl w:val="0"/>
      </w:rPr>
      <w:tab/>
      <w:tab/>
      <w:tab/>
      <w:tab/>
      <w:tab/>
      <w:tab/>
      <w:tab/>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Joint Schedule (Minimum Standards of Reliability)</w:t>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Crown Copyright 20</w:t>
    </w:r>
    <w:r w:rsidDel="00000000" w:rsidR="00000000" w:rsidRPr="00000000">
      <w:rPr>
        <w:rFonts w:ascii="Arial" w:cs="Arial" w:eastAsia="Arial" w:hAnsi="Arial"/>
        <w:sz w:val="20"/>
        <w:szCs w:val="20"/>
        <w:rtl w:val="0"/>
      </w:rPr>
      <w:t xml:space="preserve">23</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4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120" w:lineRule="auto"/>
      <w:ind w:left="360" w:hanging="360"/>
    </w:pPr>
    <w:rPr>
      <w:b w:val="1"/>
    </w:rPr>
  </w:style>
  <w:style w:type="paragraph" w:styleId="Heading2">
    <w:name w:val="heading 2"/>
    <w:basedOn w:val="Normal"/>
    <w:next w:val="Normal"/>
    <w:pPr>
      <w:spacing w:after="120" w:before="120" w:lineRule="auto"/>
      <w:ind w:left="936" w:hanging="576"/>
    </w:pPr>
    <w:rPr/>
  </w:style>
  <w:style w:type="paragraph" w:styleId="Heading3">
    <w:name w:val="heading 3"/>
    <w:basedOn w:val="Normal"/>
    <w:next w:val="Normal"/>
    <w:pPr>
      <w:spacing w:after="120" w:before="120" w:lineRule="auto"/>
      <w:ind w:left="1656" w:hanging="720"/>
    </w:pPr>
    <w:rPr/>
  </w:style>
  <w:style w:type="paragraph" w:styleId="Heading4">
    <w:name w:val="heading 4"/>
    <w:basedOn w:val="Normal"/>
    <w:next w:val="Normal"/>
    <w:pPr>
      <w:spacing w:after="120" w:before="120" w:lineRule="auto"/>
      <w:ind w:left="2592" w:hanging="936"/>
    </w:pPr>
    <w:rPr/>
  </w:style>
  <w:style w:type="paragraph" w:styleId="Heading5">
    <w:name w:val="heading 5"/>
    <w:basedOn w:val="Normal"/>
    <w:next w:val="Normal"/>
    <w:pPr>
      <w:keepNext w:val="1"/>
      <w:keepLines w:val="1"/>
      <w:spacing w:after="0" w:before="200" w:lineRule="auto"/>
      <w:ind w:left="3600" w:hanging="720"/>
    </w:pPr>
    <w:rPr>
      <w:rFonts w:ascii="Cambria" w:cs="Cambria" w:eastAsia="Cambria" w:hAnsi="Cambria"/>
      <w:color w:val="243f61"/>
    </w:rPr>
  </w:style>
  <w:style w:type="paragraph" w:styleId="Heading6">
    <w:name w:val="heading 6"/>
    <w:basedOn w:val="Normal"/>
    <w:next w:val="Normal"/>
    <w:pPr>
      <w:keepNext w:val="1"/>
      <w:keepLines w:val="1"/>
      <w:spacing w:after="0" w:before="200" w:lineRule="auto"/>
      <w:ind w:left="4320" w:hanging="720"/>
    </w:pPr>
    <w:rPr>
      <w:rFonts w:ascii="Cambria" w:cs="Cambria" w:eastAsia="Cambria" w:hAnsi="Cambria"/>
      <w:i w:val="1"/>
      <w:color w:val="243f6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120" w:lineRule="auto"/>
      <w:ind w:left="360" w:hanging="360"/>
    </w:pPr>
    <w:rPr>
      <w:b w:val="1"/>
    </w:rPr>
  </w:style>
  <w:style w:type="paragraph" w:styleId="Heading2">
    <w:name w:val="heading 2"/>
    <w:basedOn w:val="Normal"/>
    <w:next w:val="Normal"/>
    <w:pPr>
      <w:spacing w:after="120" w:before="120" w:lineRule="auto"/>
      <w:ind w:left="936" w:hanging="576"/>
    </w:pPr>
    <w:rPr/>
  </w:style>
  <w:style w:type="paragraph" w:styleId="Heading3">
    <w:name w:val="heading 3"/>
    <w:basedOn w:val="Normal"/>
    <w:next w:val="Normal"/>
    <w:pPr>
      <w:spacing w:after="120" w:before="120" w:lineRule="auto"/>
      <w:ind w:left="1656" w:hanging="720"/>
    </w:pPr>
    <w:rPr/>
  </w:style>
  <w:style w:type="paragraph" w:styleId="Heading4">
    <w:name w:val="heading 4"/>
    <w:basedOn w:val="Normal"/>
    <w:next w:val="Normal"/>
    <w:pPr>
      <w:spacing w:after="120" w:before="120" w:lineRule="auto"/>
      <w:ind w:left="2592" w:hanging="936"/>
    </w:pPr>
    <w:rPr/>
  </w:style>
  <w:style w:type="paragraph" w:styleId="Heading5">
    <w:name w:val="heading 5"/>
    <w:basedOn w:val="Normal"/>
    <w:next w:val="Normal"/>
    <w:pPr>
      <w:keepNext w:val="1"/>
      <w:keepLines w:val="1"/>
      <w:spacing w:after="0" w:before="200" w:lineRule="auto"/>
      <w:ind w:left="3600" w:hanging="720"/>
    </w:pPr>
    <w:rPr>
      <w:rFonts w:ascii="Cambria" w:cs="Cambria" w:eastAsia="Cambria" w:hAnsi="Cambria"/>
      <w:color w:val="243f61"/>
    </w:rPr>
  </w:style>
  <w:style w:type="paragraph" w:styleId="Heading6">
    <w:name w:val="heading 6"/>
    <w:basedOn w:val="Normal"/>
    <w:next w:val="Normal"/>
    <w:pPr>
      <w:keepNext w:val="1"/>
      <w:keepLines w:val="1"/>
      <w:spacing w:after="0" w:before="200" w:lineRule="auto"/>
      <w:ind w:left="4320" w:hanging="720"/>
    </w:pPr>
    <w:rPr>
      <w:rFonts w:ascii="Cambria" w:cs="Cambria" w:eastAsia="Cambria" w:hAnsi="Cambria"/>
      <w:i w:val="1"/>
      <w:color w:val="243f61"/>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DyBSjpGBaflNO4b77xcXpmKoYA==">CgMxLjAyCGguZ2pkZ3hzMgloLjFmb2I5dGU4AHIhMWdfZnhaQy13V2Vka290emhISzhuLXBLaEI4alAwQXFZ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D1V7</vt:lpwstr>
  </property>
</Properties>
</file>