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F289EA" w14:textId="77777777" w:rsidR="00F35F39" w:rsidRDefault="0076537D">
      <w:pPr>
        <w:rPr>
          <w:rFonts w:ascii="Arial" w:eastAsia="Arial" w:hAnsi="Arial"/>
          <w:b/>
          <w:sz w:val="36"/>
          <w:szCs w:val="36"/>
        </w:rPr>
      </w:pPr>
      <w:bookmarkStart w:id="0" w:name="_heading=h.gjdgxs" w:colFirst="0" w:colLast="0"/>
      <w:bookmarkEnd w:id="0"/>
      <w:r>
        <w:rPr>
          <w:rFonts w:ascii="Arial" w:eastAsia="Arial" w:hAnsi="Arial"/>
          <w:b/>
          <w:sz w:val="36"/>
          <w:szCs w:val="36"/>
        </w:rPr>
        <w:t>Call-Off Schedule 2 (Staff Transfer)</w:t>
      </w:r>
    </w:p>
    <w:p w14:paraId="12A196C0" w14:textId="77777777" w:rsidR="00F35F39" w:rsidRDefault="0076537D">
      <w:pPr>
        <w:rPr>
          <w:rFonts w:ascii="Arial" w:eastAsia="Arial" w:hAnsi="Arial"/>
          <w:b/>
          <w:sz w:val="24"/>
          <w:szCs w:val="24"/>
        </w:rPr>
      </w:pPr>
      <w:r>
        <w:rPr>
          <w:rFonts w:ascii="Arial" w:eastAsia="Arial" w:hAnsi="Arial"/>
          <w:sz w:val="24"/>
          <w:szCs w:val="24"/>
          <w:highlight w:val="yellow"/>
        </w:rPr>
        <w:t>[</w:t>
      </w:r>
      <w:r>
        <w:rPr>
          <w:rFonts w:ascii="Arial" w:eastAsia="Arial" w:hAnsi="Arial"/>
          <w:b/>
          <w:sz w:val="24"/>
          <w:szCs w:val="24"/>
          <w:highlight w:val="yellow"/>
        </w:rPr>
        <w:t>Guidance note: Buyers will need to take their own legal advice on this Schedule 2 and, in particular, on Part D (Pensions).</w:t>
      </w:r>
      <w:r>
        <w:rPr>
          <w:rFonts w:ascii="Arial" w:eastAsia="Arial" w:hAnsi="Arial"/>
          <w:b/>
          <w:sz w:val="24"/>
          <w:szCs w:val="24"/>
        </w:rPr>
        <w:t xml:space="preserve"> </w:t>
      </w:r>
    </w:p>
    <w:p w14:paraId="5C20F4D4" w14:textId="77777777" w:rsidR="00F35F39" w:rsidRDefault="0076537D">
      <w:pPr>
        <w:rPr>
          <w:rFonts w:ascii="Arial" w:eastAsia="Arial" w:hAnsi="Arial"/>
          <w:sz w:val="24"/>
          <w:szCs w:val="24"/>
        </w:rPr>
      </w:pPr>
      <w:r>
        <w:rPr>
          <w:rFonts w:ascii="Arial" w:eastAsia="Arial" w:hAnsi="Arial"/>
          <w:sz w:val="24"/>
          <w:szCs w:val="24"/>
        </w:rPr>
        <w:t>Buyers will need to ensure that appropriate provisions are included to deal with staff transfer on both entry and exit, and, irrespective of whether TUPE does apply on entry if there are employees eligible for New Fair Deal pension protection then the appropriate pensions provisions will also need to be selected.</w:t>
      </w:r>
    </w:p>
    <w:p w14:paraId="775D41E1" w14:textId="77777777" w:rsidR="00F35F39" w:rsidRDefault="0076537D">
      <w:pPr>
        <w:rPr>
          <w:rFonts w:ascii="Arial" w:eastAsia="Arial" w:hAnsi="Arial"/>
          <w:sz w:val="24"/>
          <w:szCs w:val="24"/>
        </w:rPr>
      </w:pPr>
      <w:r>
        <w:rPr>
          <w:rFonts w:ascii="Arial" w:eastAsia="Arial" w:hAnsi="Arial"/>
          <w:sz w:val="24"/>
          <w:szCs w:val="24"/>
        </w:rPr>
        <w:t>If there is a staff transfer from the Buyer on entry (1st generation) then Part A shall apply.</w:t>
      </w:r>
    </w:p>
    <w:p w14:paraId="4FB53EE9" w14:textId="77777777" w:rsidR="00F35F39" w:rsidRDefault="0076537D">
      <w:pPr>
        <w:rPr>
          <w:rFonts w:ascii="Arial" w:eastAsia="Arial" w:hAnsi="Arial"/>
          <w:sz w:val="24"/>
          <w:szCs w:val="24"/>
        </w:rPr>
      </w:pPr>
      <w:r>
        <w:rPr>
          <w:rFonts w:ascii="Arial" w:eastAsia="Arial" w:hAnsi="Arial"/>
          <w:sz w:val="24"/>
          <w:szCs w:val="24"/>
        </w:rPr>
        <w:t>If there is a staff transfer from former/incumbent supplier on entry (2nd generation), Part B shall apply.</w:t>
      </w:r>
    </w:p>
    <w:p w14:paraId="773B5951" w14:textId="77777777" w:rsidR="00F35F39" w:rsidRDefault="0076537D">
      <w:pPr>
        <w:rPr>
          <w:rFonts w:ascii="Arial" w:eastAsia="Arial" w:hAnsi="Arial"/>
          <w:sz w:val="24"/>
          <w:szCs w:val="24"/>
        </w:rPr>
      </w:pPr>
      <w:r>
        <w:rPr>
          <w:rFonts w:ascii="Arial" w:eastAsia="Arial" w:hAnsi="Arial"/>
          <w:sz w:val="24"/>
          <w:szCs w:val="24"/>
        </w:rPr>
        <w:t>If there is both a 1st and 2nd generation staff transfer on entry, then both Part A and Part B shall apply.</w:t>
      </w:r>
    </w:p>
    <w:p w14:paraId="3ADE6F1D" w14:textId="77777777" w:rsidR="00F35F39" w:rsidRDefault="0076537D">
      <w:pPr>
        <w:rPr>
          <w:rFonts w:ascii="Arial" w:eastAsia="Arial" w:hAnsi="Arial"/>
          <w:sz w:val="24"/>
          <w:szCs w:val="24"/>
        </w:rPr>
      </w:pPr>
      <w:r>
        <w:rPr>
          <w:rFonts w:ascii="Arial" w:eastAsia="Arial" w:hAnsi="Arial"/>
          <w:sz w:val="24"/>
          <w:szCs w:val="24"/>
        </w:rPr>
        <w:t>If either Part A and/or Part B apply, then consider whether Part D (Pensions) shall apply and the Buyer shall indicate on the Order Form which Annex shall apply (either D1 (CSPS), D2 (NHSPS), D3 (LGPS) or D4 (Other Schemes)). Part D pensions may also apply where there is not a TUPE transfer for example where the incumbent provider is successful.</w:t>
      </w:r>
    </w:p>
    <w:p w14:paraId="02597A97" w14:textId="77777777" w:rsidR="00F35F39" w:rsidRDefault="0076537D">
      <w:pPr>
        <w:rPr>
          <w:rFonts w:ascii="Arial" w:eastAsia="Arial" w:hAnsi="Arial"/>
          <w:sz w:val="24"/>
          <w:szCs w:val="24"/>
        </w:rPr>
      </w:pPr>
      <w:r>
        <w:rPr>
          <w:rFonts w:ascii="Arial" w:eastAsia="Arial" w:hAnsi="Arial"/>
          <w:sz w:val="24"/>
          <w:szCs w:val="24"/>
        </w:rPr>
        <w:t>If there is no staff transfer (either 1st generation or 2nd generation) at the Start Date then Part C shall apply and Part D pensions may also apply where there is not a TUPE transfer for example where the incumbent provider is successful.</w:t>
      </w:r>
    </w:p>
    <w:p w14:paraId="3DC0982C" w14:textId="77777777" w:rsidR="00F35F39" w:rsidRDefault="0076537D">
      <w:pPr>
        <w:rPr>
          <w:rFonts w:ascii="Arial" w:eastAsia="Arial" w:hAnsi="Arial"/>
          <w:sz w:val="24"/>
          <w:szCs w:val="24"/>
        </w:rPr>
      </w:pPr>
      <w:r>
        <w:rPr>
          <w:rFonts w:ascii="Arial" w:eastAsia="Arial" w:hAnsi="Arial"/>
          <w:sz w:val="24"/>
          <w:szCs w:val="24"/>
        </w:rPr>
        <w:t>If the position on staff transfers is not known at the bid stage, include Parts A, B, C and D at the bid stage and then update the Buyer Contract Details before signing to specify whether Parts A and/or B, or C and D apply to the Contract.</w:t>
      </w:r>
    </w:p>
    <w:p w14:paraId="209A94FF" w14:textId="77777777" w:rsidR="00F35F39" w:rsidRDefault="0076537D">
      <w:pPr>
        <w:rPr>
          <w:rFonts w:ascii="Arial" w:eastAsia="Arial" w:hAnsi="Arial"/>
          <w:sz w:val="24"/>
          <w:szCs w:val="24"/>
        </w:rPr>
      </w:pPr>
      <w:r>
        <w:rPr>
          <w:rFonts w:ascii="Arial" w:eastAsia="Arial" w:hAnsi="Arial"/>
          <w:sz w:val="24"/>
          <w:szCs w:val="24"/>
        </w:rPr>
        <w:t>Part E (dealing with staff transfer on exit) shall apply to every Contract.</w:t>
      </w:r>
    </w:p>
    <w:p w14:paraId="6552D047" w14:textId="77777777" w:rsidR="00F35F39" w:rsidRDefault="0076537D">
      <w:pPr>
        <w:rPr>
          <w:rFonts w:ascii="Arial" w:eastAsia="Arial" w:hAnsi="Arial"/>
          <w:sz w:val="24"/>
          <w:szCs w:val="24"/>
        </w:rPr>
      </w:pPr>
      <w:r>
        <w:rPr>
          <w:rFonts w:ascii="Arial" w:eastAsia="Arial" w:hAnsi="Arial"/>
          <w:sz w:val="24"/>
          <w:szCs w:val="24"/>
        </w:rPr>
        <w:t>For further guidance on this Schedule contact Government Legal Department’s Employment Law Group]</w:t>
      </w:r>
    </w:p>
    <w:p w14:paraId="350D253C" w14:textId="77777777" w:rsidR="00F35F39" w:rsidRDefault="00F35F39">
      <w:pPr>
        <w:keepNext/>
        <w:pBdr>
          <w:top w:val="nil"/>
          <w:left w:val="nil"/>
          <w:bottom w:val="nil"/>
          <w:right w:val="nil"/>
          <w:between w:val="nil"/>
        </w:pBdr>
        <w:rPr>
          <w:rFonts w:ascii="Arial" w:eastAsia="Arial" w:hAnsi="Arial"/>
          <w:b/>
          <w:smallCaps/>
          <w:color w:val="000000"/>
          <w:sz w:val="24"/>
          <w:szCs w:val="24"/>
        </w:rPr>
      </w:pPr>
    </w:p>
    <w:p w14:paraId="545A48C9" w14:textId="77777777" w:rsidR="00F35F39" w:rsidRDefault="0076537D">
      <w:pPr>
        <w:keepNext/>
        <w:numPr>
          <w:ilvl w:val="0"/>
          <w:numId w:val="13"/>
        </w:numPr>
        <w:pBdr>
          <w:top w:val="nil"/>
          <w:left w:val="nil"/>
          <w:bottom w:val="nil"/>
          <w:right w:val="nil"/>
          <w:between w:val="nil"/>
        </w:pBdr>
        <w:spacing w:before="120"/>
        <w:rPr>
          <w:rFonts w:ascii="Arial Bold" w:eastAsia="Arial Bold" w:hAnsi="Arial Bold" w:cs="Arial Bold"/>
          <w:b/>
          <w:color w:val="000000"/>
          <w:sz w:val="24"/>
          <w:szCs w:val="24"/>
        </w:rPr>
      </w:pPr>
      <w:r>
        <w:rPr>
          <w:rFonts w:ascii="Arial Bold" w:eastAsia="Arial Bold" w:hAnsi="Arial Bold" w:cs="Arial Bold"/>
          <w:b/>
          <w:color w:val="000000"/>
          <w:sz w:val="24"/>
          <w:szCs w:val="24"/>
        </w:rPr>
        <w:t>Definitions</w:t>
      </w:r>
    </w:p>
    <w:p w14:paraId="26A726A1" w14:textId="77777777" w:rsidR="00F35F39" w:rsidRDefault="0076537D">
      <w:pPr>
        <w:keepNext/>
        <w:numPr>
          <w:ilvl w:val="1"/>
          <w:numId w:val="13"/>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In this Schedule, the following words have the following meanings and they shall supplement Joint Schedule 1  (Definitions):</w:t>
      </w:r>
    </w:p>
    <w:tbl>
      <w:tblPr>
        <w:tblStyle w:val="a"/>
        <w:tblW w:w="9026" w:type="dxa"/>
        <w:tblInd w:w="-115" w:type="dxa"/>
        <w:tblLayout w:type="fixed"/>
        <w:tblLook w:val="0400" w:firstRow="0" w:lastRow="0" w:firstColumn="0" w:lastColumn="0" w:noHBand="0" w:noVBand="1"/>
      </w:tblPr>
      <w:tblGrid>
        <w:gridCol w:w="2917"/>
        <w:gridCol w:w="6109"/>
      </w:tblGrid>
      <w:tr w:rsidR="00F35F39" w14:paraId="14E52D77" w14:textId="77777777">
        <w:tc>
          <w:tcPr>
            <w:tcW w:w="2917" w:type="dxa"/>
          </w:tcPr>
          <w:p w14:paraId="162D2614" w14:textId="77777777" w:rsidR="00F35F39" w:rsidRDefault="0076537D">
            <w:pPr>
              <w:pBdr>
                <w:top w:val="nil"/>
                <w:left w:val="nil"/>
                <w:bottom w:val="nil"/>
                <w:right w:val="nil"/>
                <w:between w:val="nil"/>
              </w:pBdr>
              <w:spacing w:after="0"/>
              <w:ind w:left="706"/>
              <w:rPr>
                <w:rFonts w:ascii="Arial" w:eastAsia="Arial" w:hAnsi="Arial"/>
                <w:b/>
                <w:color w:val="000000"/>
                <w:sz w:val="24"/>
                <w:szCs w:val="24"/>
              </w:rPr>
            </w:pPr>
            <w:r>
              <w:rPr>
                <w:rFonts w:ascii="Arial" w:eastAsia="Arial" w:hAnsi="Arial"/>
                <w:b/>
                <w:color w:val="000000"/>
                <w:sz w:val="24"/>
                <w:szCs w:val="24"/>
              </w:rPr>
              <w:t xml:space="preserve">“Acquired Rights Directive” </w:t>
            </w:r>
          </w:p>
          <w:p w14:paraId="5E8196E8" w14:textId="77777777" w:rsidR="0076537D" w:rsidRPr="0076537D" w:rsidRDefault="0076537D" w:rsidP="0076537D">
            <w:pPr>
              <w:rPr>
                <w:rFonts w:ascii="Arial" w:eastAsia="Arial" w:hAnsi="Arial"/>
                <w:sz w:val="24"/>
                <w:szCs w:val="24"/>
              </w:rPr>
            </w:pPr>
          </w:p>
          <w:p w14:paraId="7581BFA2" w14:textId="5D1A8C34" w:rsidR="0076537D" w:rsidRPr="0076537D" w:rsidRDefault="0076537D" w:rsidP="0076537D">
            <w:pPr>
              <w:jc w:val="right"/>
              <w:rPr>
                <w:rFonts w:ascii="Arial" w:eastAsia="Arial" w:hAnsi="Arial"/>
                <w:sz w:val="24"/>
                <w:szCs w:val="24"/>
              </w:rPr>
            </w:pPr>
          </w:p>
        </w:tc>
        <w:tc>
          <w:tcPr>
            <w:tcW w:w="6109" w:type="dxa"/>
          </w:tcPr>
          <w:p w14:paraId="0DA19F31" w14:textId="77777777" w:rsidR="00F35F39" w:rsidRDefault="0076537D">
            <w:pPr>
              <w:numPr>
                <w:ilvl w:val="0"/>
                <w:numId w:val="8"/>
              </w:numPr>
              <w:tabs>
                <w:tab w:val="left" w:pos="-179"/>
                <w:tab w:val="left" w:pos="-9"/>
              </w:tabs>
              <w:spacing w:after="120"/>
              <w:rPr>
                <w:rFonts w:ascii="Arial" w:eastAsia="Arial" w:hAnsi="Arial"/>
                <w:sz w:val="24"/>
                <w:szCs w:val="24"/>
              </w:rPr>
            </w:pPr>
            <w:r>
              <w:rPr>
                <w:rFonts w:ascii="Arial" w:eastAsia="Arial" w:hAnsi="Arial"/>
                <w:sz w:val="24"/>
                <w:szCs w:val="24"/>
              </w:rPr>
              <w:t xml:space="preserve">the  European  Council  Directive 77/187/EEC  on the approximation of laws of European member states relating to the safeguarding of employees’ rights in the event of transfers of undertakings, businesses or parts </w:t>
            </w:r>
            <w:r>
              <w:rPr>
                <w:rFonts w:ascii="Arial" w:eastAsia="Arial" w:hAnsi="Arial"/>
                <w:sz w:val="24"/>
                <w:szCs w:val="24"/>
              </w:rPr>
              <w:lastRenderedPageBreak/>
              <w:t>of undertakings or businesses, as amended or re-enacted from time to time;</w:t>
            </w:r>
          </w:p>
          <w:p w14:paraId="0C64DFAA" w14:textId="77777777" w:rsidR="00F35F39" w:rsidRDefault="00F35F39">
            <w:pPr>
              <w:numPr>
                <w:ilvl w:val="0"/>
                <w:numId w:val="8"/>
              </w:numPr>
              <w:tabs>
                <w:tab w:val="left" w:pos="-179"/>
                <w:tab w:val="left" w:pos="-9"/>
              </w:tabs>
              <w:spacing w:after="120"/>
              <w:rPr>
                <w:rFonts w:ascii="Arial" w:eastAsia="Arial" w:hAnsi="Arial"/>
                <w:sz w:val="24"/>
                <w:szCs w:val="24"/>
              </w:rPr>
            </w:pPr>
          </w:p>
        </w:tc>
      </w:tr>
      <w:tr w:rsidR="00F35F39" w14:paraId="3619B308" w14:textId="77777777">
        <w:tc>
          <w:tcPr>
            <w:tcW w:w="2917" w:type="dxa"/>
          </w:tcPr>
          <w:p w14:paraId="370DE441" w14:textId="77777777" w:rsidR="00F35F39" w:rsidRDefault="0076537D">
            <w:pPr>
              <w:pBdr>
                <w:top w:val="nil"/>
                <w:left w:val="nil"/>
                <w:bottom w:val="nil"/>
                <w:right w:val="nil"/>
                <w:between w:val="nil"/>
              </w:pBdr>
              <w:spacing w:after="0"/>
              <w:ind w:left="706"/>
              <w:rPr>
                <w:rFonts w:ascii="Arial" w:eastAsia="Arial" w:hAnsi="Arial"/>
                <w:b/>
                <w:color w:val="000000"/>
                <w:sz w:val="24"/>
                <w:szCs w:val="24"/>
              </w:rPr>
            </w:pPr>
            <w:r>
              <w:rPr>
                <w:rFonts w:ascii="Arial" w:eastAsia="Arial" w:hAnsi="Arial"/>
                <w:b/>
                <w:color w:val="000000"/>
                <w:sz w:val="24"/>
                <w:szCs w:val="24"/>
              </w:rPr>
              <w:lastRenderedPageBreak/>
              <w:t>"Employee Liability"</w:t>
            </w:r>
          </w:p>
        </w:tc>
        <w:tc>
          <w:tcPr>
            <w:tcW w:w="6109" w:type="dxa"/>
          </w:tcPr>
          <w:p w14:paraId="2AFA6A08" w14:textId="77777777" w:rsidR="00F35F39" w:rsidRDefault="0076537D">
            <w:pPr>
              <w:numPr>
                <w:ilvl w:val="0"/>
                <w:numId w:val="8"/>
              </w:numPr>
              <w:tabs>
                <w:tab w:val="left" w:pos="-179"/>
                <w:tab w:val="left" w:pos="-9"/>
              </w:tabs>
              <w:spacing w:after="120"/>
              <w:rPr>
                <w:rFonts w:ascii="Arial" w:eastAsia="Arial" w:hAnsi="Arial"/>
                <w:b/>
                <w:sz w:val="24"/>
                <w:szCs w:val="24"/>
              </w:rPr>
            </w:pPr>
            <w:r>
              <w:rPr>
                <w:rFonts w:ascii="Arial" w:eastAsia="Arial" w:hAnsi="Arial"/>
                <w:sz w:val="24"/>
                <w:szCs w:val="24"/>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63C27545" w14:textId="77777777" w:rsidR="00F35F39" w:rsidRDefault="0076537D">
            <w:pPr>
              <w:numPr>
                <w:ilvl w:val="1"/>
                <w:numId w:val="8"/>
              </w:numPr>
              <w:tabs>
                <w:tab w:val="left" w:pos="-576"/>
                <w:tab w:val="left" w:pos="144"/>
              </w:tabs>
              <w:spacing w:after="120"/>
              <w:ind w:hanging="545"/>
              <w:rPr>
                <w:rFonts w:ascii="Arial" w:eastAsia="Arial" w:hAnsi="Arial"/>
                <w:b/>
                <w:i/>
                <w:sz w:val="24"/>
                <w:szCs w:val="24"/>
              </w:rPr>
            </w:pPr>
            <w:r>
              <w:rPr>
                <w:rFonts w:ascii="Arial" w:eastAsia="Arial" w:hAnsi="Arial"/>
                <w:color w:val="000000"/>
                <w:sz w:val="24"/>
                <w:szCs w:val="24"/>
              </w:rPr>
              <w:t>redundancy</w:t>
            </w:r>
            <w:r>
              <w:rPr>
                <w:rFonts w:ascii="Arial" w:eastAsia="Arial" w:hAnsi="Arial"/>
                <w:sz w:val="24"/>
                <w:szCs w:val="24"/>
              </w:rPr>
              <w:t xml:space="preserve"> payments including contractual or enhanced redundancy costs, termination costs and notice payments; </w:t>
            </w:r>
          </w:p>
        </w:tc>
      </w:tr>
      <w:tr w:rsidR="00F35F39" w14:paraId="2B5BA82D" w14:textId="77777777">
        <w:tc>
          <w:tcPr>
            <w:tcW w:w="2917" w:type="dxa"/>
          </w:tcPr>
          <w:p w14:paraId="12F60104" w14:textId="77777777" w:rsidR="00F35F39" w:rsidRDefault="00F35F39">
            <w:pPr>
              <w:pBdr>
                <w:top w:val="nil"/>
                <w:left w:val="nil"/>
                <w:bottom w:val="nil"/>
                <w:right w:val="nil"/>
                <w:between w:val="nil"/>
              </w:pBdr>
              <w:spacing w:after="0"/>
              <w:ind w:left="706"/>
              <w:rPr>
                <w:rFonts w:ascii="Arial" w:eastAsia="Arial" w:hAnsi="Arial"/>
                <w:b/>
                <w:color w:val="000000"/>
                <w:sz w:val="24"/>
                <w:szCs w:val="24"/>
              </w:rPr>
            </w:pPr>
          </w:p>
        </w:tc>
        <w:tc>
          <w:tcPr>
            <w:tcW w:w="6109" w:type="dxa"/>
          </w:tcPr>
          <w:p w14:paraId="0291B865" w14:textId="77777777" w:rsidR="00F35F39" w:rsidRDefault="0076537D">
            <w:pPr>
              <w:numPr>
                <w:ilvl w:val="1"/>
                <w:numId w:val="8"/>
              </w:numPr>
              <w:tabs>
                <w:tab w:val="left" w:pos="-576"/>
                <w:tab w:val="left" w:pos="144"/>
              </w:tabs>
              <w:spacing w:after="120"/>
              <w:ind w:hanging="545"/>
              <w:rPr>
                <w:rFonts w:ascii="Arial" w:eastAsia="Arial" w:hAnsi="Arial"/>
                <w:sz w:val="24"/>
                <w:szCs w:val="24"/>
              </w:rPr>
            </w:pPr>
            <w:r>
              <w:rPr>
                <w:rFonts w:ascii="Arial" w:eastAsia="Arial" w:hAnsi="Arial"/>
                <w:sz w:val="24"/>
                <w:szCs w:val="24"/>
              </w:rPr>
              <w:t xml:space="preserve">unfair, wrongful or constructive dismissal </w:t>
            </w:r>
            <w:r>
              <w:rPr>
                <w:rFonts w:ascii="Arial" w:eastAsia="Arial" w:hAnsi="Arial"/>
                <w:color w:val="000000"/>
                <w:sz w:val="24"/>
                <w:szCs w:val="24"/>
              </w:rPr>
              <w:t>compensation</w:t>
            </w:r>
            <w:r>
              <w:rPr>
                <w:rFonts w:ascii="Arial" w:eastAsia="Arial" w:hAnsi="Arial"/>
                <w:sz w:val="24"/>
                <w:szCs w:val="24"/>
              </w:rPr>
              <w:t>;</w:t>
            </w:r>
          </w:p>
        </w:tc>
      </w:tr>
      <w:tr w:rsidR="00F35F39" w14:paraId="5C13A284" w14:textId="77777777">
        <w:tc>
          <w:tcPr>
            <w:tcW w:w="2917" w:type="dxa"/>
          </w:tcPr>
          <w:p w14:paraId="764F83A3" w14:textId="77777777" w:rsidR="00F35F39" w:rsidRDefault="00F35F39">
            <w:pPr>
              <w:pBdr>
                <w:top w:val="nil"/>
                <w:left w:val="nil"/>
                <w:bottom w:val="nil"/>
                <w:right w:val="nil"/>
                <w:between w:val="nil"/>
              </w:pBdr>
              <w:spacing w:after="0"/>
              <w:ind w:left="706"/>
              <w:rPr>
                <w:rFonts w:ascii="Arial" w:eastAsia="Arial" w:hAnsi="Arial"/>
                <w:b/>
                <w:color w:val="000000"/>
                <w:sz w:val="24"/>
                <w:szCs w:val="24"/>
              </w:rPr>
            </w:pPr>
          </w:p>
        </w:tc>
        <w:tc>
          <w:tcPr>
            <w:tcW w:w="6109" w:type="dxa"/>
          </w:tcPr>
          <w:p w14:paraId="637A0B62" w14:textId="77777777" w:rsidR="00F35F39" w:rsidRDefault="0076537D">
            <w:pPr>
              <w:numPr>
                <w:ilvl w:val="1"/>
                <w:numId w:val="8"/>
              </w:numPr>
              <w:tabs>
                <w:tab w:val="left" w:pos="-576"/>
                <w:tab w:val="left" w:pos="144"/>
              </w:tabs>
              <w:spacing w:after="120"/>
              <w:ind w:hanging="545"/>
              <w:rPr>
                <w:rFonts w:ascii="Arial" w:eastAsia="Arial" w:hAnsi="Arial"/>
                <w:sz w:val="24"/>
                <w:szCs w:val="24"/>
              </w:rPr>
            </w:pPr>
            <w:r>
              <w:rPr>
                <w:rFonts w:ascii="Arial" w:eastAsia="Arial" w:hAnsi="Arial"/>
                <w:sz w:val="24"/>
                <w:szCs w:val="24"/>
              </w:rPr>
              <w:t xml:space="preserve">compensation for discrimination on grounds of  sex, race, disability, age, religion or belief, gender reassignment, marriage or civil partnership, pregnancy and maternity  or sexual orientation or claims for equal pay; </w:t>
            </w:r>
          </w:p>
        </w:tc>
      </w:tr>
      <w:tr w:rsidR="00F35F39" w14:paraId="22073472" w14:textId="77777777">
        <w:tc>
          <w:tcPr>
            <w:tcW w:w="2917" w:type="dxa"/>
          </w:tcPr>
          <w:p w14:paraId="784E7BB7" w14:textId="77777777" w:rsidR="00F35F39" w:rsidRDefault="00F35F39">
            <w:pPr>
              <w:pBdr>
                <w:top w:val="nil"/>
                <w:left w:val="nil"/>
                <w:bottom w:val="nil"/>
                <w:right w:val="nil"/>
                <w:between w:val="nil"/>
              </w:pBdr>
              <w:spacing w:after="0"/>
              <w:ind w:left="706"/>
              <w:rPr>
                <w:rFonts w:ascii="Arial" w:eastAsia="Arial" w:hAnsi="Arial"/>
                <w:b/>
                <w:color w:val="000000"/>
                <w:sz w:val="24"/>
                <w:szCs w:val="24"/>
              </w:rPr>
            </w:pPr>
          </w:p>
        </w:tc>
        <w:tc>
          <w:tcPr>
            <w:tcW w:w="6109" w:type="dxa"/>
          </w:tcPr>
          <w:p w14:paraId="75ED0C8B" w14:textId="77777777" w:rsidR="00F35F39" w:rsidRDefault="0076537D">
            <w:pPr>
              <w:numPr>
                <w:ilvl w:val="1"/>
                <w:numId w:val="8"/>
              </w:numPr>
              <w:tabs>
                <w:tab w:val="left" w:pos="-576"/>
                <w:tab w:val="left" w:pos="144"/>
              </w:tabs>
              <w:spacing w:after="120"/>
              <w:ind w:hanging="545"/>
              <w:rPr>
                <w:rFonts w:ascii="Arial" w:eastAsia="Arial" w:hAnsi="Arial"/>
                <w:sz w:val="24"/>
                <w:szCs w:val="24"/>
              </w:rPr>
            </w:pPr>
            <w:r>
              <w:rPr>
                <w:rFonts w:ascii="Arial" w:eastAsia="Arial" w:hAnsi="Arial"/>
                <w:sz w:val="24"/>
                <w:szCs w:val="24"/>
              </w:rPr>
              <w:t>compensation for less favourable treatment of part-time workers or fixed term employees;</w:t>
            </w:r>
          </w:p>
        </w:tc>
      </w:tr>
      <w:tr w:rsidR="00F35F39" w14:paraId="39141B20" w14:textId="77777777">
        <w:tc>
          <w:tcPr>
            <w:tcW w:w="2917" w:type="dxa"/>
          </w:tcPr>
          <w:p w14:paraId="0973CE50" w14:textId="77777777" w:rsidR="00F35F39" w:rsidRDefault="00F35F39">
            <w:pPr>
              <w:pBdr>
                <w:top w:val="nil"/>
                <w:left w:val="nil"/>
                <w:bottom w:val="nil"/>
                <w:right w:val="nil"/>
                <w:between w:val="nil"/>
              </w:pBdr>
              <w:spacing w:after="0"/>
              <w:ind w:left="706"/>
              <w:rPr>
                <w:rFonts w:ascii="Arial" w:eastAsia="Arial" w:hAnsi="Arial"/>
                <w:b/>
                <w:color w:val="000000"/>
                <w:sz w:val="24"/>
                <w:szCs w:val="24"/>
              </w:rPr>
            </w:pPr>
          </w:p>
        </w:tc>
        <w:tc>
          <w:tcPr>
            <w:tcW w:w="6109" w:type="dxa"/>
          </w:tcPr>
          <w:p w14:paraId="3ABE7ED2" w14:textId="77777777" w:rsidR="00F35F39" w:rsidRDefault="0076537D">
            <w:pPr>
              <w:numPr>
                <w:ilvl w:val="1"/>
                <w:numId w:val="8"/>
              </w:numPr>
              <w:tabs>
                <w:tab w:val="left" w:pos="-576"/>
                <w:tab w:val="left" w:pos="144"/>
              </w:tabs>
              <w:spacing w:after="120"/>
              <w:ind w:hanging="545"/>
              <w:rPr>
                <w:rFonts w:ascii="Arial" w:eastAsia="Arial" w:hAnsi="Arial"/>
                <w:b/>
                <w:i/>
                <w:sz w:val="24"/>
                <w:szCs w:val="24"/>
              </w:rPr>
            </w:pPr>
            <w:r>
              <w:rPr>
                <w:rFonts w:ascii="Arial" w:eastAsia="Arial" w:hAnsi="Arial"/>
                <w:sz w:val="24"/>
                <w:szCs w:val="24"/>
              </w:rPr>
              <w:t xml:space="preserve">outstanding employment debts and unlawful deduction of wages </w:t>
            </w:r>
            <w:r>
              <w:rPr>
                <w:rFonts w:ascii="Arial" w:eastAsia="Arial" w:hAnsi="Arial"/>
                <w:color w:val="000000"/>
                <w:sz w:val="24"/>
                <w:szCs w:val="24"/>
              </w:rPr>
              <w:t>including</w:t>
            </w:r>
            <w:r>
              <w:rPr>
                <w:rFonts w:ascii="Arial" w:eastAsia="Arial" w:hAnsi="Arial"/>
                <w:sz w:val="24"/>
                <w:szCs w:val="24"/>
              </w:rPr>
              <w:t xml:space="preserve"> any PAYE and National Insurance Contributions;</w:t>
            </w:r>
          </w:p>
        </w:tc>
      </w:tr>
      <w:tr w:rsidR="00F35F39" w14:paraId="198B045C" w14:textId="77777777">
        <w:tc>
          <w:tcPr>
            <w:tcW w:w="2917" w:type="dxa"/>
          </w:tcPr>
          <w:p w14:paraId="5361767C" w14:textId="77777777" w:rsidR="00F35F39" w:rsidRDefault="00F35F39">
            <w:pPr>
              <w:keepNext/>
              <w:pBdr>
                <w:top w:val="nil"/>
                <w:left w:val="nil"/>
                <w:bottom w:val="nil"/>
                <w:right w:val="nil"/>
                <w:between w:val="nil"/>
              </w:pBdr>
              <w:spacing w:after="0"/>
              <w:ind w:left="706"/>
              <w:rPr>
                <w:rFonts w:ascii="Arial" w:eastAsia="Arial" w:hAnsi="Arial"/>
                <w:b/>
                <w:color w:val="000000"/>
                <w:sz w:val="24"/>
                <w:szCs w:val="24"/>
              </w:rPr>
            </w:pPr>
          </w:p>
        </w:tc>
        <w:tc>
          <w:tcPr>
            <w:tcW w:w="6109" w:type="dxa"/>
          </w:tcPr>
          <w:p w14:paraId="5D0B6769" w14:textId="77777777" w:rsidR="00F35F39" w:rsidRDefault="0076537D">
            <w:pPr>
              <w:numPr>
                <w:ilvl w:val="1"/>
                <w:numId w:val="8"/>
              </w:numPr>
              <w:tabs>
                <w:tab w:val="left" w:pos="-576"/>
                <w:tab w:val="left" w:pos="144"/>
              </w:tabs>
              <w:spacing w:after="120"/>
              <w:ind w:hanging="545"/>
              <w:rPr>
                <w:rFonts w:ascii="Arial" w:eastAsia="Arial" w:hAnsi="Arial"/>
                <w:b/>
                <w:i/>
                <w:sz w:val="24"/>
                <w:szCs w:val="24"/>
              </w:rPr>
            </w:pPr>
            <w:r>
              <w:rPr>
                <w:rFonts w:ascii="Arial" w:eastAsia="Arial" w:hAnsi="Arial"/>
                <w:sz w:val="24"/>
                <w:szCs w:val="24"/>
              </w:rPr>
              <w:t>employment claims whether in tort, contract or statute or otherwise;</w:t>
            </w:r>
          </w:p>
        </w:tc>
      </w:tr>
      <w:tr w:rsidR="00F35F39" w14:paraId="22C739A6" w14:textId="77777777">
        <w:tc>
          <w:tcPr>
            <w:tcW w:w="2917" w:type="dxa"/>
          </w:tcPr>
          <w:p w14:paraId="0532EF67" w14:textId="77777777" w:rsidR="00F35F39" w:rsidRDefault="00F35F39">
            <w:pPr>
              <w:keepNext/>
              <w:pBdr>
                <w:top w:val="nil"/>
                <w:left w:val="nil"/>
                <w:bottom w:val="nil"/>
                <w:right w:val="nil"/>
                <w:between w:val="nil"/>
              </w:pBdr>
              <w:spacing w:after="0"/>
              <w:ind w:left="706"/>
              <w:rPr>
                <w:rFonts w:ascii="Arial" w:eastAsia="Arial" w:hAnsi="Arial"/>
                <w:b/>
                <w:color w:val="000000"/>
                <w:sz w:val="24"/>
                <w:szCs w:val="24"/>
              </w:rPr>
            </w:pPr>
          </w:p>
        </w:tc>
        <w:tc>
          <w:tcPr>
            <w:tcW w:w="6109" w:type="dxa"/>
          </w:tcPr>
          <w:p w14:paraId="0E16FBD1" w14:textId="77777777" w:rsidR="00F35F39" w:rsidRDefault="0076537D">
            <w:pPr>
              <w:numPr>
                <w:ilvl w:val="1"/>
                <w:numId w:val="8"/>
              </w:numPr>
              <w:tabs>
                <w:tab w:val="left" w:pos="-576"/>
                <w:tab w:val="left" w:pos="144"/>
              </w:tabs>
              <w:spacing w:after="120"/>
              <w:ind w:hanging="545"/>
              <w:rPr>
                <w:i/>
                <w:sz w:val="24"/>
                <w:szCs w:val="24"/>
              </w:rPr>
            </w:pPr>
            <w:r>
              <w:rPr>
                <w:rFonts w:ascii="Arial" w:eastAsia="Arial" w:hAnsi="Arial"/>
                <w:sz w:val="24"/>
                <w:szCs w:val="24"/>
              </w:rPr>
              <w:t>any investigation relating  to  employment matters by the Equality and Human Rights Commission or other enforcement, regulatory or supervisory body and of implementing any requirements which may arise from such investigation;</w:t>
            </w:r>
          </w:p>
        </w:tc>
      </w:tr>
      <w:tr w:rsidR="00F35F39" w14:paraId="10C4A7CF" w14:textId="77777777">
        <w:tc>
          <w:tcPr>
            <w:tcW w:w="2917" w:type="dxa"/>
          </w:tcPr>
          <w:p w14:paraId="4FFB5C09" w14:textId="77777777" w:rsidR="00F35F39" w:rsidRDefault="0076537D">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b/>
                <w:color w:val="000000"/>
                <w:sz w:val="24"/>
                <w:szCs w:val="24"/>
              </w:rPr>
              <w:t>"Former Supplier"</w:t>
            </w:r>
          </w:p>
        </w:tc>
        <w:tc>
          <w:tcPr>
            <w:tcW w:w="6109" w:type="dxa"/>
          </w:tcPr>
          <w:p w14:paraId="7906B117" w14:textId="77777777" w:rsidR="00F35F39" w:rsidRDefault="0076537D">
            <w:pPr>
              <w:pBdr>
                <w:top w:val="nil"/>
                <w:left w:val="nil"/>
                <w:bottom w:val="nil"/>
                <w:right w:val="nil"/>
                <w:between w:val="nil"/>
              </w:pBdr>
              <w:tabs>
                <w:tab w:val="left" w:pos="235"/>
              </w:tabs>
              <w:spacing w:before="120" w:after="120"/>
              <w:rPr>
                <w:rFonts w:ascii="Arial" w:eastAsia="Arial" w:hAnsi="Arial"/>
                <w:color w:val="000000"/>
                <w:sz w:val="24"/>
                <w:szCs w:val="24"/>
              </w:rPr>
            </w:pPr>
            <w:r>
              <w:rPr>
                <w:rFonts w:ascii="Arial" w:eastAsia="Arial" w:hAnsi="Arial"/>
                <w:color w:val="000000"/>
                <w:sz w:val="24"/>
                <w:szCs w:val="24"/>
              </w:rPr>
              <w:t>a supplier supplying services to the Buyer before the Relevant Transfer Date that are the same as or substantially similar to the Services (or any part of the Services) and shall include any Subcontractor of such supplier (or any Subcontractor of any such Subcontractor);</w:t>
            </w:r>
          </w:p>
        </w:tc>
      </w:tr>
      <w:tr w:rsidR="00F35F39" w14:paraId="490405A8" w14:textId="77777777">
        <w:trPr>
          <w:trHeight w:val="3560"/>
        </w:trPr>
        <w:tc>
          <w:tcPr>
            <w:tcW w:w="2917" w:type="dxa"/>
          </w:tcPr>
          <w:p w14:paraId="63666BC4" w14:textId="77777777" w:rsidR="00F35F39" w:rsidRDefault="0076537D">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b/>
                <w:color w:val="000000"/>
                <w:sz w:val="24"/>
                <w:szCs w:val="24"/>
              </w:rPr>
              <w:lastRenderedPageBreak/>
              <w:t>"New Fair Deal"</w:t>
            </w:r>
          </w:p>
        </w:tc>
        <w:tc>
          <w:tcPr>
            <w:tcW w:w="6109" w:type="dxa"/>
          </w:tcPr>
          <w:p w14:paraId="6B41278D" w14:textId="77777777" w:rsidR="00F35F39" w:rsidRDefault="0076537D">
            <w:pPr>
              <w:pBdr>
                <w:top w:val="nil"/>
                <w:left w:val="nil"/>
                <w:bottom w:val="nil"/>
                <w:right w:val="nil"/>
                <w:between w:val="nil"/>
              </w:pBdr>
              <w:tabs>
                <w:tab w:val="left" w:pos="34"/>
              </w:tabs>
              <w:spacing w:before="120" w:after="120"/>
              <w:rPr>
                <w:rFonts w:ascii="Arial" w:eastAsia="Arial" w:hAnsi="Arial"/>
                <w:color w:val="000000"/>
                <w:sz w:val="24"/>
                <w:szCs w:val="24"/>
              </w:rPr>
            </w:pPr>
            <w:r>
              <w:rPr>
                <w:rFonts w:ascii="Arial" w:eastAsia="Arial" w:hAnsi="Arial"/>
                <w:color w:val="000000"/>
                <w:sz w:val="24"/>
                <w:szCs w:val="24"/>
              </w:rPr>
              <w:t>the revised Fair Deal position set out in the HM Treasury guidance:  "</w:t>
            </w:r>
            <w:r>
              <w:rPr>
                <w:rFonts w:ascii="Arial" w:eastAsia="Arial" w:hAnsi="Arial"/>
                <w:i/>
                <w:color w:val="000000"/>
                <w:sz w:val="24"/>
                <w:szCs w:val="24"/>
              </w:rPr>
              <w:t>Fair Deal for Staff Pensions: Staff Transfer from Central Government</w:t>
            </w:r>
            <w:r>
              <w:rPr>
                <w:rFonts w:ascii="Arial" w:eastAsia="Arial" w:hAnsi="Arial"/>
                <w:color w:val="000000"/>
                <w:sz w:val="24"/>
                <w:szCs w:val="24"/>
              </w:rPr>
              <w:t>" issued in October 2013 including:</w:t>
            </w:r>
          </w:p>
          <w:p w14:paraId="3D9734E6" w14:textId="77777777" w:rsidR="00F35F39" w:rsidRDefault="0076537D">
            <w:pPr>
              <w:numPr>
                <w:ilvl w:val="5"/>
                <w:numId w:val="8"/>
              </w:numPr>
              <w:pBdr>
                <w:top w:val="nil"/>
                <w:left w:val="nil"/>
                <w:bottom w:val="nil"/>
                <w:right w:val="nil"/>
                <w:between w:val="nil"/>
              </w:pBdr>
              <w:tabs>
                <w:tab w:val="left" w:pos="34"/>
              </w:tabs>
              <w:spacing w:before="120" w:after="120"/>
              <w:ind w:left="1506" w:hanging="567"/>
              <w:rPr>
                <w:rFonts w:ascii="Arial" w:eastAsia="Arial" w:hAnsi="Arial"/>
                <w:color w:val="000000"/>
                <w:sz w:val="24"/>
                <w:szCs w:val="24"/>
              </w:rPr>
            </w:pPr>
            <w:r>
              <w:rPr>
                <w:rFonts w:ascii="Arial" w:eastAsia="Arial" w:hAnsi="Arial"/>
                <w:color w:val="000000"/>
                <w:sz w:val="24"/>
                <w:szCs w:val="24"/>
              </w:rPr>
              <w:t>any amendments to that document immediately prior to the Relevant Transfer Date; and</w:t>
            </w:r>
          </w:p>
          <w:p w14:paraId="6CD52BF3" w14:textId="77777777" w:rsidR="00F35F39" w:rsidRDefault="0076537D">
            <w:pPr>
              <w:numPr>
                <w:ilvl w:val="5"/>
                <w:numId w:val="8"/>
              </w:numPr>
              <w:pBdr>
                <w:top w:val="nil"/>
                <w:left w:val="nil"/>
                <w:bottom w:val="nil"/>
                <w:right w:val="nil"/>
                <w:between w:val="nil"/>
              </w:pBdr>
              <w:tabs>
                <w:tab w:val="left" w:pos="34"/>
              </w:tabs>
              <w:spacing w:before="120" w:after="120"/>
              <w:ind w:left="1506" w:hanging="567"/>
              <w:rPr>
                <w:rFonts w:ascii="Arial" w:eastAsia="Arial" w:hAnsi="Arial"/>
                <w:color w:val="000000"/>
                <w:sz w:val="24"/>
                <w:szCs w:val="24"/>
              </w:rPr>
            </w:pPr>
            <w:r>
              <w:rPr>
                <w:rFonts w:ascii="Arial" w:eastAsia="Arial" w:hAnsi="Arial"/>
                <w:color w:val="000000"/>
                <w:sz w:val="24"/>
                <w:szCs w:val="24"/>
              </w:rPr>
              <w:t>any similar pension protection in accordance with the Annexes D1-D3 inclusive to Part D of this Schedule as notified to the Supplier by the Buyer;</w:t>
            </w:r>
          </w:p>
        </w:tc>
      </w:tr>
      <w:tr w:rsidR="00F35F39" w14:paraId="56D688A9" w14:textId="77777777">
        <w:trPr>
          <w:trHeight w:val="1824"/>
        </w:trPr>
        <w:tc>
          <w:tcPr>
            <w:tcW w:w="2917" w:type="dxa"/>
          </w:tcPr>
          <w:p w14:paraId="3A59EBF4" w14:textId="77777777" w:rsidR="00F35F39" w:rsidRDefault="0076537D">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b/>
                <w:color w:val="000000"/>
                <w:sz w:val="24"/>
                <w:szCs w:val="24"/>
              </w:rPr>
              <w:t>“Old Fair Deal”</w:t>
            </w:r>
          </w:p>
        </w:tc>
        <w:tc>
          <w:tcPr>
            <w:tcW w:w="6109" w:type="dxa"/>
          </w:tcPr>
          <w:p w14:paraId="26BDB507" w14:textId="77777777" w:rsidR="00F35F39" w:rsidRDefault="0076537D">
            <w:pPr>
              <w:pBdr>
                <w:top w:val="nil"/>
                <w:left w:val="nil"/>
                <w:bottom w:val="nil"/>
                <w:right w:val="nil"/>
                <w:between w:val="nil"/>
              </w:pBdr>
              <w:tabs>
                <w:tab w:val="left" w:pos="34"/>
              </w:tabs>
              <w:spacing w:before="120" w:after="120"/>
              <w:rPr>
                <w:rFonts w:ascii="Arial" w:eastAsia="Arial" w:hAnsi="Arial"/>
                <w:color w:val="000000"/>
                <w:sz w:val="24"/>
                <w:szCs w:val="24"/>
              </w:rPr>
            </w:pPr>
            <w:r>
              <w:rPr>
                <w:rFonts w:ascii="Arial" w:eastAsia="Arial" w:hAnsi="Arial"/>
                <w:color w:val="000000"/>
                <w:sz w:val="24"/>
                <w:szCs w:val="24"/>
              </w:rPr>
              <w:t>HM Treasury Guidance “</w:t>
            </w:r>
            <w:r>
              <w:rPr>
                <w:rFonts w:ascii="Arial" w:eastAsia="Arial" w:hAnsi="Arial"/>
                <w:i/>
                <w:color w:val="000000"/>
                <w:sz w:val="24"/>
                <w:szCs w:val="24"/>
              </w:rPr>
              <w:t>Staff Transfers from Central Government: A Fair Deal for Staff Pensions</w:t>
            </w:r>
            <w:r>
              <w:rPr>
                <w:rFonts w:ascii="Arial" w:eastAsia="Arial" w:hAnsi="Arial"/>
                <w:color w:val="000000"/>
                <w:sz w:val="24"/>
                <w:szCs w:val="24"/>
              </w:rPr>
              <w:t>” issued in June 1999 including the supplementary guidance “</w:t>
            </w:r>
            <w:r>
              <w:rPr>
                <w:rFonts w:ascii="Arial" w:eastAsia="Arial" w:hAnsi="Arial"/>
                <w:i/>
                <w:color w:val="000000"/>
                <w:sz w:val="24"/>
                <w:szCs w:val="24"/>
              </w:rPr>
              <w:t>Fair Deal for Staff pensions: Procurement of Bulk Transfer Agreements and Related Issues</w:t>
            </w:r>
            <w:r>
              <w:rPr>
                <w:rFonts w:ascii="Arial" w:eastAsia="Arial" w:hAnsi="Arial"/>
                <w:color w:val="000000"/>
                <w:sz w:val="24"/>
                <w:szCs w:val="24"/>
              </w:rPr>
              <w:t>” issued in June 2004;</w:t>
            </w:r>
          </w:p>
        </w:tc>
      </w:tr>
      <w:tr w:rsidR="00F35F39" w14:paraId="00B09D76" w14:textId="77777777">
        <w:tc>
          <w:tcPr>
            <w:tcW w:w="2917" w:type="dxa"/>
          </w:tcPr>
          <w:p w14:paraId="7F45A14B" w14:textId="77777777" w:rsidR="00F35F39" w:rsidRDefault="0076537D">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b/>
                <w:color w:val="000000"/>
                <w:sz w:val="24"/>
                <w:szCs w:val="24"/>
              </w:rPr>
              <w:t>"Partial Termination"</w:t>
            </w:r>
          </w:p>
        </w:tc>
        <w:tc>
          <w:tcPr>
            <w:tcW w:w="6109" w:type="dxa"/>
          </w:tcPr>
          <w:p w14:paraId="2D49BBA6" w14:textId="77777777" w:rsidR="00F35F39" w:rsidRDefault="0076537D">
            <w:pPr>
              <w:pBdr>
                <w:top w:val="nil"/>
                <w:left w:val="nil"/>
                <w:bottom w:val="nil"/>
                <w:right w:val="nil"/>
                <w:between w:val="nil"/>
              </w:pBdr>
              <w:tabs>
                <w:tab w:val="left" w:pos="235"/>
              </w:tabs>
              <w:spacing w:before="120" w:after="120"/>
              <w:rPr>
                <w:rFonts w:ascii="Arial" w:eastAsia="Arial" w:hAnsi="Arial"/>
                <w:color w:val="000000"/>
                <w:sz w:val="24"/>
                <w:szCs w:val="24"/>
              </w:rPr>
            </w:pPr>
            <w:r>
              <w:rPr>
                <w:rFonts w:ascii="Arial" w:eastAsia="Arial" w:hAnsi="Arial"/>
                <w:color w:val="000000"/>
                <w:sz w:val="24"/>
                <w:szCs w:val="24"/>
              </w:rPr>
              <w:t>the partial termination of the relevant Contract to the extent that it relates to the provision of any part of the Services as further provided for in Clause 10.4 (When CCS or the Buyer can end this contract) or 10.6 (When the Supplier can end the contract);</w:t>
            </w:r>
          </w:p>
        </w:tc>
      </w:tr>
      <w:tr w:rsidR="00F35F39" w14:paraId="00C39D32" w14:textId="77777777">
        <w:tc>
          <w:tcPr>
            <w:tcW w:w="2917" w:type="dxa"/>
          </w:tcPr>
          <w:p w14:paraId="1295564B" w14:textId="77777777" w:rsidR="00F35F39" w:rsidRDefault="0076537D">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b/>
                <w:color w:val="000000"/>
                <w:sz w:val="24"/>
                <w:szCs w:val="24"/>
              </w:rPr>
              <w:t>"Relevant Transfer"</w:t>
            </w:r>
          </w:p>
        </w:tc>
        <w:tc>
          <w:tcPr>
            <w:tcW w:w="6109" w:type="dxa"/>
          </w:tcPr>
          <w:p w14:paraId="061C24FC" w14:textId="77777777" w:rsidR="00F35F39" w:rsidRDefault="0076537D">
            <w:pPr>
              <w:pBdr>
                <w:top w:val="nil"/>
                <w:left w:val="nil"/>
                <w:bottom w:val="nil"/>
                <w:right w:val="nil"/>
                <w:between w:val="nil"/>
              </w:pBdr>
              <w:tabs>
                <w:tab w:val="left" w:pos="34"/>
              </w:tabs>
              <w:spacing w:before="120" w:after="120"/>
              <w:rPr>
                <w:rFonts w:ascii="Arial" w:eastAsia="Arial" w:hAnsi="Arial"/>
                <w:color w:val="000000"/>
                <w:sz w:val="24"/>
                <w:szCs w:val="24"/>
                <w:highlight w:val="green"/>
              </w:rPr>
            </w:pPr>
            <w:r>
              <w:rPr>
                <w:rFonts w:ascii="Arial" w:eastAsia="Arial" w:hAnsi="Arial"/>
                <w:color w:val="000000"/>
                <w:sz w:val="24"/>
                <w:szCs w:val="24"/>
              </w:rPr>
              <w:t>a transfer of employment to which the Employment Regulations applies;</w:t>
            </w:r>
          </w:p>
        </w:tc>
      </w:tr>
      <w:tr w:rsidR="00F35F39" w14:paraId="5C57A777" w14:textId="77777777">
        <w:tc>
          <w:tcPr>
            <w:tcW w:w="2917" w:type="dxa"/>
          </w:tcPr>
          <w:p w14:paraId="6B72477D" w14:textId="77777777" w:rsidR="00F35F39" w:rsidRDefault="0076537D">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b/>
                <w:color w:val="000000"/>
                <w:sz w:val="24"/>
                <w:szCs w:val="24"/>
              </w:rPr>
              <w:t>"Relevant Transfer Date"</w:t>
            </w:r>
          </w:p>
        </w:tc>
        <w:tc>
          <w:tcPr>
            <w:tcW w:w="6109" w:type="dxa"/>
          </w:tcPr>
          <w:p w14:paraId="1A2D7113" w14:textId="77777777" w:rsidR="00F35F39" w:rsidRDefault="0076537D">
            <w:pPr>
              <w:pBdr>
                <w:top w:val="nil"/>
                <w:left w:val="nil"/>
                <w:bottom w:val="nil"/>
                <w:right w:val="nil"/>
                <w:between w:val="nil"/>
              </w:pBdr>
              <w:tabs>
                <w:tab w:val="left" w:pos="34"/>
              </w:tabs>
              <w:spacing w:before="120" w:after="120"/>
              <w:rPr>
                <w:rFonts w:ascii="Arial" w:eastAsia="Arial" w:hAnsi="Arial"/>
                <w:color w:val="000000"/>
                <w:sz w:val="24"/>
                <w:szCs w:val="24"/>
                <w:highlight w:val="green"/>
              </w:rPr>
            </w:pPr>
            <w:r>
              <w:rPr>
                <w:rFonts w:ascii="Arial" w:eastAsia="Arial" w:hAnsi="Arial"/>
                <w:color w:val="000000"/>
                <w:sz w:val="24"/>
                <w:szCs w:val="24"/>
              </w:rPr>
              <w:t>in relation to a Relevant Transfer, the date upon which the Relevant Transfer takes place. For the purposes of Part D: Pensions and its Annexes, where the Supplier or a Subcontractor was the Former Supplier and there is no Relevant Transfer of the Fair Deal Employees because they remain continuously employed by the Supplier (or Subcontractor), references to the Relevant Transfer Date shall become references to the Start Date;</w:t>
            </w:r>
          </w:p>
        </w:tc>
      </w:tr>
      <w:tr w:rsidR="00F35F39" w14:paraId="154CB743" w14:textId="77777777">
        <w:tc>
          <w:tcPr>
            <w:tcW w:w="2917" w:type="dxa"/>
          </w:tcPr>
          <w:p w14:paraId="29C05799" w14:textId="77777777" w:rsidR="00F35F39" w:rsidRDefault="0076537D">
            <w:pPr>
              <w:keepNext/>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b/>
                <w:color w:val="000000"/>
                <w:sz w:val="24"/>
                <w:szCs w:val="24"/>
              </w:rPr>
              <w:lastRenderedPageBreak/>
              <w:t>"Staffing Information"</w:t>
            </w:r>
          </w:p>
        </w:tc>
        <w:tc>
          <w:tcPr>
            <w:tcW w:w="6109" w:type="dxa"/>
          </w:tcPr>
          <w:p w14:paraId="52ED5A7A" w14:textId="77777777" w:rsidR="00F35F39" w:rsidRDefault="0076537D">
            <w:pPr>
              <w:keepNext/>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in relation to all persons identified on the Supplier's Provisional Supplier Personnel List or Supplier's Final Supplier Personnel List, as the case may be, such information as the Buyer may reasonably request (subject to all applicable provisions of the Data Protection Legislation), but including in an anonymised format:</w:t>
            </w:r>
          </w:p>
          <w:p w14:paraId="76B4E89D" w14:textId="77777777" w:rsidR="00F35F39" w:rsidRDefault="0076537D">
            <w:pPr>
              <w:keepNext/>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olor w:val="000000"/>
                <w:sz w:val="24"/>
                <w:szCs w:val="24"/>
              </w:rPr>
              <w:t>(a)</w:t>
            </w:r>
            <w:r>
              <w:rPr>
                <w:rFonts w:ascii="Arial" w:eastAsia="Arial" w:hAnsi="Arial"/>
                <w:color w:val="000000"/>
                <w:sz w:val="24"/>
                <w:szCs w:val="24"/>
              </w:rPr>
              <w:tab/>
              <w:t>their ages, dates of commencement of employment or engagement, gender and place of work;</w:t>
            </w:r>
          </w:p>
        </w:tc>
      </w:tr>
      <w:tr w:rsidR="00F35F39" w14:paraId="3CBE18CC" w14:textId="77777777">
        <w:tc>
          <w:tcPr>
            <w:tcW w:w="2917" w:type="dxa"/>
          </w:tcPr>
          <w:p w14:paraId="3B1F524B" w14:textId="77777777" w:rsidR="00F35F39" w:rsidRDefault="00F35F39">
            <w:pPr>
              <w:pBdr>
                <w:top w:val="nil"/>
                <w:left w:val="nil"/>
                <w:bottom w:val="nil"/>
                <w:right w:val="nil"/>
                <w:between w:val="nil"/>
              </w:pBdr>
              <w:spacing w:before="120" w:after="120"/>
              <w:ind w:left="709"/>
              <w:rPr>
                <w:rFonts w:ascii="Arial" w:eastAsia="Arial" w:hAnsi="Arial"/>
                <w:b/>
                <w:color w:val="000000"/>
                <w:sz w:val="24"/>
                <w:szCs w:val="24"/>
              </w:rPr>
            </w:pPr>
          </w:p>
        </w:tc>
        <w:tc>
          <w:tcPr>
            <w:tcW w:w="6109" w:type="dxa"/>
          </w:tcPr>
          <w:p w14:paraId="3BA4CFA1" w14:textId="77777777" w:rsidR="00F35F39" w:rsidRDefault="0076537D">
            <w:pPr>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olor w:val="000000"/>
                <w:sz w:val="24"/>
                <w:szCs w:val="24"/>
              </w:rPr>
              <w:t>(b)</w:t>
            </w:r>
            <w:r>
              <w:rPr>
                <w:rFonts w:ascii="Arial" w:eastAsia="Arial" w:hAnsi="Arial"/>
                <w:color w:val="000000"/>
                <w:sz w:val="24"/>
                <w:szCs w:val="24"/>
              </w:rPr>
              <w:tab/>
              <w:t>details of whether they are employed, self-employed contractors or consultants, agency workers or otherwise;</w:t>
            </w:r>
          </w:p>
        </w:tc>
      </w:tr>
      <w:tr w:rsidR="00F35F39" w14:paraId="5DDBE6AE" w14:textId="77777777">
        <w:tc>
          <w:tcPr>
            <w:tcW w:w="2917" w:type="dxa"/>
          </w:tcPr>
          <w:p w14:paraId="63CA249F" w14:textId="77777777" w:rsidR="00F35F39" w:rsidRDefault="00F35F39">
            <w:pPr>
              <w:pBdr>
                <w:top w:val="nil"/>
                <w:left w:val="nil"/>
                <w:bottom w:val="nil"/>
                <w:right w:val="nil"/>
                <w:between w:val="nil"/>
              </w:pBdr>
              <w:spacing w:before="120" w:after="120"/>
              <w:ind w:left="709"/>
              <w:rPr>
                <w:rFonts w:ascii="Arial" w:eastAsia="Arial" w:hAnsi="Arial"/>
                <w:b/>
                <w:color w:val="000000"/>
                <w:sz w:val="24"/>
                <w:szCs w:val="24"/>
              </w:rPr>
            </w:pPr>
          </w:p>
        </w:tc>
        <w:tc>
          <w:tcPr>
            <w:tcW w:w="6109" w:type="dxa"/>
          </w:tcPr>
          <w:p w14:paraId="5CEBD1C9" w14:textId="77777777" w:rsidR="00F35F39" w:rsidRDefault="0076537D">
            <w:pPr>
              <w:pBdr>
                <w:top w:val="nil"/>
                <w:left w:val="nil"/>
                <w:bottom w:val="nil"/>
                <w:right w:val="nil"/>
                <w:between w:val="nil"/>
              </w:pBdr>
              <w:spacing w:before="120" w:after="120"/>
              <w:ind w:left="655" w:hanging="655"/>
              <w:rPr>
                <w:rFonts w:ascii="Arial" w:eastAsia="Arial" w:hAnsi="Arial"/>
                <w:color w:val="000000"/>
                <w:sz w:val="24"/>
                <w:szCs w:val="24"/>
              </w:rPr>
            </w:pPr>
            <w:r>
              <w:rPr>
                <w:rFonts w:ascii="Arial" w:eastAsia="Arial" w:hAnsi="Arial"/>
                <w:color w:val="000000"/>
                <w:sz w:val="24"/>
                <w:szCs w:val="24"/>
              </w:rPr>
              <w:t>(c)</w:t>
            </w:r>
            <w:r>
              <w:rPr>
                <w:rFonts w:ascii="Arial" w:eastAsia="Arial" w:hAnsi="Arial"/>
                <w:color w:val="000000"/>
                <w:sz w:val="24"/>
                <w:szCs w:val="24"/>
              </w:rPr>
              <w:tab/>
              <w:t>the identity of the employer or relevant contracting Party;</w:t>
            </w:r>
          </w:p>
        </w:tc>
      </w:tr>
      <w:tr w:rsidR="00F35F39" w14:paraId="5FA80B20" w14:textId="77777777">
        <w:tc>
          <w:tcPr>
            <w:tcW w:w="2917" w:type="dxa"/>
          </w:tcPr>
          <w:p w14:paraId="582D992C" w14:textId="77777777" w:rsidR="00F35F39" w:rsidRDefault="00F35F39">
            <w:pPr>
              <w:pBdr>
                <w:top w:val="nil"/>
                <w:left w:val="nil"/>
                <w:bottom w:val="nil"/>
                <w:right w:val="nil"/>
                <w:between w:val="nil"/>
              </w:pBdr>
              <w:spacing w:before="120" w:after="120"/>
              <w:ind w:left="709"/>
              <w:rPr>
                <w:rFonts w:ascii="Arial" w:eastAsia="Arial" w:hAnsi="Arial"/>
                <w:b/>
                <w:color w:val="000000"/>
                <w:sz w:val="24"/>
                <w:szCs w:val="24"/>
              </w:rPr>
            </w:pPr>
          </w:p>
        </w:tc>
        <w:tc>
          <w:tcPr>
            <w:tcW w:w="6109" w:type="dxa"/>
          </w:tcPr>
          <w:p w14:paraId="6859FF67" w14:textId="77777777" w:rsidR="00F35F39" w:rsidRDefault="0076537D">
            <w:pPr>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olor w:val="000000"/>
                <w:sz w:val="24"/>
                <w:szCs w:val="24"/>
              </w:rPr>
              <w:t>(d)</w:t>
            </w:r>
            <w:r>
              <w:rPr>
                <w:rFonts w:ascii="Arial" w:eastAsia="Arial" w:hAnsi="Arial"/>
                <w:color w:val="000000"/>
                <w:sz w:val="24"/>
                <w:szCs w:val="24"/>
              </w:rPr>
              <w:tab/>
              <w:t>their relevant contractual notice periods and any other terms relating to termination of employment, including redundancy procedures, and redundancy payments;</w:t>
            </w:r>
          </w:p>
        </w:tc>
      </w:tr>
      <w:tr w:rsidR="00F35F39" w14:paraId="063F7C6F" w14:textId="77777777">
        <w:tc>
          <w:tcPr>
            <w:tcW w:w="2917" w:type="dxa"/>
          </w:tcPr>
          <w:p w14:paraId="4CBFBC5E" w14:textId="77777777" w:rsidR="00F35F39" w:rsidRDefault="00F35F39">
            <w:pPr>
              <w:pBdr>
                <w:top w:val="nil"/>
                <w:left w:val="nil"/>
                <w:bottom w:val="nil"/>
                <w:right w:val="nil"/>
                <w:between w:val="nil"/>
              </w:pBdr>
              <w:spacing w:before="120" w:after="120"/>
              <w:ind w:left="709"/>
              <w:rPr>
                <w:rFonts w:ascii="Arial" w:eastAsia="Arial" w:hAnsi="Arial"/>
                <w:b/>
                <w:color w:val="000000"/>
                <w:sz w:val="24"/>
                <w:szCs w:val="24"/>
              </w:rPr>
            </w:pPr>
          </w:p>
        </w:tc>
        <w:tc>
          <w:tcPr>
            <w:tcW w:w="6109" w:type="dxa"/>
          </w:tcPr>
          <w:p w14:paraId="72AA31A5" w14:textId="77777777" w:rsidR="00F35F39" w:rsidRDefault="0076537D">
            <w:pPr>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olor w:val="000000"/>
                <w:sz w:val="24"/>
                <w:szCs w:val="24"/>
              </w:rPr>
              <w:t>(e)</w:t>
            </w:r>
            <w:r>
              <w:rPr>
                <w:rFonts w:ascii="Arial" w:eastAsia="Arial" w:hAnsi="Arial"/>
                <w:color w:val="000000"/>
                <w:sz w:val="24"/>
                <w:szCs w:val="24"/>
              </w:rPr>
              <w:tab/>
              <w:t>their wages, salaries, bonuses and profit sharing arrangements as applicable;</w:t>
            </w:r>
          </w:p>
        </w:tc>
      </w:tr>
      <w:tr w:rsidR="00F35F39" w14:paraId="5EDDFA53" w14:textId="77777777">
        <w:tc>
          <w:tcPr>
            <w:tcW w:w="2917" w:type="dxa"/>
          </w:tcPr>
          <w:p w14:paraId="4C955A9B" w14:textId="77777777" w:rsidR="00F35F39" w:rsidRDefault="00F35F39">
            <w:pPr>
              <w:pBdr>
                <w:top w:val="nil"/>
                <w:left w:val="nil"/>
                <w:bottom w:val="nil"/>
                <w:right w:val="nil"/>
                <w:between w:val="nil"/>
              </w:pBdr>
              <w:spacing w:before="120" w:after="120"/>
              <w:ind w:left="709"/>
              <w:rPr>
                <w:rFonts w:ascii="Arial" w:eastAsia="Arial" w:hAnsi="Arial"/>
                <w:b/>
                <w:color w:val="000000"/>
                <w:sz w:val="24"/>
                <w:szCs w:val="24"/>
              </w:rPr>
            </w:pPr>
          </w:p>
        </w:tc>
        <w:tc>
          <w:tcPr>
            <w:tcW w:w="6109" w:type="dxa"/>
          </w:tcPr>
          <w:p w14:paraId="18C1D390" w14:textId="77777777" w:rsidR="00F35F39" w:rsidRDefault="0076537D">
            <w:pPr>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olor w:val="000000"/>
                <w:sz w:val="24"/>
                <w:szCs w:val="24"/>
              </w:rPr>
              <w:t>(f)</w:t>
            </w:r>
            <w:r>
              <w:rPr>
                <w:rFonts w:ascii="Arial" w:eastAsia="Arial" w:hAnsi="Arial"/>
                <w:color w:val="000000"/>
                <w:sz w:val="24"/>
                <w:szCs w:val="24"/>
              </w:rPr>
              <w:tab/>
              <w:t>details of other employment-related benefits, including (without limitation) medical insurance, life assurance, pension or other retirement benefit schemes, share option schemes and company car schedules applicable to them;</w:t>
            </w:r>
          </w:p>
        </w:tc>
      </w:tr>
      <w:tr w:rsidR="00F35F39" w14:paraId="5776F4C5" w14:textId="77777777">
        <w:tc>
          <w:tcPr>
            <w:tcW w:w="2917" w:type="dxa"/>
          </w:tcPr>
          <w:p w14:paraId="04D93924" w14:textId="77777777" w:rsidR="00F35F39" w:rsidRDefault="00F35F39">
            <w:pPr>
              <w:pBdr>
                <w:top w:val="nil"/>
                <w:left w:val="nil"/>
                <w:bottom w:val="nil"/>
                <w:right w:val="nil"/>
                <w:between w:val="nil"/>
              </w:pBdr>
              <w:spacing w:before="120" w:after="120"/>
              <w:ind w:left="709"/>
              <w:rPr>
                <w:rFonts w:ascii="Arial" w:eastAsia="Arial" w:hAnsi="Arial"/>
                <w:b/>
                <w:color w:val="000000"/>
                <w:sz w:val="24"/>
                <w:szCs w:val="24"/>
              </w:rPr>
            </w:pPr>
          </w:p>
        </w:tc>
        <w:tc>
          <w:tcPr>
            <w:tcW w:w="6109" w:type="dxa"/>
          </w:tcPr>
          <w:p w14:paraId="1C71DEA4" w14:textId="77777777" w:rsidR="00F35F39" w:rsidRDefault="0076537D">
            <w:pPr>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olor w:val="000000"/>
                <w:sz w:val="24"/>
                <w:szCs w:val="24"/>
              </w:rPr>
              <w:t>(g)</w:t>
            </w:r>
            <w:r>
              <w:rPr>
                <w:rFonts w:ascii="Arial" w:eastAsia="Arial" w:hAnsi="Arial"/>
                <w:color w:val="000000"/>
                <w:sz w:val="24"/>
                <w:szCs w:val="24"/>
              </w:rPr>
              <w:tab/>
              <w:t>any outstanding or potential contractual, statutory or other liabilities in respect of such individuals (including in respect of personal injury claims);</w:t>
            </w:r>
          </w:p>
        </w:tc>
      </w:tr>
      <w:tr w:rsidR="00F35F39" w14:paraId="52F111C2" w14:textId="77777777">
        <w:tc>
          <w:tcPr>
            <w:tcW w:w="2917" w:type="dxa"/>
          </w:tcPr>
          <w:p w14:paraId="09991671" w14:textId="77777777" w:rsidR="00F35F39" w:rsidRDefault="00F35F39">
            <w:pPr>
              <w:pBdr>
                <w:top w:val="nil"/>
                <w:left w:val="nil"/>
                <w:bottom w:val="nil"/>
                <w:right w:val="nil"/>
                <w:between w:val="nil"/>
              </w:pBdr>
              <w:spacing w:before="120" w:after="120"/>
              <w:ind w:left="709"/>
              <w:rPr>
                <w:rFonts w:ascii="Arial" w:eastAsia="Arial" w:hAnsi="Arial"/>
                <w:b/>
                <w:color w:val="000000"/>
                <w:sz w:val="24"/>
                <w:szCs w:val="24"/>
              </w:rPr>
            </w:pPr>
          </w:p>
        </w:tc>
        <w:tc>
          <w:tcPr>
            <w:tcW w:w="6109" w:type="dxa"/>
          </w:tcPr>
          <w:p w14:paraId="50FE9D9B" w14:textId="77777777" w:rsidR="00F35F39" w:rsidRDefault="0076537D">
            <w:pPr>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olor w:val="000000"/>
                <w:sz w:val="24"/>
                <w:szCs w:val="24"/>
              </w:rPr>
              <w:t>(h)</w:t>
            </w:r>
            <w:r>
              <w:rPr>
                <w:rFonts w:ascii="Arial" w:eastAsia="Arial" w:hAnsi="Arial"/>
                <w:color w:val="000000"/>
                <w:sz w:val="24"/>
                <w:szCs w:val="24"/>
              </w:rPr>
              <w:tab/>
              <w:t xml:space="preserve">details of any such individuals on long term sickness absence, parental leave, maternity leave or other authorised long term absence; </w:t>
            </w:r>
          </w:p>
        </w:tc>
      </w:tr>
      <w:tr w:rsidR="00F35F39" w14:paraId="2CAADE86" w14:textId="77777777">
        <w:tc>
          <w:tcPr>
            <w:tcW w:w="2917" w:type="dxa"/>
          </w:tcPr>
          <w:p w14:paraId="05432023" w14:textId="77777777" w:rsidR="00F35F39" w:rsidRDefault="00F35F39">
            <w:pPr>
              <w:pBdr>
                <w:top w:val="nil"/>
                <w:left w:val="nil"/>
                <w:bottom w:val="nil"/>
                <w:right w:val="nil"/>
                <w:between w:val="nil"/>
              </w:pBdr>
              <w:spacing w:before="120" w:after="120"/>
              <w:ind w:left="709"/>
              <w:rPr>
                <w:rFonts w:ascii="Arial" w:eastAsia="Arial" w:hAnsi="Arial"/>
                <w:b/>
                <w:color w:val="000000"/>
                <w:sz w:val="24"/>
                <w:szCs w:val="24"/>
              </w:rPr>
            </w:pPr>
          </w:p>
        </w:tc>
        <w:tc>
          <w:tcPr>
            <w:tcW w:w="6109" w:type="dxa"/>
          </w:tcPr>
          <w:p w14:paraId="7B349E53" w14:textId="77777777" w:rsidR="00F35F39" w:rsidRDefault="0076537D">
            <w:pPr>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olor w:val="000000"/>
                <w:sz w:val="24"/>
                <w:szCs w:val="24"/>
              </w:rPr>
              <w:t>(</w:t>
            </w:r>
            <w:proofErr w:type="spellStart"/>
            <w:r>
              <w:rPr>
                <w:rFonts w:ascii="Arial" w:eastAsia="Arial" w:hAnsi="Arial"/>
                <w:color w:val="000000"/>
                <w:sz w:val="24"/>
                <w:szCs w:val="24"/>
              </w:rPr>
              <w:t>i</w:t>
            </w:r>
            <w:proofErr w:type="spellEnd"/>
            <w:r>
              <w:rPr>
                <w:rFonts w:ascii="Arial" w:eastAsia="Arial" w:hAnsi="Arial"/>
                <w:color w:val="000000"/>
                <w:sz w:val="24"/>
                <w:szCs w:val="24"/>
              </w:rPr>
              <w:t>)</w:t>
            </w:r>
            <w:r>
              <w:rPr>
                <w:rFonts w:ascii="Arial" w:eastAsia="Arial" w:hAnsi="Arial"/>
                <w:color w:val="000000"/>
                <w:sz w:val="24"/>
                <w:szCs w:val="24"/>
              </w:rPr>
              <w:tab/>
              <w:t>copies of all relevant documents and materials relating to such information, including copies of relevant contracts of employment (or relevant standard contracts if applied generally in respect of such employees); and</w:t>
            </w:r>
          </w:p>
        </w:tc>
      </w:tr>
      <w:tr w:rsidR="00F35F39" w14:paraId="27679F37" w14:textId="77777777">
        <w:tc>
          <w:tcPr>
            <w:tcW w:w="2917" w:type="dxa"/>
          </w:tcPr>
          <w:p w14:paraId="322784A3" w14:textId="77777777" w:rsidR="00F35F39" w:rsidRDefault="00F35F39">
            <w:pPr>
              <w:pBdr>
                <w:top w:val="nil"/>
                <w:left w:val="nil"/>
                <w:bottom w:val="nil"/>
                <w:right w:val="nil"/>
                <w:between w:val="nil"/>
              </w:pBdr>
              <w:spacing w:before="120" w:after="120"/>
              <w:ind w:left="709"/>
              <w:rPr>
                <w:rFonts w:ascii="Arial" w:eastAsia="Arial" w:hAnsi="Arial"/>
                <w:b/>
                <w:color w:val="000000"/>
                <w:sz w:val="24"/>
                <w:szCs w:val="24"/>
              </w:rPr>
            </w:pPr>
          </w:p>
          <w:p w14:paraId="31181F68" w14:textId="77777777" w:rsidR="00F35F39" w:rsidRDefault="00F35F39">
            <w:pPr>
              <w:pBdr>
                <w:top w:val="nil"/>
                <w:left w:val="nil"/>
                <w:bottom w:val="nil"/>
                <w:right w:val="nil"/>
                <w:between w:val="nil"/>
              </w:pBdr>
              <w:spacing w:before="120" w:after="120"/>
              <w:rPr>
                <w:rFonts w:ascii="Arial" w:eastAsia="Arial" w:hAnsi="Arial"/>
                <w:b/>
                <w:color w:val="000000"/>
                <w:sz w:val="24"/>
                <w:szCs w:val="24"/>
              </w:rPr>
            </w:pPr>
          </w:p>
        </w:tc>
        <w:tc>
          <w:tcPr>
            <w:tcW w:w="6109" w:type="dxa"/>
          </w:tcPr>
          <w:p w14:paraId="0579A97C" w14:textId="77777777" w:rsidR="00F35F39" w:rsidRDefault="0076537D">
            <w:pPr>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olor w:val="000000"/>
                <w:sz w:val="24"/>
                <w:szCs w:val="24"/>
              </w:rPr>
              <w:t>(j)</w:t>
            </w:r>
            <w:r>
              <w:rPr>
                <w:rFonts w:ascii="Arial" w:eastAsia="Arial" w:hAnsi="Arial"/>
                <w:color w:val="000000"/>
                <w:sz w:val="24"/>
                <w:szCs w:val="24"/>
              </w:rPr>
              <w:tab/>
              <w:t xml:space="preserve">any other "employee liability information" as such term is defined in regulation 11 of the Employment Regulations; </w:t>
            </w:r>
          </w:p>
        </w:tc>
      </w:tr>
      <w:tr w:rsidR="00F35F39" w14:paraId="7246787C" w14:textId="77777777">
        <w:tc>
          <w:tcPr>
            <w:tcW w:w="2917" w:type="dxa"/>
          </w:tcPr>
          <w:p w14:paraId="4D53B80D" w14:textId="77777777" w:rsidR="00F35F39" w:rsidRDefault="0076537D">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b/>
                <w:color w:val="000000"/>
                <w:sz w:val="24"/>
                <w:szCs w:val="24"/>
              </w:rPr>
              <w:t>"Supplier's Final Supplier Personnel List"</w:t>
            </w:r>
          </w:p>
        </w:tc>
        <w:tc>
          <w:tcPr>
            <w:tcW w:w="6109" w:type="dxa"/>
          </w:tcPr>
          <w:p w14:paraId="1FC8B7F8" w14:textId="77777777" w:rsidR="00F35F39" w:rsidRDefault="0076537D">
            <w:pPr>
              <w:pBdr>
                <w:top w:val="nil"/>
                <w:left w:val="nil"/>
                <w:bottom w:val="nil"/>
                <w:right w:val="nil"/>
                <w:between w:val="nil"/>
              </w:pBdr>
              <w:tabs>
                <w:tab w:val="left" w:pos="34"/>
              </w:tabs>
              <w:spacing w:before="120" w:after="120"/>
              <w:rPr>
                <w:rFonts w:ascii="Arial" w:eastAsia="Arial" w:hAnsi="Arial"/>
                <w:color w:val="000000"/>
                <w:sz w:val="24"/>
                <w:szCs w:val="24"/>
              </w:rPr>
            </w:pPr>
            <w:r>
              <w:rPr>
                <w:rFonts w:ascii="Arial" w:eastAsia="Arial" w:hAnsi="Arial"/>
                <w:color w:val="000000"/>
                <w:sz w:val="24"/>
                <w:szCs w:val="24"/>
              </w:rPr>
              <w:t>a list provided by the Supplier of all Supplier Staff whose will transfer under the Employment Regulations on the Service Transfer Date;</w:t>
            </w:r>
          </w:p>
        </w:tc>
      </w:tr>
      <w:tr w:rsidR="00F35F39" w14:paraId="5C127CD4" w14:textId="77777777">
        <w:tc>
          <w:tcPr>
            <w:tcW w:w="2917" w:type="dxa"/>
          </w:tcPr>
          <w:p w14:paraId="1489339F" w14:textId="77777777" w:rsidR="00F35F39" w:rsidRDefault="0076537D">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b/>
                <w:color w:val="000000"/>
                <w:sz w:val="24"/>
                <w:szCs w:val="24"/>
              </w:rPr>
              <w:t>"Supplier's Provisional Supplier Personnel List"</w:t>
            </w:r>
          </w:p>
        </w:tc>
        <w:tc>
          <w:tcPr>
            <w:tcW w:w="6109" w:type="dxa"/>
          </w:tcPr>
          <w:p w14:paraId="6E8E16ED" w14:textId="77777777" w:rsidR="00F35F39" w:rsidRDefault="0076537D">
            <w:pPr>
              <w:pBdr>
                <w:top w:val="nil"/>
                <w:left w:val="nil"/>
                <w:bottom w:val="nil"/>
                <w:right w:val="nil"/>
                <w:between w:val="nil"/>
              </w:pBdr>
              <w:spacing w:before="120" w:after="120"/>
              <w:ind w:left="34"/>
              <w:rPr>
                <w:rFonts w:ascii="Arial" w:eastAsia="Arial" w:hAnsi="Arial"/>
                <w:color w:val="000000"/>
                <w:sz w:val="24"/>
                <w:szCs w:val="24"/>
              </w:rPr>
            </w:pPr>
            <w:r>
              <w:rPr>
                <w:rFonts w:ascii="Arial" w:eastAsia="Arial" w:hAnsi="Arial"/>
                <w:color w:val="000000"/>
                <w:sz w:val="24"/>
                <w:szCs w:val="24"/>
              </w:rPr>
              <w:t>a list prepared and updated by the Supplier of all Supplier Staff who are at the date of the list  wholly or mainly engaged in or assigned to the provision of the Services or any relevant part of the Services which it is envisaged as at the date of such list will no longer be provided by the Supplier;</w:t>
            </w:r>
          </w:p>
        </w:tc>
      </w:tr>
      <w:tr w:rsidR="00F35F39" w14:paraId="0596E416" w14:textId="77777777">
        <w:tc>
          <w:tcPr>
            <w:tcW w:w="2917" w:type="dxa"/>
          </w:tcPr>
          <w:p w14:paraId="4C4BBF3C" w14:textId="77777777" w:rsidR="00F35F39" w:rsidRDefault="0076537D">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b/>
                <w:color w:val="000000"/>
                <w:sz w:val="24"/>
                <w:szCs w:val="24"/>
              </w:rPr>
              <w:t>"Term"</w:t>
            </w:r>
          </w:p>
        </w:tc>
        <w:tc>
          <w:tcPr>
            <w:tcW w:w="6109" w:type="dxa"/>
          </w:tcPr>
          <w:p w14:paraId="10F4420F" w14:textId="77777777" w:rsidR="00F35F39" w:rsidRDefault="0076537D">
            <w:p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period commencing on the Start Date and ending on the expiry of the Initial Period or any Extension Period or on earlier termination of the relevant Contract;</w:t>
            </w:r>
          </w:p>
        </w:tc>
      </w:tr>
      <w:tr w:rsidR="00F35F39" w14:paraId="39630C4E" w14:textId="77777777">
        <w:tc>
          <w:tcPr>
            <w:tcW w:w="2917" w:type="dxa"/>
          </w:tcPr>
          <w:p w14:paraId="08B8E109" w14:textId="77777777" w:rsidR="00F35F39" w:rsidRDefault="0076537D">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b/>
                <w:color w:val="000000"/>
                <w:sz w:val="24"/>
                <w:szCs w:val="24"/>
              </w:rPr>
              <w:t>"Transferring Buyer Employees"</w:t>
            </w:r>
          </w:p>
        </w:tc>
        <w:tc>
          <w:tcPr>
            <w:tcW w:w="6109" w:type="dxa"/>
          </w:tcPr>
          <w:p w14:paraId="379DBCDC" w14:textId="77777777" w:rsidR="00F35F39" w:rsidRDefault="0076537D">
            <w:p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those employees of the Buyer to whom the Employment Regulations will apply on the Relevant Transfer Date;</w:t>
            </w:r>
          </w:p>
        </w:tc>
      </w:tr>
      <w:tr w:rsidR="00F35F39" w14:paraId="0FA1292B" w14:textId="77777777">
        <w:tc>
          <w:tcPr>
            <w:tcW w:w="2917" w:type="dxa"/>
          </w:tcPr>
          <w:p w14:paraId="27DBD1A5" w14:textId="77777777" w:rsidR="00F35F39" w:rsidRDefault="0076537D">
            <w:pPr>
              <w:pBdr>
                <w:top w:val="nil"/>
                <w:left w:val="nil"/>
                <w:bottom w:val="nil"/>
                <w:right w:val="nil"/>
                <w:between w:val="nil"/>
              </w:pBdr>
              <w:spacing w:before="120" w:after="120"/>
              <w:ind w:left="709"/>
              <w:rPr>
                <w:rFonts w:ascii="Arial" w:eastAsia="Arial" w:hAnsi="Arial"/>
                <w:b/>
                <w:color w:val="000000"/>
                <w:sz w:val="24"/>
                <w:szCs w:val="24"/>
                <w:highlight w:val="green"/>
              </w:rPr>
            </w:pPr>
            <w:r>
              <w:rPr>
                <w:rFonts w:ascii="Arial" w:eastAsia="Arial" w:hAnsi="Arial"/>
                <w:b/>
                <w:color w:val="000000"/>
                <w:sz w:val="24"/>
                <w:szCs w:val="24"/>
              </w:rPr>
              <w:t>"Transferring Former Supplier Employees"</w:t>
            </w:r>
          </w:p>
        </w:tc>
        <w:tc>
          <w:tcPr>
            <w:tcW w:w="6109" w:type="dxa"/>
          </w:tcPr>
          <w:p w14:paraId="37068175" w14:textId="77777777" w:rsidR="00F35F39" w:rsidRDefault="0076537D">
            <w:pPr>
              <w:pBdr>
                <w:top w:val="nil"/>
                <w:left w:val="nil"/>
                <w:bottom w:val="nil"/>
                <w:right w:val="nil"/>
                <w:between w:val="nil"/>
              </w:pBdr>
              <w:spacing w:before="120" w:after="120"/>
              <w:rPr>
                <w:rFonts w:ascii="Arial" w:eastAsia="Arial" w:hAnsi="Arial"/>
                <w:color w:val="000000"/>
                <w:sz w:val="24"/>
                <w:szCs w:val="24"/>
                <w:highlight w:val="green"/>
              </w:rPr>
            </w:pPr>
            <w:r>
              <w:rPr>
                <w:rFonts w:ascii="Arial" w:eastAsia="Arial" w:hAnsi="Arial"/>
                <w:color w:val="000000"/>
                <w:sz w:val="24"/>
                <w:szCs w:val="24"/>
              </w:rPr>
              <w:t>in relation to a Former Supplier, those employees of the Former Supplier to whom the Employment Regulations will apply on the Relevant Transfer Date.</w:t>
            </w:r>
          </w:p>
        </w:tc>
      </w:tr>
    </w:tbl>
    <w:p w14:paraId="34B50AEC" w14:textId="77777777" w:rsidR="00F35F39" w:rsidRDefault="0076537D">
      <w:pPr>
        <w:keepNext/>
        <w:numPr>
          <w:ilvl w:val="0"/>
          <w:numId w:val="13"/>
        </w:numPr>
        <w:pBdr>
          <w:top w:val="nil"/>
          <w:left w:val="nil"/>
          <w:bottom w:val="nil"/>
          <w:right w:val="nil"/>
          <w:between w:val="nil"/>
        </w:pBdr>
        <w:spacing w:before="120"/>
        <w:rPr>
          <w:rFonts w:ascii="Arial" w:eastAsia="Arial" w:hAnsi="Arial"/>
          <w:b/>
          <w:smallCaps/>
          <w:color w:val="000000"/>
          <w:sz w:val="24"/>
          <w:szCs w:val="24"/>
        </w:rPr>
      </w:pPr>
      <w:r>
        <w:rPr>
          <w:rFonts w:ascii="Arial" w:eastAsia="Arial" w:hAnsi="Arial"/>
          <w:b/>
          <w:smallCaps/>
          <w:color w:val="000000"/>
          <w:sz w:val="24"/>
          <w:szCs w:val="24"/>
        </w:rPr>
        <w:t>INTERPRETATION</w:t>
      </w:r>
    </w:p>
    <w:p w14:paraId="2070D155" w14:textId="77777777" w:rsidR="00F35F39" w:rsidRDefault="0076537D">
      <w:pPr>
        <w:keepNext/>
        <w:numPr>
          <w:ilvl w:val="1"/>
          <w:numId w:val="13"/>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Where a provision in this Schedule imposes any obligation on the Supplier including (without limit) to comply with a requirement or provide an indemnity, undertaking or warranty, the Supplier shall procure that each of its Subcontractors shall comply with such obligation and provide such indemnity, undertaking or warranty to CCS, the Buyer, Former Supplier, Replacement Supplier or Replacement Subcontractor, as the case may be and where the Subcontractor fails to satisfy any claims under such indemnities the Supplier will be liable for satisfying any such claim as if it had provided the indemnity itself.</w:t>
      </w:r>
    </w:p>
    <w:p w14:paraId="231B7C4D" w14:textId="77777777" w:rsidR="00F35F39" w:rsidRDefault="0076537D">
      <w:pPr>
        <w:numPr>
          <w:ilvl w:val="1"/>
          <w:numId w:val="13"/>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The provisions of Paragraphs 2.1 and 2.6 of Part A, Paragraph 3.1 of Part B, Paragraphs 1.5, 1.7 and 1.9 of Part C, Part D and Paragraphs 1.4, 2.3 and 2.8 of Part E of this Schedule (together “Third Party Provisions”) confer benefits on third parties (each such person a “Third Party Beneficiary”) and are intended to be enforceable by Third Party Beneficiaries by virtue of the CRTPA.  </w:t>
      </w:r>
    </w:p>
    <w:p w14:paraId="707C6851" w14:textId="77777777" w:rsidR="00F35F39" w:rsidRDefault="0076537D">
      <w:pPr>
        <w:numPr>
          <w:ilvl w:val="1"/>
          <w:numId w:val="13"/>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Subject to Paragraph 2.2 above, a person who is not a Party to this Call-Off Contract has no right under the CRTPA to enforce any term of this Call-Off Contract but this does not affect any right or remedy of any person which exists or is available otherwise than pursuant to that Act. </w:t>
      </w:r>
    </w:p>
    <w:p w14:paraId="6FBADD2A" w14:textId="77777777" w:rsidR="00F35F39" w:rsidRDefault="0076537D">
      <w:pPr>
        <w:numPr>
          <w:ilvl w:val="1"/>
          <w:numId w:val="13"/>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lastRenderedPageBreak/>
        <w:t>No Third Party Beneficiary may enforce, or take any step to enforce, any Third Party Provision without the prior written consent of the Buyer, which may, if given, be given on and subject to such terms as the Buyer may determine.</w:t>
      </w:r>
    </w:p>
    <w:p w14:paraId="6EC38A44" w14:textId="77777777" w:rsidR="00F35F39" w:rsidRDefault="0076537D">
      <w:pPr>
        <w:numPr>
          <w:ilvl w:val="1"/>
          <w:numId w:val="13"/>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Any amendments or modifications to this Call-Off Contract may be made, and any rights created under Paragraph 2.2 above may be altered or extinguished, by the Parties without the consent of any Third Party Beneficiary.  </w:t>
      </w:r>
    </w:p>
    <w:p w14:paraId="5E9C5633" w14:textId="77777777" w:rsidR="00F35F39" w:rsidRDefault="0076537D">
      <w:pPr>
        <w:keepNext/>
        <w:numPr>
          <w:ilvl w:val="0"/>
          <w:numId w:val="13"/>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Which parts of this Schedule apply</w:t>
      </w:r>
    </w:p>
    <w:p w14:paraId="2EA3DA57" w14:textId="77777777" w:rsidR="00F35F39" w:rsidRDefault="0076537D">
      <w:pPr>
        <w:ind w:left="357"/>
        <w:rPr>
          <w:rFonts w:ascii="Arial" w:eastAsia="Arial" w:hAnsi="Arial"/>
          <w:sz w:val="24"/>
          <w:szCs w:val="24"/>
        </w:rPr>
      </w:pPr>
      <w:r>
        <w:rPr>
          <w:rFonts w:ascii="Arial" w:eastAsia="Arial" w:hAnsi="Arial"/>
          <w:sz w:val="24"/>
          <w:szCs w:val="24"/>
        </w:rPr>
        <w:t>Only the following parts of this Schedule shall apply to this Call Off Contract:</w:t>
      </w:r>
    </w:p>
    <w:p w14:paraId="5EFC0017" w14:textId="77777777" w:rsidR="00F35F39" w:rsidRDefault="0076537D">
      <w:pPr>
        <w:ind w:left="357"/>
        <w:rPr>
          <w:rFonts w:ascii="Arial" w:eastAsia="Arial" w:hAnsi="Arial"/>
          <w:sz w:val="24"/>
          <w:szCs w:val="24"/>
        </w:rPr>
      </w:pPr>
      <w:r>
        <w:rPr>
          <w:rFonts w:ascii="Arial" w:eastAsia="Arial" w:hAnsi="Arial"/>
          <w:b/>
          <w:sz w:val="24"/>
          <w:szCs w:val="24"/>
        </w:rPr>
        <w:t>[</w:t>
      </w:r>
      <w:r>
        <w:rPr>
          <w:rFonts w:ascii="Arial" w:eastAsia="Arial" w:hAnsi="Arial"/>
          <w:b/>
          <w:sz w:val="24"/>
          <w:szCs w:val="24"/>
          <w:highlight w:val="yellow"/>
        </w:rPr>
        <w:t>Delete</w:t>
      </w:r>
      <w:r>
        <w:rPr>
          <w:rFonts w:ascii="Arial" w:eastAsia="Arial" w:hAnsi="Arial"/>
          <w:sz w:val="24"/>
          <w:szCs w:val="24"/>
        </w:rPr>
        <w:t xml:space="preserve"> if not applicable to the Call Off Contract]</w:t>
      </w:r>
    </w:p>
    <w:p w14:paraId="049C4CF3" w14:textId="77777777" w:rsidR="00F35F39" w:rsidRDefault="0076537D">
      <w:pPr>
        <w:numPr>
          <w:ilvl w:val="1"/>
          <w:numId w:val="15"/>
        </w:numPr>
        <w:spacing w:after="0" w:line="259" w:lineRule="auto"/>
        <w:rPr>
          <w:rFonts w:ascii="Arial" w:eastAsia="Arial" w:hAnsi="Arial"/>
          <w:sz w:val="24"/>
          <w:szCs w:val="24"/>
        </w:rPr>
      </w:pPr>
      <w:r>
        <w:rPr>
          <w:rFonts w:ascii="Arial" w:eastAsia="Arial" w:hAnsi="Arial"/>
          <w:sz w:val="24"/>
          <w:szCs w:val="24"/>
        </w:rPr>
        <w:t>[Part A (Staff Transfer at the Start Date – Outsourcing from the Buyer)]</w:t>
      </w:r>
    </w:p>
    <w:p w14:paraId="7B40AA8A" w14:textId="77777777" w:rsidR="00F35F39" w:rsidRDefault="0076537D">
      <w:pPr>
        <w:numPr>
          <w:ilvl w:val="1"/>
          <w:numId w:val="15"/>
        </w:numPr>
        <w:spacing w:after="0" w:line="259" w:lineRule="auto"/>
        <w:rPr>
          <w:rFonts w:ascii="Arial" w:eastAsia="Arial" w:hAnsi="Arial"/>
          <w:sz w:val="24"/>
          <w:szCs w:val="24"/>
        </w:rPr>
      </w:pPr>
      <w:r>
        <w:rPr>
          <w:rFonts w:ascii="Arial" w:eastAsia="Arial" w:hAnsi="Arial"/>
          <w:sz w:val="24"/>
          <w:szCs w:val="24"/>
        </w:rPr>
        <w:t>[Part B (Staff Transfer at the Start Date – Transfer from a Former Supplier)]</w:t>
      </w:r>
    </w:p>
    <w:p w14:paraId="7ADB6D09" w14:textId="77777777" w:rsidR="00F35F39" w:rsidRDefault="0076537D">
      <w:pPr>
        <w:numPr>
          <w:ilvl w:val="1"/>
          <w:numId w:val="15"/>
        </w:numPr>
        <w:spacing w:after="0" w:line="259" w:lineRule="auto"/>
        <w:rPr>
          <w:rFonts w:ascii="Arial" w:eastAsia="Arial" w:hAnsi="Arial"/>
          <w:sz w:val="24"/>
          <w:szCs w:val="24"/>
        </w:rPr>
      </w:pPr>
      <w:r>
        <w:rPr>
          <w:rFonts w:ascii="Arial" w:eastAsia="Arial" w:hAnsi="Arial"/>
          <w:sz w:val="24"/>
          <w:szCs w:val="24"/>
        </w:rPr>
        <w:t>[Part C (No Staff Transfer on the Start Date)]</w:t>
      </w:r>
    </w:p>
    <w:p w14:paraId="4EF2EAAE" w14:textId="77777777" w:rsidR="00F35F39" w:rsidRDefault="0076537D">
      <w:pPr>
        <w:numPr>
          <w:ilvl w:val="1"/>
          <w:numId w:val="15"/>
        </w:numPr>
        <w:spacing w:after="0" w:line="259" w:lineRule="auto"/>
        <w:rPr>
          <w:rFonts w:ascii="Arial" w:eastAsia="Arial" w:hAnsi="Arial"/>
          <w:sz w:val="24"/>
          <w:szCs w:val="24"/>
        </w:rPr>
      </w:pPr>
      <w:r>
        <w:rPr>
          <w:rFonts w:ascii="Arial" w:eastAsia="Arial" w:hAnsi="Arial"/>
          <w:sz w:val="24"/>
          <w:szCs w:val="24"/>
        </w:rPr>
        <w:t xml:space="preserve">[Part D (Pensions) </w:t>
      </w:r>
      <w:r>
        <w:rPr>
          <w:rFonts w:ascii="Arial" w:eastAsia="Arial" w:hAnsi="Arial"/>
          <w:sz w:val="24"/>
          <w:szCs w:val="24"/>
        </w:rPr>
        <w:tab/>
      </w:r>
      <w:r>
        <w:rPr>
          <w:rFonts w:ascii="Arial" w:eastAsia="Arial" w:hAnsi="Arial"/>
          <w:sz w:val="24"/>
          <w:szCs w:val="24"/>
        </w:rPr>
        <w:tab/>
      </w:r>
      <w:r>
        <w:rPr>
          <w:rFonts w:ascii="Arial" w:eastAsia="Arial" w:hAnsi="Arial"/>
          <w:sz w:val="24"/>
          <w:szCs w:val="24"/>
        </w:rPr>
        <w:tab/>
      </w:r>
      <w:r>
        <w:rPr>
          <w:rFonts w:ascii="Arial" w:eastAsia="Arial" w:hAnsi="Arial"/>
          <w:sz w:val="24"/>
          <w:szCs w:val="24"/>
        </w:rPr>
        <w:tab/>
      </w:r>
      <w:r>
        <w:rPr>
          <w:rFonts w:ascii="Arial" w:eastAsia="Arial" w:hAnsi="Arial"/>
          <w:sz w:val="24"/>
          <w:szCs w:val="24"/>
        </w:rPr>
        <w:tab/>
      </w:r>
      <w:r>
        <w:rPr>
          <w:rFonts w:ascii="Arial" w:eastAsia="Arial" w:hAnsi="Arial"/>
          <w:sz w:val="24"/>
          <w:szCs w:val="24"/>
        </w:rPr>
        <w:tab/>
        <w:t>]</w:t>
      </w:r>
    </w:p>
    <w:p w14:paraId="5821EB27" w14:textId="77777777" w:rsidR="00F35F39" w:rsidRDefault="0076537D">
      <w:pPr>
        <w:numPr>
          <w:ilvl w:val="3"/>
          <w:numId w:val="15"/>
        </w:numPr>
        <w:spacing w:after="0" w:line="259" w:lineRule="auto"/>
        <w:rPr>
          <w:rFonts w:ascii="Arial" w:eastAsia="Arial" w:hAnsi="Arial"/>
          <w:sz w:val="24"/>
          <w:szCs w:val="24"/>
        </w:rPr>
      </w:pPr>
      <w:r>
        <w:rPr>
          <w:rFonts w:ascii="Arial" w:eastAsia="Arial" w:hAnsi="Arial"/>
          <w:sz w:val="24"/>
          <w:szCs w:val="24"/>
        </w:rPr>
        <w:t xml:space="preserve">[ - Annex D1 (CSPS) </w:t>
      </w:r>
      <w:r>
        <w:rPr>
          <w:rFonts w:ascii="Arial" w:eastAsia="Arial" w:hAnsi="Arial"/>
          <w:sz w:val="24"/>
          <w:szCs w:val="24"/>
        </w:rPr>
        <w:tab/>
      </w:r>
      <w:r>
        <w:rPr>
          <w:rFonts w:ascii="Arial" w:eastAsia="Arial" w:hAnsi="Arial"/>
          <w:sz w:val="24"/>
          <w:szCs w:val="24"/>
        </w:rPr>
        <w:tab/>
      </w:r>
      <w:r>
        <w:rPr>
          <w:rFonts w:ascii="Arial" w:eastAsia="Arial" w:hAnsi="Arial"/>
          <w:sz w:val="24"/>
          <w:szCs w:val="24"/>
        </w:rPr>
        <w:tab/>
        <w:t>]</w:t>
      </w:r>
    </w:p>
    <w:p w14:paraId="28471E1F" w14:textId="77777777" w:rsidR="00F35F39" w:rsidRDefault="0076537D">
      <w:pPr>
        <w:numPr>
          <w:ilvl w:val="3"/>
          <w:numId w:val="15"/>
        </w:numPr>
        <w:spacing w:after="0" w:line="259" w:lineRule="auto"/>
        <w:rPr>
          <w:rFonts w:ascii="Arial" w:eastAsia="Arial" w:hAnsi="Arial"/>
          <w:sz w:val="24"/>
          <w:szCs w:val="24"/>
        </w:rPr>
      </w:pPr>
      <w:r>
        <w:rPr>
          <w:rFonts w:ascii="Arial" w:eastAsia="Arial" w:hAnsi="Arial"/>
          <w:sz w:val="24"/>
          <w:szCs w:val="24"/>
        </w:rPr>
        <w:t xml:space="preserve">[ - Annex D2 (NHSPS) </w:t>
      </w:r>
      <w:r>
        <w:rPr>
          <w:rFonts w:ascii="Arial" w:eastAsia="Arial" w:hAnsi="Arial"/>
          <w:sz w:val="24"/>
          <w:szCs w:val="24"/>
        </w:rPr>
        <w:tab/>
      </w:r>
      <w:r>
        <w:rPr>
          <w:rFonts w:ascii="Arial" w:eastAsia="Arial" w:hAnsi="Arial"/>
          <w:sz w:val="24"/>
          <w:szCs w:val="24"/>
        </w:rPr>
        <w:tab/>
      </w:r>
      <w:r>
        <w:rPr>
          <w:rFonts w:ascii="Arial" w:eastAsia="Arial" w:hAnsi="Arial"/>
          <w:sz w:val="24"/>
          <w:szCs w:val="24"/>
        </w:rPr>
        <w:tab/>
        <w:t>]</w:t>
      </w:r>
    </w:p>
    <w:p w14:paraId="4B5B54C4" w14:textId="77777777" w:rsidR="00F35F39" w:rsidRDefault="0076537D">
      <w:pPr>
        <w:numPr>
          <w:ilvl w:val="3"/>
          <w:numId w:val="15"/>
        </w:numPr>
        <w:spacing w:after="0" w:line="259" w:lineRule="auto"/>
        <w:rPr>
          <w:rFonts w:ascii="Arial" w:eastAsia="Arial" w:hAnsi="Arial"/>
          <w:sz w:val="24"/>
          <w:szCs w:val="24"/>
        </w:rPr>
      </w:pPr>
      <w:r>
        <w:rPr>
          <w:rFonts w:ascii="Arial" w:eastAsia="Arial" w:hAnsi="Arial"/>
          <w:sz w:val="24"/>
          <w:szCs w:val="24"/>
        </w:rPr>
        <w:t>[ - Annex D3 (LGPS)</w:t>
      </w:r>
      <w:r>
        <w:rPr>
          <w:rFonts w:ascii="Arial" w:eastAsia="Arial" w:hAnsi="Arial"/>
          <w:sz w:val="24"/>
          <w:szCs w:val="24"/>
        </w:rPr>
        <w:tab/>
      </w:r>
      <w:r>
        <w:rPr>
          <w:rFonts w:ascii="Arial" w:eastAsia="Arial" w:hAnsi="Arial"/>
          <w:sz w:val="24"/>
          <w:szCs w:val="24"/>
        </w:rPr>
        <w:tab/>
      </w:r>
      <w:r>
        <w:rPr>
          <w:rFonts w:ascii="Arial" w:eastAsia="Arial" w:hAnsi="Arial"/>
          <w:sz w:val="24"/>
          <w:szCs w:val="24"/>
        </w:rPr>
        <w:tab/>
        <w:t>]</w:t>
      </w:r>
    </w:p>
    <w:p w14:paraId="09CFC450" w14:textId="77777777" w:rsidR="00F35F39" w:rsidRDefault="0076537D">
      <w:pPr>
        <w:numPr>
          <w:ilvl w:val="3"/>
          <w:numId w:val="15"/>
        </w:numPr>
        <w:spacing w:after="0" w:line="259" w:lineRule="auto"/>
        <w:rPr>
          <w:rFonts w:ascii="Arial" w:eastAsia="Arial" w:hAnsi="Arial"/>
          <w:sz w:val="24"/>
          <w:szCs w:val="24"/>
        </w:rPr>
      </w:pPr>
      <w:r>
        <w:rPr>
          <w:rFonts w:ascii="Arial" w:eastAsia="Arial" w:hAnsi="Arial"/>
          <w:sz w:val="24"/>
          <w:szCs w:val="24"/>
        </w:rPr>
        <w:t>[ - Annex D4 (Other Schemes)</w:t>
      </w:r>
      <w:r>
        <w:rPr>
          <w:rFonts w:ascii="Arial" w:eastAsia="Arial" w:hAnsi="Arial"/>
          <w:sz w:val="24"/>
          <w:szCs w:val="24"/>
        </w:rPr>
        <w:tab/>
      </w:r>
      <w:r>
        <w:rPr>
          <w:rFonts w:ascii="Arial" w:eastAsia="Arial" w:hAnsi="Arial"/>
          <w:sz w:val="24"/>
          <w:szCs w:val="24"/>
        </w:rPr>
        <w:tab/>
        <w:t>]</w:t>
      </w:r>
    </w:p>
    <w:p w14:paraId="02AAF421" w14:textId="77777777" w:rsidR="00F35F39" w:rsidRDefault="0076537D">
      <w:pPr>
        <w:numPr>
          <w:ilvl w:val="1"/>
          <w:numId w:val="15"/>
        </w:numPr>
        <w:spacing w:after="0" w:line="259" w:lineRule="auto"/>
        <w:rPr>
          <w:rFonts w:ascii="Arial" w:eastAsia="Arial" w:hAnsi="Arial"/>
          <w:sz w:val="24"/>
          <w:szCs w:val="24"/>
        </w:rPr>
      </w:pPr>
      <w:r>
        <w:rPr>
          <w:rFonts w:ascii="Arial" w:eastAsia="Arial" w:hAnsi="Arial"/>
          <w:sz w:val="24"/>
          <w:szCs w:val="24"/>
        </w:rPr>
        <w:t>Part E (Staff Transfer on Exit)</w:t>
      </w:r>
    </w:p>
    <w:p w14:paraId="736438E7" w14:textId="77777777" w:rsidR="00F35F39" w:rsidRDefault="00F35F39">
      <w:pPr>
        <w:ind w:left="357"/>
        <w:rPr>
          <w:rFonts w:ascii="Arial" w:eastAsia="Arial" w:hAnsi="Arial"/>
          <w:sz w:val="24"/>
          <w:szCs w:val="24"/>
        </w:rPr>
      </w:pPr>
    </w:p>
    <w:p w14:paraId="66E7E87C" w14:textId="77777777" w:rsidR="00F35F39" w:rsidRDefault="0076537D">
      <w:pPr>
        <w:pStyle w:val="Heading1"/>
        <w:keepNext/>
        <w:jc w:val="both"/>
        <w:rPr>
          <w:rFonts w:ascii="Arial Bold" w:eastAsia="Arial Bold" w:hAnsi="Arial Bold" w:cs="Arial Bold"/>
          <w:sz w:val="36"/>
          <w:szCs w:val="36"/>
        </w:rPr>
      </w:pPr>
      <w:r>
        <w:br w:type="page"/>
      </w:r>
      <w:r>
        <w:rPr>
          <w:rFonts w:ascii="Arial Bold" w:eastAsia="Arial Bold" w:hAnsi="Arial Bold" w:cs="Arial Bold"/>
          <w:sz w:val="36"/>
          <w:szCs w:val="36"/>
        </w:rPr>
        <w:lastRenderedPageBreak/>
        <w:t xml:space="preserve">Part A: Staff Transfer at the Start Date </w:t>
      </w:r>
    </w:p>
    <w:p w14:paraId="69CEC379" w14:textId="77777777" w:rsidR="00F35F39" w:rsidRDefault="0076537D">
      <w:pPr>
        <w:pStyle w:val="Heading1"/>
        <w:keepNext/>
        <w:jc w:val="both"/>
        <w:rPr>
          <w:rFonts w:ascii="Arial Bold" w:eastAsia="Arial Bold" w:hAnsi="Arial Bold" w:cs="Arial Bold"/>
          <w:sz w:val="24"/>
          <w:szCs w:val="24"/>
        </w:rPr>
      </w:pPr>
      <w:r>
        <w:rPr>
          <w:rFonts w:ascii="Arial Bold" w:eastAsia="Arial Bold" w:hAnsi="Arial Bold" w:cs="Arial Bold"/>
          <w:sz w:val="36"/>
          <w:szCs w:val="36"/>
        </w:rPr>
        <w:t xml:space="preserve">Outsourcing from the Buyer </w:t>
      </w:r>
    </w:p>
    <w:p w14:paraId="3C2DDE69" w14:textId="77777777" w:rsidR="00F35F39" w:rsidRDefault="0076537D">
      <w:pPr>
        <w:keepNext/>
        <w:numPr>
          <w:ilvl w:val="0"/>
          <w:numId w:val="16"/>
        </w:numPr>
        <w:pBdr>
          <w:top w:val="nil"/>
          <w:left w:val="nil"/>
          <w:bottom w:val="nil"/>
          <w:right w:val="nil"/>
          <w:between w:val="nil"/>
        </w:pBdr>
        <w:spacing w:before="120"/>
        <w:ind w:left="357" w:hanging="357"/>
        <w:rPr>
          <w:rFonts w:ascii="Arial Bold" w:eastAsia="Arial Bold" w:hAnsi="Arial Bold" w:cs="Arial Bold"/>
          <w:b/>
          <w:color w:val="000000"/>
          <w:sz w:val="24"/>
          <w:szCs w:val="24"/>
        </w:rPr>
      </w:pPr>
      <w:bookmarkStart w:id="1" w:name="_heading=h.30j0zll" w:colFirst="0" w:colLast="0"/>
      <w:bookmarkEnd w:id="1"/>
      <w:r>
        <w:rPr>
          <w:rFonts w:ascii="Arial Bold" w:eastAsia="Arial Bold" w:hAnsi="Arial Bold" w:cs="Arial Bold"/>
          <w:b/>
          <w:color w:val="000000"/>
          <w:sz w:val="24"/>
          <w:szCs w:val="24"/>
        </w:rPr>
        <w:t>What is a relevant transfer</w:t>
      </w:r>
      <w:bookmarkStart w:id="2" w:name="bookmark=id.1fob9te" w:colFirst="0" w:colLast="0"/>
      <w:bookmarkEnd w:id="2"/>
    </w:p>
    <w:p w14:paraId="46BA39BC" w14:textId="77777777" w:rsidR="00F35F39" w:rsidRDefault="0076537D">
      <w:pPr>
        <w:keepNext/>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Buyer and the Supplier agree that:</w:t>
      </w:r>
    </w:p>
    <w:p w14:paraId="7145C819" w14:textId="77777777" w:rsidR="00F35F39" w:rsidRDefault="0076537D">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commencement of the provision of the Services or of each relevant part of the Services will be a Relevant Transfer in relation to the Transferring Buyer Employees; and</w:t>
      </w:r>
    </w:p>
    <w:p w14:paraId="1D1A4904" w14:textId="77777777" w:rsidR="00F35F39" w:rsidRDefault="0076537D">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as a result of the operation of the Employment Regulations, the contracts of employment between the Buyer and the Transferring Buyer Employees (except in relation to any terms disapplied through operation of regulation 10(2) of the Employment Regulations) will have effect on and from the Relevant Transfer Date as if originally made between the Supplier and/or any Sub-contractor and each such Transferring Buyer Employee.</w:t>
      </w:r>
    </w:p>
    <w:p w14:paraId="146FE184" w14:textId="77777777" w:rsidR="00F35F39" w:rsidRDefault="0076537D">
      <w:pPr>
        <w:numPr>
          <w:ilvl w:val="1"/>
          <w:numId w:val="16"/>
        </w:numPr>
        <w:pBdr>
          <w:top w:val="nil"/>
          <w:left w:val="nil"/>
          <w:bottom w:val="nil"/>
          <w:right w:val="nil"/>
          <w:between w:val="nil"/>
        </w:pBdr>
        <w:tabs>
          <w:tab w:val="left" w:pos="993"/>
          <w:tab w:val="left" w:pos="709"/>
        </w:tabs>
        <w:spacing w:before="120" w:after="120"/>
        <w:ind w:left="709" w:hanging="709"/>
        <w:rPr>
          <w:rFonts w:ascii="Arial" w:eastAsia="Arial" w:hAnsi="Arial"/>
          <w:color w:val="000000"/>
          <w:sz w:val="24"/>
          <w:szCs w:val="24"/>
        </w:rPr>
      </w:pPr>
      <w:r>
        <w:rPr>
          <w:rFonts w:ascii="Arial" w:eastAsia="Arial" w:hAnsi="Arial"/>
          <w:color w:val="000000"/>
          <w:sz w:val="24"/>
          <w:szCs w:val="24"/>
        </w:rPr>
        <w:t>The Buyer shall comply with all its obligations under the Employment Regulations and shall perform and discharge all its obligations in respect of the Transferring Buyer Employees in respect of the period arising up to (but not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roofErr w:type="spellStart"/>
      <w:r>
        <w:rPr>
          <w:rFonts w:ascii="Arial" w:eastAsia="Arial" w:hAnsi="Arial"/>
          <w:color w:val="000000"/>
          <w:sz w:val="24"/>
          <w:szCs w:val="24"/>
        </w:rPr>
        <w:t>i</w:t>
      </w:r>
      <w:proofErr w:type="spellEnd"/>
      <w:r>
        <w:rPr>
          <w:rFonts w:ascii="Arial" w:eastAsia="Arial" w:hAnsi="Arial"/>
          <w:color w:val="000000"/>
          <w:sz w:val="24"/>
          <w:szCs w:val="24"/>
        </w:rPr>
        <w:t>) the Buyer; and (ii) the Supplier and/or any Subcontractor (as appropriate).</w:t>
      </w:r>
    </w:p>
    <w:p w14:paraId="232B4E3C" w14:textId="77777777" w:rsidR="00F35F39" w:rsidRDefault="0076537D">
      <w:pPr>
        <w:keepNext/>
        <w:numPr>
          <w:ilvl w:val="0"/>
          <w:numId w:val="16"/>
        </w:numPr>
        <w:pBdr>
          <w:top w:val="nil"/>
          <w:left w:val="nil"/>
          <w:bottom w:val="nil"/>
          <w:right w:val="nil"/>
          <w:between w:val="nil"/>
        </w:pBdr>
        <w:spacing w:before="120"/>
        <w:rPr>
          <w:rFonts w:ascii="Arial Bold" w:eastAsia="Arial Bold" w:hAnsi="Arial Bold" w:cs="Arial Bold"/>
          <w:b/>
          <w:color w:val="000000"/>
          <w:sz w:val="24"/>
          <w:szCs w:val="24"/>
        </w:rPr>
      </w:pPr>
      <w:bookmarkStart w:id="3" w:name="_heading=h.3znysh7" w:colFirst="0" w:colLast="0"/>
      <w:bookmarkEnd w:id="3"/>
      <w:r>
        <w:rPr>
          <w:rFonts w:ascii="Arial Bold" w:eastAsia="Arial Bold" w:hAnsi="Arial Bold" w:cs="Arial Bold"/>
          <w:b/>
          <w:color w:val="000000"/>
          <w:sz w:val="24"/>
          <w:szCs w:val="24"/>
        </w:rPr>
        <w:t xml:space="preserve">Indemnities the Buyer must give </w:t>
      </w:r>
    </w:p>
    <w:p w14:paraId="4F652000" w14:textId="77777777" w:rsidR="00F35F39" w:rsidRDefault="0076537D">
      <w:pPr>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4" w:name="_heading=h.2et92p0" w:colFirst="0" w:colLast="0"/>
      <w:bookmarkEnd w:id="4"/>
      <w:r>
        <w:rPr>
          <w:rFonts w:ascii="Arial" w:eastAsia="Arial" w:hAnsi="Arial"/>
          <w:color w:val="000000"/>
          <w:sz w:val="24"/>
          <w:szCs w:val="24"/>
        </w:rPr>
        <w:t xml:space="preserve">Subject to Paragraph 2.2, the Buyer shall indemnify the Supplier and any Subcontractor against any Employee Liabilities arising from or as a result of: </w:t>
      </w:r>
    </w:p>
    <w:p w14:paraId="75896F6C" w14:textId="77777777" w:rsidR="00F35F39" w:rsidRDefault="0076537D">
      <w:pPr>
        <w:numPr>
          <w:ilvl w:val="2"/>
          <w:numId w:val="16"/>
        </w:numPr>
        <w:pBdr>
          <w:top w:val="nil"/>
          <w:left w:val="nil"/>
          <w:bottom w:val="nil"/>
          <w:right w:val="nil"/>
          <w:between w:val="nil"/>
        </w:pBdr>
        <w:spacing w:before="120" w:after="120"/>
        <w:rPr>
          <w:rFonts w:ascii="Arial" w:eastAsia="Arial" w:hAnsi="Arial"/>
          <w:color w:val="000000"/>
          <w:sz w:val="24"/>
          <w:szCs w:val="24"/>
        </w:rPr>
      </w:pPr>
      <w:bookmarkStart w:id="5" w:name="_heading=h.tyjcwt" w:colFirst="0" w:colLast="0"/>
      <w:bookmarkEnd w:id="5"/>
      <w:r>
        <w:rPr>
          <w:rFonts w:ascii="Arial" w:eastAsia="Arial" w:hAnsi="Arial"/>
          <w:color w:val="000000"/>
          <w:sz w:val="24"/>
          <w:szCs w:val="24"/>
        </w:rPr>
        <w:t xml:space="preserve"> any act or omission by the Buyer in respect of any Transferring Buyer Employee or any appropriate employee representative (as defined in the Employment Regulations) of any Transferring Buyer Employee occurring before the Relevant Transfer Date; </w:t>
      </w:r>
    </w:p>
    <w:p w14:paraId="348470C1" w14:textId="77777777" w:rsidR="00F35F39" w:rsidRDefault="0076537D">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breach or non-observance by the Buyer before the Relevant Transfer Date of:</w:t>
      </w:r>
    </w:p>
    <w:p w14:paraId="57E672F4" w14:textId="77777777" w:rsidR="00F35F39" w:rsidRDefault="0076537D">
      <w:pPr>
        <w:numPr>
          <w:ilvl w:val="3"/>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any collective agreement applicable to the Transferring Buyer Employees; and/or </w:t>
      </w:r>
    </w:p>
    <w:p w14:paraId="3ED4E87C" w14:textId="77777777" w:rsidR="00F35F39" w:rsidRDefault="0076537D">
      <w:pPr>
        <w:numPr>
          <w:ilvl w:val="3"/>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custom or practice in respect of any Transferring Buyer Employees which the Buyer is contractually bound to honour;</w:t>
      </w:r>
    </w:p>
    <w:p w14:paraId="08E7C1D4" w14:textId="77777777" w:rsidR="00F35F39" w:rsidRDefault="0076537D">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lastRenderedPageBreak/>
        <w:t>any claim by any trade union or other body or person representing the Transferring Buyer Employees arising from or connected with any failure by the Buyer to comply with any legal obligation to such trade union, body or person arising before the Relevant Transfer Date;</w:t>
      </w:r>
    </w:p>
    <w:p w14:paraId="3E03A141" w14:textId="77777777" w:rsidR="00F35F39" w:rsidRDefault="0076537D">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proceeding, claim or demand by HMRC or other statutory authority in respect of any financial obligation including, but not limited to, PAYE and primary and secondary national insurance contributions:</w:t>
      </w:r>
    </w:p>
    <w:p w14:paraId="2C4E2025" w14:textId="77777777" w:rsidR="00F35F39" w:rsidRDefault="0076537D">
      <w:pPr>
        <w:numPr>
          <w:ilvl w:val="3"/>
          <w:numId w:val="16"/>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in relation to any Transferring Buyer Employee, to the extent that the proceeding, claim or demand by HMRC or other statutory authority relates to financial obligations arising before the Relevant Transfer Date; and</w:t>
      </w:r>
    </w:p>
    <w:p w14:paraId="4C33E3A3" w14:textId="77777777" w:rsidR="00F35F39" w:rsidRDefault="0076537D">
      <w:pPr>
        <w:numPr>
          <w:ilvl w:val="3"/>
          <w:numId w:val="16"/>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in relation to any employee who is not a Transferring Buyer Employee and in respect of whom it is later alleged or determined that the Employment Regulations applied so as to transfer his/her employment from the Buyer to the Supplier and/or any Subcontractor as appropriate, to the extent that the proceeding, claim or demand by the HMRC or other statutory authority relates to financial obligations arising before the Relevant Transfer Date.</w:t>
      </w:r>
    </w:p>
    <w:p w14:paraId="7DB0C6E4" w14:textId="77777777" w:rsidR="00F35F39" w:rsidRDefault="0076537D">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 failure of the Buyer to discharge, or procure the discharge of, all wages, salaries and all other benefits and all PAYE tax deductions and national insurance contributions relating to the Transferring Buyer Employees arising before the Relevant Transfer Date;</w:t>
      </w:r>
    </w:p>
    <w:p w14:paraId="01CB2180" w14:textId="77777777" w:rsidR="00F35F39" w:rsidRDefault="0076537D">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made by or in respect of any person employed or formerly employed by the Buyer other than a Transferring Buyer Employee for whom it is alleged the Supplier and/or any Subcontractor as appropriate may be liable by virtue of the Employment Regulations and/or the Acquired Rights Directive; and</w:t>
      </w:r>
    </w:p>
    <w:p w14:paraId="68D0EAF6" w14:textId="77777777" w:rsidR="00F35F39" w:rsidRDefault="0076537D">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made by or in respect of a Transferring Buyer Employee or any appropriate employee representative (as defined in the Employment Regulations) of any Transferring Buyer Employee relating to any act or omission of the Buyer in relation to its obligations under regulation 13 of the Employment Regulations, except to the extent that the liability arises from the failure by the Supplier or any Subcontractor to comply with regulation 13(4) of the Employment Regulations.</w:t>
      </w:r>
    </w:p>
    <w:p w14:paraId="31D2D9CE" w14:textId="77777777" w:rsidR="00F35F39" w:rsidRDefault="0076537D">
      <w:pPr>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6" w:name="_heading=h.3dy6vkm" w:colFirst="0" w:colLast="0"/>
      <w:bookmarkEnd w:id="6"/>
      <w:r>
        <w:rPr>
          <w:rFonts w:ascii="Arial" w:eastAsia="Arial" w:hAnsi="Arial"/>
          <w:color w:val="000000"/>
          <w:sz w:val="24"/>
          <w:szCs w:val="24"/>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any Employee Liabilities: </w:t>
      </w:r>
    </w:p>
    <w:p w14:paraId="00FA76AD" w14:textId="77777777" w:rsidR="00F35F39" w:rsidRDefault="0076537D">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lastRenderedPageBreak/>
        <w:t>arising out of the resignation of any Transferring Buyer Employee before the Relevant Transfer Date on account of substantial detrimental changes to his/her working conditions proposed by the Supplier and/or any Subcontractor to occur in the period from (and including) the Relevant Transfer Date; or</w:t>
      </w:r>
    </w:p>
    <w:p w14:paraId="23A77F39" w14:textId="77777777" w:rsidR="00F35F39" w:rsidRDefault="0076537D">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arising from the failure by the Supplier or any Subcontractor to comply with its obligations under the Employment Regulations.</w:t>
      </w:r>
    </w:p>
    <w:p w14:paraId="6BC88645" w14:textId="77777777" w:rsidR="00F35F39" w:rsidRDefault="00F35F39">
      <w:pPr>
        <w:pBdr>
          <w:top w:val="nil"/>
          <w:left w:val="nil"/>
          <w:bottom w:val="nil"/>
          <w:right w:val="nil"/>
          <w:between w:val="nil"/>
        </w:pBdr>
        <w:tabs>
          <w:tab w:val="left" w:pos="993"/>
        </w:tabs>
        <w:spacing w:before="120" w:after="120"/>
        <w:ind w:left="720" w:hanging="720"/>
        <w:rPr>
          <w:rFonts w:ascii="Arial" w:eastAsia="Arial" w:hAnsi="Arial"/>
          <w:color w:val="000000"/>
          <w:sz w:val="24"/>
          <w:szCs w:val="24"/>
        </w:rPr>
      </w:pPr>
    </w:p>
    <w:p w14:paraId="06D4053C" w14:textId="77777777" w:rsidR="00F35F39" w:rsidRDefault="0076537D">
      <w:pPr>
        <w:keepNext/>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7" w:name="_heading=h.1t3h5sf" w:colFirst="0" w:colLast="0"/>
      <w:bookmarkEnd w:id="7"/>
      <w:r>
        <w:rPr>
          <w:rFonts w:ascii="Arial" w:eastAsia="Arial" w:hAnsi="Arial"/>
          <w:color w:val="000000"/>
          <w:sz w:val="24"/>
          <w:szCs w:val="24"/>
        </w:rPr>
        <w:t>If any person who is not identified by the Buyer as a Transferring Buyer Employee claims, or it is determined in relation to any person who is not identified by the Buyer as a Transferring Buyer Employee, that his/her contract of employment has been transferred from the Buyer to the Supplier and/or any Subcontractor pursuant to the Employment Regulations or the Acquired Rights Directive then:</w:t>
      </w:r>
    </w:p>
    <w:p w14:paraId="0ED989EB" w14:textId="77777777" w:rsidR="00F35F39" w:rsidRDefault="0076537D">
      <w:pPr>
        <w:numPr>
          <w:ilvl w:val="2"/>
          <w:numId w:val="16"/>
        </w:numPr>
        <w:pBdr>
          <w:top w:val="nil"/>
          <w:left w:val="nil"/>
          <w:bottom w:val="nil"/>
          <w:right w:val="nil"/>
          <w:between w:val="nil"/>
        </w:pBdr>
        <w:spacing w:before="120" w:after="120"/>
        <w:rPr>
          <w:rFonts w:ascii="Arial" w:eastAsia="Arial" w:hAnsi="Arial"/>
          <w:color w:val="000000"/>
          <w:sz w:val="24"/>
          <w:szCs w:val="24"/>
        </w:rPr>
      </w:pPr>
      <w:bookmarkStart w:id="8" w:name="_heading=h.4d34og8" w:colFirst="0" w:colLast="0"/>
      <w:bookmarkEnd w:id="8"/>
      <w:r>
        <w:rPr>
          <w:rFonts w:ascii="Arial" w:eastAsia="Arial" w:hAnsi="Arial"/>
          <w:color w:val="000000"/>
          <w:sz w:val="24"/>
          <w:szCs w:val="24"/>
        </w:rPr>
        <w:t>the Supplier shall, or shall procure that the Subcontractor shall, within 5 Working Days of becoming aware of that fact, notify the Buyer in writing; and</w:t>
      </w:r>
    </w:p>
    <w:p w14:paraId="4A8CBBE9" w14:textId="77777777" w:rsidR="00F35F39" w:rsidRDefault="0076537D">
      <w:pPr>
        <w:numPr>
          <w:ilvl w:val="2"/>
          <w:numId w:val="16"/>
        </w:numPr>
        <w:pBdr>
          <w:top w:val="nil"/>
          <w:left w:val="nil"/>
          <w:bottom w:val="nil"/>
          <w:right w:val="nil"/>
          <w:between w:val="nil"/>
        </w:pBdr>
        <w:spacing w:before="120" w:after="120"/>
        <w:rPr>
          <w:rFonts w:ascii="Arial" w:eastAsia="Arial" w:hAnsi="Arial"/>
          <w:color w:val="000000"/>
          <w:sz w:val="24"/>
          <w:szCs w:val="24"/>
        </w:rPr>
      </w:pPr>
      <w:bookmarkStart w:id="9" w:name="_heading=h.2s8eyo1" w:colFirst="0" w:colLast="0"/>
      <w:bookmarkEnd w:id="9"/>
      <w:r>
        <w:rPr>
          <w:rFonts w:ascii="Arial" w:eastAsia="Arial" w:hAnsi="Arial"/>
          <w:color w:val="000000"/>
          <w:sz w:val="24"/>
          <w:szCs w:val="24"/>
        </w:rPr>
        <w:t>the Buyer may offer (or may procure that a third party may offer) employment to such person, or take such other reasonable steps as the Buyer considers appropriate to deal with the matter provided always that such steps are in compliance with Law, within 15 Working Days of receipt of notice from the Supplier and/or any Subcontractor.</w:t>
      </w:r>
    </w:p>
    <w:p w14:paraId="1411B4AF" w14:textId="77777777" w:rsidR="00F35F39" w:rsidRDefault="00F35F39">
      <w:pPr>
        <w:pBdr>
          <w:top w:val="nil"/>
          <w:left w:val="nil"/>
          <w:bottom w:val="nil"/>
          <w:right w:val="nil"/>
          <w:between w:val="nil"/>
        </w:pBdr>
        <w:spacing w:before="120" w:after="120"/>
        <w:ind w:left="2214" w:hanging="1080"/>
        <w:rPr>
          <w:rFonts w:ascii="Arial" w:eastAsia="Arial" w:hAnsi="Arial"/>
          <w:color w:val="000000"/>
          <w:sz w:val="24"/>
          <w:szCs w:val="24"/>
        </w:rPr>
      </w:pPr>
    </w:p>
    <w:p w14:paraId="064D6BA7" w14:textId="77777777" w:rsidR="00F35F39" w:rsidRDefault="0076537D">
      <w:pPr>
        <w:keepNext/>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If an offer referred to in Paragraph 2.3.2 is accepted, or if the situation has otherwise been resolved by the Buyer, the Supplier shall, or shall procure that a Subcontractor shall, immediately release the person from his/her employment or alleged employment;</w:t>
      </w:r>
    </w:p>
    <w:p w14:paraId="6327A37B" w14:textId="77777777" w:rsidR="00F35F39" w:rsidRDefault="0076537D">
      <w:pPr>
        <w:keepNext/>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10" w:name="_heading=h.17dp8vu" w:colFirst="0" w:colLast="0"/>
      <w:bookmarkEnd w:id="10"/>
      <w:r>
        <w:rPr>
          <w:rFonts w:ascii="Arial" w:eastAsia="Arial" w:hAnsi="Arial"/>
          <w:color w:val="000000"/>
          <w:sz w:val="24"/>
          <w:szCs w:val="24"/>
        </w:rPr>
        <w:t xml:space="preserve">If by the end of the 15 Working Day period referred to in Paragraph 2.3.2: </w:t>
      </w:r>
    </w:p>
    <w:p w14:paraId="02B7A045" w14:textId="77777777" w:rsidR="00F35F39" w:rsidRDefault="0076537D">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no such offer of employment has been made;</w:t>
      </w:r>
    </w:p>
    <w:p w14:paraId="598C30D6" w14:textId="77777777" w:rsidR="00F35F39" w:rsidRDefault="0076537D">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such offer has been made but not accepted; or</w:t>
      </w:r>
    </w:p>
    <w:p w14:paraId="723A5D4E" w14:textId="77777777" w:rsidR="00F35F39" w:rsidRDefault="0076537D">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situation has not otherwise been resolved, </w:t>
      </w:r>
    </w:p>
    <w:p w14:paraId="441A68D4" w14:textId="77777777" w:rsidR="00F35F39" w:rsidRDefault="0076537D">
      <w:pPr>
        <w:pBdr>
          <w:top w:val="nil"/>
          <w:left w:val="nil"/>
          <w:bottom w:val="nil"/>
          <w:right w:val="nil"/>
          <w:between w:val="nil"/>
        </w:pBdr>
        <w:spacing w:before="120" w:after="120"/>
        <w:ind w:left="720" w:hanging="1080"/>
        <w:rPr>
          <w:rFonts w:ascii="Arial" w:eastAsia="Arial" w:hAnsi="Arial"/>
          <w:color w:val="000000"/>
          <w:sz w:val="24"/>
          <w:szCs w:val="24"/>
        </w:rPr>
      </w:pPr>
      <w:r>
        <w:rPr>
          <w:rFonts w:ascii="Arial" w:eastAsia="Arial" w:hAnsi="Arial"/>
          <w:color w:val="000000"/>
          <w:sz w:val="24"/>
          <w:szCs w:val="24"/>
        </w:rPr>
        <w:t xml:space="preserve">the Supplier and/or any Subcontractor may within 5 Working Days give notice to terminate the employment or alleged employment of such person. </w:t>
      </w:r>
    </w:p>
    <w:p w14:paraId="443471A5" w14:textId="77777777" w:rsidR="00F35F39" w:rsidRDefault="0076537D">
      <w:pPr>
        <w:keepNext/>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Subject to the Supplier and/or any Subcontractor acting in accordance with the provisions of Paragraphs 2.3  to 2.5  and in accordance with all applicable proper employment procedures set out in applicable Law and subject also to Paragraph 2.7, the Buyer will indemnify the Supplier and/or the relevant Subcontractor against all Employee Liabilities arising out of the termination of the employment pursuant to the provisions of Paragraph 2.5 provided that the </w:t>
      </w:r>
      <w:r>
        <w:rPr>
          <w:rFonts w:ascii="Arial" w:eastAsia="Arial" w:hAnsi="Arial"/>
          <w:color w:val="000000"/>
          <w:sz w:val="24"/>
          <w:szCs w:val="24"/>
        </w:rPr>
        <w:lastRenderedPageBreak/>
        <w:t xml:space="preserve">Supplier takes, or procures that the Subcontractor takes, all reasonable steps to minimise any such Employee Liabilities. </w:t>
      </w:r>
    </w:p>
    <w:p w14:paraId="2AF89E9C" w14:textId="77777777" w:rsidR="00F35F39" w:rsidRDefault="0076537D">
      <w:pPr>
        <w:keepNext/>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11" w:name="_heading=h.3rdcrjn" w:colFirst="0" w:colLast="0"/>
      <w:bookmarkEnd w:id="11"/>
      <w:r>
        <w:rPr>
          <w:rFonts w:ascii="Arial" w:eastAsia="Arial" w:hAnsi="Arial"/>
          <w:color w:val="000000"/>
          <w:sz w:val="24"/>
          <w:szCs w:val="24"/>
        </w:rPr>
        <w:t xml:space="preserve">The indemnity in Paragraph 2.6: </w:t>
      </w:r>
    </w:p>
    <w:p w14:paraId="1EE98E15" w14:textId="77777777" w:rsidR="00F35F39" w:rsidRDefault="0076537D">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shall not apply to: </w:t>
      </w:r>
    </w:p>
    <w:p w14:paraId="00FC7314" w14:textId="77777777" w:rsidR="00F35F39" w:rsidRDefault="0076537D">
      <w:pPr>
        <w:numPr>
          <w:ilvl w:val="3"/>
          <w:numId w:val="16"/>
        </w:numPr>
        <w:pBdr>
          <w:top w:val="nil"/>
          <w:left w:val="nil"/>
          <w:bottom w:val="nil"/>
          <w:right w:val="nil"/>
          <w:between w:val="nil"/>
        </w:pBdr>
        <w:spacing w:before="120" w:after="120"/>
        <w:ind w:hanging="186"/>
        <w:rPr>
          <w:rFonts w:ascii="Arial" w:eastAsia="Arial" w:hAnsi="Arial"/>
          <w:color w:val="000000"/>
          <w:sz w:val="24"/>
          <w:szCs w:val="24"/>
        </w:rPr>
      </w:pPr>
      <w:r>
        <w:rPr>
          <w:rFonts w:ascii="Arial" w:eastAsia="Arial" w:hAnsi="Arial"/>
          <w:color w:val="000000"/>
          <w:sz w:val="24"/>
          <w:szCs w:val="24"/>
        </w:rPr>
        <w:t xml:space="preserve"> any claim for:</w:t>
      </w:r>
    </w:p>
    <w:p w14:paraId="6FD789A0" w14:textId="77777777" w:rsidR="00F35F39" w:rsidRDefault="0076537D">
      <w:pPr>
        <w:numPr>
          <w:ilvl w:val="5"/>
          <w:numId w:val="16"/>
        </w:numPr>
        <w:pBdr>
          <w:top w:val="nil"/>
          <w:left w:val="nil"/>
          <w:bottom w:val="nil"/>
          <w:right w:val="nil"/>
          <w:between w:val="nil"/>
        </w:pBdr>
        <w:ind w:left="4253" w:hanging="566"/>
        <w:rPr>
          <w:rFonts w:ascii="Arial" w:eastAsia="Arial" w:hAnsi="Arial"/>
          <w:color w:val="000000"/>
          <w:sz w:val="24"/>
          <w:szCs w:val="24"/>
        </w:rPr>
      </w:pPr>
      <w:r>
        <w:rPr>
          <w:rFonts w:ascii="Arial" w:eastAsia="Arial" w:hAnsi="Arial"/>
          <w:color w:val="000000"/>
          <w:sz w:val="24"/>
          <w:szCs w:val="24"/>
        </w:rPr>
        <w:t xml:space="preserve">discrimination, including on the grounds of sex, race, disability, age, gender reassignment, marriage or civil partnership, pregnancy and maternity or sexual orientation, religion or belief; or </w:t>
      </w:r>
    </w:p>
    <w:p w14:paraId="3AC7A448" w14:textId="77777777" w:rsidR="00F35F39" w:rsidRDefault="0076537D">
      <w:pPr>
        <w:numPr>
          <w:ilvl w:val="5"/>
          <w:numId w:val="16"/>
        </w:numPr>
        <w:pBdr>
          <w:top w:val="nil"/>
          <w:left w:val="nil"/>
          <w:bottom w:val="nil"/>
          <w:right w:val="nil"/>
          <w:between w:val="nil"/>
        </w:pBdr>
        <w:ind w:left="4253" w:hanging="566"/>
        <w:rPr>
          <w:rFonts w:ascii="Arial" w:eastAsia="Arial" w:hAnsi="Arial"/>
          <w:color w:val="000000"/>
          <w:sz w:val="24"/>
          <w:szCs w:val="24"/>
        </w:rPr>
      </w:pPr>
      <w:r>
        <w:rPr>
          <w:rFonts w:ascii="Arial" w:eastAsia="Arial" w:hAnsi="Arial"/>
          <w:color w:val="000000"/>
          <w:sz w:val="24"/>
          <w:szCs w:val="24"/>
        </w:rPr>
        <w:t xml:space="preserve">equal pay or compensation for less favourable treatment of part-time workers or fixed-term employees; </w:t>
      </w:r>
    </w:p>
    <w:p w14:paraId="17F6256A" w14:textId="77777777" w:rsidR="00F35F39" w:rsidRDefault="0076537D">
      <w:pPr>
        <w:pBdr>
          <w:top w:val="nil"/>
          <w:left w:val="nil"/>
          <w:bottom w:val="nil"/>
          <w:right w:val="nil"/>
          <w:between w:val="nil"/>
        </w:pBdr>
        <w:ind w:left="3686" w:hanging="720"/>
        <w:rPr>
          <w:rFonts w:ascii="Arial" w:eastAsia="Arial" w:hAnsi="Arial"/>
          <w:color w:val="000000"/>
          <w:sz w:val="24"/>
          <w:szCs w:val="24"/>
        </w:rPr>
      </w:pPr>
      <w:r>
        <w:rPr>
          <w:rFonts w:ascii="Arial" w:eastAsia="Arial" w:hAnsi="Arial"/>
          <w:color w:val="000000"/>
          <w:sz w:val="24"/>
          <w:szCs w:val="24"/>
        </w:rPr>
        <w:t>in any case in relation to any alleged act or omission of the Supplier and/or any Subcontractor; or</w:t>
      </w:r>
    </w:p>
    <w:p w14:paraId="59062361" w14:textId="77777777" w:rsidR="00F35F39" w:rsidRDefault="0076537D">
      <w:pPr>
        <w:numPr>
          <w:ilvl w:val="3"/>
          <w:numId w:val="16"/>
        </w:numPr>
        <w:pBdr>
          <w:top w:val="nil"/>
          <w:left w:val="nil"/>
          <w:bottom w:val="nil"/>
          <w:right w:val="nil"/>
          <w:between w:val="nil"/>
        </w:pBdr>
        <w:spacing w:before="120" w:after="120"/>
        <w:ind w:hanging="186"/>
        <w:rPr>
          <w:rFonts w:ascii="Arial" w:eastAsia="Arial" w:hAnsi="Arial"/>
          <w:color w:val="000000"/>
          <w:sz w:val="24"/>
          <w:szCs w:val="24"/>
        </w:rPr>
      </w:pPr>
      <w:r>
        <w:rPr>
          <w:rFonts w:ascii="Arial" w:eastAsia="Arial" w:hAnsi="Arial"/>
          <w:color w:val="000000"/>
          <w:sz w:val="24"/>
          <w:szCs w:val="24"/>
        </w:rPr>
        <w:t xml:space="preserve">any claim that the termination of employment was unfair because the Supplier and/or any Subcontractor neglected to follow a fair dismissal procedure; and </w:t>
      </w:r>
    </w:p>
    <w:p w14:paraId="5B883234" w14:textId="77777777" w:rsidR="00F35F39" w:rsidRDefault="0076537D">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shall apply only where the notification referred to in Paragraph 2.3.1 is made by the Supplier and/or any Subcontractor (as appropriate) to the Buyer within 6 months of the Start Date </w:t>
      </w:r>
    </w:p>
    <w:p w14:paraId="12FAD94C" w14:textId="77777777" w:rsidR="00F35F39" w:rsidRDefault="0076537D">
      <w:pPr>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12" w:name="_heading=h.26in1rg" w:colFirst="0" w:colLast="0"/>
      <w:bookmarkEnd w:id="12"/>
      <w:r>
        <w:rPr>
          <w:rFonts w:ascii="Arial" w:eastAsia="Arial" w:hAnsi="Arial"/>
          <w:color w:val="000000"/>
          <w:sz w:val="24"/>
          <w:szCs w:val="24"/>
        </w:rPr>
        <w:t>If any such person as is referred to in Paragraph 2.3 is neither re-employed by the Buyer nor dismissed by the Supplier and/or any Subcontractor within the time scales set out in Paragraph 2.5, such person shall be treated as having transferred to the Supplier and/or any Subcontractor and the Supplier shall, or shall procure that the relevant Subcontractor shall,  comply with such obligations as may be imposed upon it under applicable Law.</w:t>
      </w:r>
    </w:p>
    <w:p w14:paraId="3C6EFB5F" w14:textId="77777777" w:rsidR="00F35F39" w:rsidRDefault="0076537D">
      <w:pPr>
        <w:keepNext/>
        <w:numPr>
          <w:ilvl w:val="0"/>
          <w:numId w:val="16"/>
        </w:numPr>
        <w:pBdr>
          <w:top w:val="nil"/>
          <w:left w:val="nil"/>
          <w:bottom w:val="nil"/>
          <w:right w:val="nil"/>
          <w:between w:val="nil"/>
        </w:pBdr>
        <w:spacing w:before="120"/>
        <w:rPr>
          <w:rFonts w:ascii="Arial" w:eastAsia="Arial" w:hAnsi="Arial"/>
          <w:b/>
          <w:smallCaps/>
          <w:color w:val="000000"/>
          <w:sz w:val="24"/>
          <w:szCs w:val="24"/>
        </w:rPr>
      </w:pPr>
      <w:bookmarkStart w:id="13" w:name="_heading=h.lnxbz9" w:colFirst="0" w:colLast="0"/>
      <w:bookmarkEnd w:id="13"/>
      <w:r>
        <w:rPr>
          <w:rFonts w:ascii="Arial Bold" w:eastAsia="Arial Bold" w:hAnsi="Arial Bold" w:cs="Arial Bold"/>
          <w:b/>
          <w:color w:val="000000"/>
          <w:sz w:val="24"/>
          <w:szCs w:val="24"/>
        </w:rPr>
        <w:t>Indemnities the Supplier must give and its obligations</w:t>
      </w:r>
    </w:p>
    <w:p w14:paraId="08AE3F49" w14:textId="77777777" w:rsidR="00F35F39" w:rsidRDefault="0076537D">
      <w:pPr>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14" w:name="_heading=h.35nkun2" w:colFirst="0" w:colLast="0"/>
      <w:bookmarkEnd w:id="14"/>
      <w:r>
        <w:rPr>
          <w:rFonts w:ascii="Arial" w:eastAsia="Arial" w:hAnsi="Arial"/>
          <w:color w:val="000000"/>
          <w:sz w:val="24"/>
          <w:szCs w:val="24"/>
        </w:rPr>
        <w:t xml:space="preserve">Subject to Paragraph 3.2, the Supplier shall indemnify the Buyer against any Employee Liabilities arising from or as a result of: </w:t>
      </w:r>
    </w:p>
    <w:p w14:paraId="1FBE89D8" w14:textId="77777777" w:rsidR="00F35F39" w:rsidRDefault="0076537D">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any act or omission by the Supplier or any Subcontractor in respect of any Transferring Buyer Employee or any appropriate employee representative (as defined in the Employment Regulations) of any Transferring Buyer Employee whether occurring before, on or after the Relevant Transfer Date; </w:t>
      </w:r>
    </w:p>
    <w:p w14:paraId="6BBAF164" w14:textId="77777777" w:rsidR="00F35F39" w:rsidRDefault="0076537D">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breach or non-observance by the Supplier or any Subcontractor on or after the Relevant Transfer Date of:</w:t>
      </w:r>
    </w:p>
    <w:p w14:paraId="7DCB85EE" w14:textId="77777777" w:rsidR="00F35F39" w:rsidRDefault="0076537D">
      <w:pPr>
        <w:numPr>
          <w:ilvl w:val="3"/>
          <w:numId w:val="16"/>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 xml:space="preserve">any collective agreement applicable to the Transferring Buyer Employees; and/or </w:t>
      </w:r>
    </w:p>
    <w:p w14:paraId="03DDFE5D" w14:textId="77777777" w:rsidR="00F35F39" w:rsidRDefault="0076537D">
      <w:pPr>
        <w:numPr>
          <w:ilvl w:val="3"/>
          <w:numId w:val="16"/>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lastRenderedPageBreak/>
        <w:t>any custom or practice in respect of any Transferring Buyer Employees which the Supplier or any Subcontractor is contractually bound to honour;</w:t>
      </w:r>
    </w:p>
    <w:p w14:paraId="7673F5D9" w14:textId="77777777" w:rsidR="00F35F39" w:rsidRDefault="0076537D">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by any trade union or other body or person representing any Transferring Buyer Employees arising from or connected with any failure by the Supplier or any Subcontractor to comply with any legal obligation to such trade union, body or person arising on or after the Relevant Transfer Date;</w:t>
      </w:r>
    </w:p>
    <w:p w14:paraId="59AB6B49" w14:textId="77777777" w:rsidR="00F35F39" w:rsidRDefault="0076537D">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any proposal by the Supplier or a Subcontractor made before the Relevant Transfer Date to make changes to the terms and conditions of employment or working conditions of any Transferring Buyer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Buyer Employee but for their resignation (or decision to treat their employment as terminated under regulation 4(9) of the Employment Regulations) before the Relevant Transfer Date as a result of or for a reason connected to such proposed changes; </w:t>
      </w:r>
    </w:p>
    <w:p w14:paraId="203FA743" w14:textId="77777777" w:rsidR="00F35F39" w:rsidRDefault="0076537D">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statement communicated to or action undertaken by the Supplier or any Subcontractor to, or in respect of, any Transferring Buyer Employee before the Relevant Transfer Date regarding the Relevant Transfer which has not been agreed in advance with the Buyer in writing;</w:t>
      </w:r>
    </w:p>
    <w:p w14:paraId="450083B7" w14:textId="77777777" w:rsidR="00F35F39" w:rsidRDefault="0076537D">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proceeding, claim or demand by HMRC or other statutory authority in respect of any financial obligation including, but not limited to, PAYE and primary and secondary national insurance contributions:</w:t>
      </w:r>
    </w:p>
    <w:p w14:paraId="3FC9DD2C" w14:textId="77777777" w:rsidR="00F35F39" w:rsidRDefault="0076537D">
      <w:pPr>
        <w:numPr>
          <w:ilvl w:val="3"/>
          <w:numId w:val="16"/>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in relation to any Transferring Buyer Employee, to the extent that the proceeding, claim or demand by HMRC or other statutory authority relates to financial obligations arising on or after the Relevant Transfer Date; and</w:t>
      </w:r>
    </w:p>
    <w:p w14:paraId="3E36A4B8" w14:textId="77777777" w:rsidR="00F35F39" w:rsidRDefault="0076537D">
      <w:pPr>
        <w:numPr>
          <w:ilvl w:val="3"/>
          <w:numId w:val="16"/>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in relation to any employee who is not a Transferring Buyer Employee, and in respect of whom it is later alleged or determined that the Employment Regulations applied so as to transfer his/her employment from the Buyer to the Supplier or a Subcontractor, to the extent that the proceeding, claim or demand by HMRC or other statutory authority relates to financial obligations arising on or after the Relevant Transfer Date;</w:t>
      </w:r>
    </w:p>
    <w:p w14:paraId="515A0879" w14:textId="77777777" w:rsidR="00F35F39" w:rsidRDefault="0076537D">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 failure of the Supplier or any Subcontractor to discharge or procure the discharge of all wages, salaries and all other benefits and all PAYE tax deductions and national insurance contributions relating to the Transferring Author Buyer </w:t>
      </w:r>
      <w:proofErr w:type="spellStart"/>
      <w:r>
        <w:rPr>
          <w:rFonts w:ascii="Arial" w:eastAsia="Arial" w:hAnsi="Arial"/>
          <w:color w:val="000000"/>
          <w:sz w:val="24"/>
          <w:szCs w:val="24"/>
        </w:rPr>
        <w:t>ity</w:t>
      </w:r>
      <w:proofErr w:type="spellEnd"/>
      <w:r>
        <w:rPr>
          <w:rFonts w:ascii="Arial" w:eastAsia="Arial" w:hAnsi="Arial"/>
          <w:color w:val="000000"/>
          <w:sz w:val="24"/>
          <w:szCs w:val="24"/>
        </w:rPr>
        <w:t xml:space="preserve"> Employees in respect of the period from (and including) the Relevant Transfer Date; </w:t>
      </w:r>
    </w:p>
    <w:p w14:paraId="0603FDCD" w14:textId="77777777" w:rsidR="00F35F39" w:rsidRDefault="0076537D">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lastRenderedPageBreak/>
        <w:t>any claim made by or in respect of a Transferring Buyer Employee or any appropriate employee representative (as defined in the Employment Regulations) of any Transferring Buyer Employee relating to any act or omission of the Supplier or any Subcontractor in relation to their obligations under regulation 13 of the Employment Regulations, except to the extent that the liability arises from the Buyer’s failure to comply with its obligations under regulation 13 of the Employment Regulations; and</w:t>
      </w:r>
    </w:p>
    <w:p w14:paraId="622C4DE7" w14:textId="77777777" w:rsidR="00F35F39" w:rsidRDefault="0076537D">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 failure by the Supplier or any Sub-contractor to comply with its obligations under paragraph 2.8 above.</w:t>
      </w:r>
    </w:p>
    <w:p w14:paraId="58B58C1B" w14:textId="77777777" w:rsidR="00F35F39" w:rsidRDefault="0076537D">
      <w:pPr>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15" w:name="_heading=h.1ksv4uv" w:colFirst="0" w:colLast="0"/>
      <w:bookmarkEnd w:id="15"/>
      <w:r>
        <w:rPr>
          <w:rFonts w:ascii="Arial" w:eastAsia="Arial" w:hAnsi="Arial"/>
          <w:color w:val="000000"/>
          <w:sz w:val="24"/>
          <w:szCs w:val="24"/>
        </w:rPr>
        <w:t>The indemnities in Paragraph 3.1 shall not apply to the extent that the Employee Liabilities arise or are attributable to an act or omission of the Buyer whether occurring or having its origin before, on or after the Relevant Transfer Date including, without limitation, any Employee Liabilities arising from the Buyer's failure to comply with its obligations under the Employment Regulations.</w:t>
      </w:r>
    </w:p>
    <w:p w14:paraId="47CCC4F2" w14:textId="77777777" w:rsidR="00F35F39" w:rsidRDefault="0076537D">
      <w:pPr>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Buyer Employees, from (and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Buyer and the Supplier.</w:t>
      </w:r>
    </w:p>
    <w:p w14:paraId="15AC494A" w14:textId="77777777" w:rsidR="00F35F39" w:rsidRDefault="0076537D">
      <w:pPr>
        <w:keepNext/>
        <w:numPr>
          <w:ilvl w:val="0"/>
          <w:numId w:val="16"/>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Information the Supplier must provide</w:t>
      </w:r>
    </w:p>
    <w:p w14:paraId="0D845967" w14:textId="77777777" w:rsidR="00F35F39" w:rsidRDefault="0076537D">
      <w:pPr>
        <w:ind w:left="709" w:hanging="709"/>
        <w:rPr>
          <w:rFonts w:ascii="Arial" w:eastAsia="Arial" w:hAnsi="Arial"/>
          <w:sz w:val="24"/>
          <w:szCs w:val="24"/>
        </w:rPr>
      </w:pPr>
      <w:r>
        <w:rPr>
          <w:rFonts w:ascii="Arial" w:eastAsia="Arial" w:hAnsi="Arial"/>
          <w:sz w:val="24"/>
          <w:szCs w:val="24"/>
        </w:rPr>
        <w:t>4.1    The Supplier shall, and shall procure that each Subcontractor shall, promptly provide to the Buyer in writing such information as is necessary to enable the Buyer to carry out its duties under regulation 13 of the Employment Regulations. The Buyer shall promptly provide to the Supplier and any Subcontractor in writing such information as is necessary to enable the Supplier and any Subcontractor to carry out their respective duties under regulation 13 of the Employment Regulations.</w:t>
      </w:r>
    </w:p>
    <w:p w14:paraId="29667CC4" w14:textId="77777777" w:rsidR="00F35F39" w:rsidRDefault="0076537D">
      <w:pPr>
        <w:keepNext/>
        <w:numPr>
          <w:ilvl w:val="0"/>
          <w:numId w:val="16"/>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Cabinet Office requirements</w:t>
      </w:r>
    </w:p>
    <w:p w14:paraId="5BCD3575" w14:textId="77777777" w:rsidR="00F35F39" w:rsidRDefault="0076537D">
      <w:pPr>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16" w:name="_heading=h.44sinio" w:colFirst="0" w:colLast="0"/>
      <w:bookmarkEnd w:id="16"/>
      <w:r>
        <w:rPr>
          <w:rFonts w:ascii="Arial" w:eastAsia="Arial" w:hAnsi="Arial"/>
          <w:color w:val="000000"/>
          <w:sz w:val="24"/>
          <w:szCs w:val="24"/>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p>
    <w:p w14:paraId="6A88A391" w14:textId="77777777" w:rsidR="00F35F39" w:rsidRDefault="0076537D">
      <w:pPr>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17" w:name="_heading=h.2jxsxqh" w:colFirst="0" w:colLast="0"/>
      <w:bookmarkEnd w:id="17"/>
      <w:r>
        <w:rPr>
          <w:rFonts w:ascii="Arial" w:eastAsia="Arial" w:hAnsi="Arial"/>
          <w:color w:val="000000"/>
          <w:sz w:val="24"/>
          <w:szCs w:val="24"/>
        </w:rPr>
        <w:lastRenderedPageBreak/>
        <w:t xml:space="preserve">The Supplier shall, and shall procure that each Subcontractor shall, comply with any requirement notified to it by the Buyer relating to pensions in respect of any Transferring Buyer Employee as set down in: </w:t>
      </w:r>
    </w:p>
    <w:p w14:paraId="16F7D841" w14:textId="77777777" w:rsidR="00F35F39" w:rsidRDefault="0076537D">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Cabinet Office Statement of Practice on Staff Transfers in the Public Sector of January 2000, revised December 2013; </w:t>
      </w:r>
    </w:p>
    <w:p w14:paraId="3D3002A4" w14:textId="77777777" w:rsidR="00F35F39" w:rsidRDefault="0076537D">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Old Fair Deal; and/or </w:t>
      </w:r>
    </w:p>
    <w:p w14:paraId="75E21CED" w14:textId="77777777" w:rsidR="00F35F39" w:rsidRDefault="0076537D">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New Fair Deal. </w:t>
      </w:r>
    </w:p>
    <w:p w14:paraId="7E7C97A5" w14:textId="77777777" w:rsidR="00F35F39" w:rsidRDefault="00F35F39">
      <w:pPr>
        <w:pBdr>
          <w:top w:val="nil"/>
          <w:left w:val="nil"/>
          <w:bottom w:val="nil"/>
          <w:right w:val="nil"/>
          <w:between w:val="nil"/>
        </w:pBdr>
        <w:spacing w:before="120" w:after="120"/>
        <w:ind w:left="2214" w:hanging="1080"/>
        <w:rPr>
          <w:rFonts w:eastAsia="Calibri" w:cs="Calibri"/>
          <w:color w:val="000000"/>
        </w:rPr>
      </w:pPr>
    </w:p>
    <w:p w14:paraId="0CD29659" w14:textId="77777777" w:rsidR="00F35F39" w:rsidRDefault="0076537D">
      <w:pPr>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Any changes embodied in any statement of practice, paper or other guidance that replaces any of the documentation referred to in Paragraphs 5.1 or 5.2 shall be agreed in accordance with the Variation Procedure.</w:t>
      </w:r>
    </w:p>
    <w:p w14:paraId="05DE7C1F" w14:textId="77777777" w:rsidR="00F35F39" w:rsidRDefault="0076537D">
      <w:pPr>
        <w:keepNext/>
        <w:numPr>
          <w:ilvl w:val="0"/>
          <w:numId w:val="16"/>
        </w:numPr>
        <w:pBdr>
          <w:top w:val="nil"/>
          <w:left w:val="nil"/>
          <w:bottom w:val="nil"/>
          <w:right w:val="nil"/>
          <w:between w:val="nil"/>
        </w:pBdr>
        <w:spacing w:before="120"/>
        <w:rPr>
          <w:rFonts w:ascii="Arial Bold" w:eastAsia="Arial Bold" w:hAnsi="Arial Bold" w:cs="Arial Bold"/>
          <w:b/>
          <w:color w:val="000000"/>
          <w:sz w:val="24"/>
          <w:szCs w:val="24"/>
        </w:rPr>
      </w:pPr>
      <w:r>
        <w:rPr>
          <w:rFonts w:ascii="Arial Bold" w:eastAsia="Arial Bold" w:hAnsi="Arial Bold" w:cs="Arial Bold"/>
          <w:b/>
          <w:color w:val="000000"/>
          <w:sz w:val="24"/>
          <w:szCs w:val="24"/>
        </w:rPr>
        <w:t>Pensions</w:t>
      </w:r>
    </w:p>
    <w:p w14:paraId="434C760C" w14:textId="77777777" w:rsidR="00F35F39" w:rsidRDefault="0076537D">
      <w:pPr>
        <w:keepNext/>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shall, and/or shall procure that each of its Subcontractors shall,  comply with:</w:t>
      </w:r>
    </w:p>
    <w:p w14:paraId="67597A75" w14:textId="77777777" w:rsidR="00F35F39" w:rsidRDefault="0076537D">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requirements of Part 1 of the Pensions Act 2008, section 258 of the Pensions Act 2004 and the Transfer of Employment (Pension Protection) Regulations 2005 for all transferring staff; and</w:t>
      </w:r>
    </w:p>
    <w:p w14:paraId="6EBBBB02" w14:textId="77777777" w:rsidR="00F35F39" w:rsidRDefault="0076537D">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Part D: Pensions (and its Annexes) to this Schedule.</w:t>
      </w:r>
    </w:p>
    <w:p w14:paraId="33023A22" w14:textId="77777777" w:rsidR="00F35F39" w:rsidRDefault="0076537D">
      <w:pPr>
        <w:pStyle w:val="Heading1"/>
        <w:jc w:val="both"/>
        <w:rPr>
          <w:rFonts w:ascii="Arial Bold" w:eastAsia="Arial Bold" w:hAnsi="Arial Bold" w:cs="Arial Bold"/>
          <w:sz w:val="36"/>
          <w:szCs w:val="36"/>
        </w:rPr>
      </w:pPr>
      <w:bookmarkStart w:id="18" w:name="_heading=h.z337ya" w:colFirst="0" w:colLast="0"/>
      <w:bookmarkEnd w:id="18"/>
      <w:r>
        <w:br w:type="page"/>
      </w:r>
      <w:r>
        <w:rPr>
          <w:rFonts w:ascii="Arial Bold" w:eastAsia="Arial Bold" w:hAnsi="Arial Bold" w:cs="Arial Bold"/>
          <w:sz w:val="36"/>
          <w:szCs w:val="36"/>
        </w:rPr>
        <w:lastRenderedPageBreak/>
        <w:t xml:space="preserve">Part B: Staff transfer at the Start Date </w:t>
      </w:r>
    </w:p>
    <w:p w14:paraId="777CEE4F" w14:textId="77777777" w:rsidR="00F35F39" w:rsidRDefault="0076537D">
      <w:pPr>
        <w:pStyle w:val="Heading1"/>
        <w:jc w:val="both"/>
        <w:rPr>
          <w:rFonts w:ascii="Arial Bold" w:eastAsia="Arial Bold" w:hAnsi="Arial Bold" w:cs="Arial Bold"/>
          <w:sz w:val="36"/>
          <w:szCs w:val="36"/>
        </w:rPr>
      </w:pPr>
      <w:r>
        <w:rPr>
          <w:rFonts w:ascii="Arial Bold" w:eastAsia="Arial Bold" w:hAnsi="Arial Bold" w:cs="Arial Bold"/>
          <w:sz w:val="36"/>
          <w:szCs w:val="36"/>
        </w:rPr>
        <w:t xml:space="preserve">Transfer from a Former Supplier </w:t>
      </w:r>
    </w:p>
    <w:p w14:paraId="0ECF433D" w14:textId="77777777" w:rsidR="00F35F39" w:rsidRDefault="0076537D">
      <w:pPr>
        <w:keepNext/>
        <w:numPr>
          <w:ilvl w:val="0"/>
          <w:numId w:val="17"/>
        </w:numPr>
        <w:pBdr>
          <w:top w:val="nil"/>
          <w:left w:val="nil"/>
          <w:bottom w:val="nil"/>
          <w:right w:val="nil"/>
          <w:between w:val="nil"/>
        </w:pBdr>
        <w:spacing w:before="120"/>
        <w:ind w:left="357" w:hanging="357"/>
        <w:rPr>
          <w:rFonts w:ascii="Arial Bold" w:eastAsia="Arial Bold" w:hAnsi="Arial Bold" w:cs="Arial Bold"/>
          <w:b/>
          <w:color w:val="000000"/>
          <w:sz w:val="24"/>
          <w:szCs w:val="24"/>
        </w:rPr>
      </w:pPr>
      <w:r>
        <w:rPr>
          <w:rFonts w:ascii="Arial Bold" w:eastAsia="Arial Bold" w:hAnsi="Arial Bold" w:cs="Arial Bold"/>
          <w:b/>
          <w:color w:val="000000"/>
          <w:sz w:val="24"/>
          <w:szCs w:val="24"/>
        </w:rPr>
        <w:t>What is a relevant transfer</w:t>
      </w:r>
    </w:p>
    <w:p w14:paraId="40533C6C" w14:textId="77777777" w:rsidR="00F35F39" w:rsidRDefault="0076537D">
      <w:pPr>
        <w:keepNext/>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Buyer and the Supplier agree that:</w:t>
      </w:r>
    </w:p>
    <w:p w14:paraId="5441DD17" w14:textId="77777777" w:rsidR="00F35F39" w:rsidRDefault="0076537D">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commencement of the provision of the Services or of any relevant part of the Services will be a Relevant Transfer in relation to the Transferring Former Supplier Employees; and </w:t>
      </w:r>
    </w:p>
    <w:p w14:paraId="7DCB9DBC" w14:textId="77777777" w:rsidR="00F35F39" w:rsidRDefault="0076537D">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any Subcontractor and each such Transferring Former Supplier Employee.</w:t>
      </w:r>
    </w:p>
    <w:p w14:paraId="076F2219" w14:textId="77777777" w:rsidR="00F35F39" w:rsidRDefault="0076537D">
      <w:pPr>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19" w:name="_heading=h.3j2qqm3" w:colFirst="0" w:colLast="0"/>
      <w:bookmarkEnd w:id="19"/>
      <w:r>
        <w:rPr>
          <w:rFonts w:ascii="Arial" w:eastAsia="Arial" w:hAnsi="Arial"/>
          <w:color w:val="000000"/>
          <w:sz w:val="24"/>
          <w:szCs w:val="24"/>
        </w:rPr>
        <w:t>The Buyer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Buyer shall procure that each Former Supplier makes, any necessary apportionments in respect of any periodic payments.</w:t>
      </w:r>
    </w:p>
    <w:p w14:paraId="4D7BC2AB" w14:textId="77777777" w:rsidR="00F35F39" w:rsidRDefault="0076537D">
      <w:pPr>
        <w:keepNext/>
        <w:numPr>
          <w:ilvl w:val="0"/>
          <w:numId w:val="17"/>
        </w:numPr>
        <w:pBdr>
          <w:top w:val="nil"/>
          <w:left w:val="nil"/>
          <w:bottom w:val="nil"/>
          <w:right w:val="nil"/>
          <w:between w:val="nil"/>
        </w:pBdr>
        <w:spacing w:before="120"/>
        <w:rPr>
          <w:rFonts w:ascii="Arial" w:eastAsia="Arial" w:hAnsi="Arial"/>
          <w:b/>
          <w:smallCaps/>
          <w:color w:val="000000"/>
          <w:sz w:val="24"/>
          <w:szCs w:val="24"/>
        </w:rPr>
      </w:pPr>
      <w:bookmarkStart w:id="20" w:name="_heading=h.1y810tw" w:colFirst="0" w:colLast="0"/>
      <w:bookmarkEnd w:id="20"/>
      <w:r>
        <w:rPr>
          <w:rFonts w:ascii="Arial Bold" w:eastAsia="Arial Bold" w:hAnsi="Arial Bold" w:cs="Arial Bold"/>
          <w:b/>
          <w:color w:val="000000"/>
          <w:sz w:val="24"/>
          <w:szCs w:val="24"/>
        </w:rPr>
        <w:t>Indemnities given by the Former Supplier</w:t>
      </w:r>
    </w:p>
    <w:p w14:paraId="1FE7ECB2" w14:textId="77777777" w:rsidR="00F35F39" w:rsidRDefault="0076537D">
      <w:pPr>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Subject to Paragraph 2.2, the Buyer shall procure that each Former Supplier shall indemnify the Supplier and any Subcontractor against any Employee Liabilities arising from or as a result of: </w:t>
      </w:r>
    </w:p>
    <w:p w14:paraId="1F702296" w14:textId="77777777" w:rsidR="00F35F39" w:rsidRDefault="0076537D">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2BEB97A1" w14:textId="77777777" w:rsidR="00F35F39" w:rsidRDefault="0076537D">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breach or non-observance by the Former Supplier arising before the Relevant Transfer Date of:</w:t>
      </w:r>
    </w:p>
    <w:p w14:paraId="0824CBBD" w14:textId="77777777" w:rsidR="00F35F39" w:rsidRDefault="0076537D">
      <w:pPr>
        <w:numPr>
          <w:ilvl w:val="3"/>
          <w:numId w:val="17"/>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 xml:space="preserve">any collective agreement applicable to the Transferring Former Supplier Employees; and/or </w:t>
      </w:r>
    </w:p>
    <w:p w14:paraId="06A8D9BF" w14:textId="77777777" w:rsidR="00F35F39" w:rsidRDefault="0076537D">
      <w:pPr>
        <w:numPr>
          <w:ilvl w:val="3"/>
          <w:numId w:val="17"/>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lastRenderedPageBreak/>
        <w:t xml:space="preserve">any custom or practice in respect of any Transferring Former Supplier Employees which the Former Supplier is contractually bound to honour; </w:t>
      </w:r>
    </w:p>
    <w:p w14:paraId="16B61DD3" w14:textId="77777777" w:rsidR="00F35F39" w:rsidRDefault="0076537D">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proceeding, claim or demand by HMRC or other statutory authority in respect of any financial obligation including, but not limited to, PAYE and primary and secondary national insurance contributions:</w:t>
      </w:r>
    </w:p>
    <w:p w14:paraId="63A2EC49" w14:textId="77777777" w:rsidR="00F35F39" w:rsidRDefault="0076537D">
      <w:pPr>
        <w:numPr>
          <w:ilvl w:val="3"/>
          <w:numId w:val="17"/>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in relation to any Transferring Former Supplier Employee, to the extent that the proceeding, claim or demand by HMRC or other statutory authority relates to financial obligations arising before the Relevant Transfer Date; and</w:t>
      </w:r>
    </w:p>
    <w:p w14:paraId="7C4F950B" w14:textId="77777777" w:rsidR="00F35F39" w:rsidRDefault="0076537D">
      <w:pPr>
        <w:numPr>
          <w:ilvl w:val="3"/>
          <w:numId w:val="17"/>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in relation to any employee who is not a Transferring Former Supplier Employee and in respect of whom it is later alleged or determined that the Employment Regulations applied so as to transfer his/her employment from the Former Supplier to the Supplier and/or any Subcontractor as appropriate, to the extent that the proceeding, claim or demand by HMRC or other statutory authority relates to financial obligations in respect of the period to (but excluding) the Relevant Transfer Date;</w:t>
      </w:r>
    </w:p>
    <w:p w14:paraId="1415AFC0" w14:textId="77777777" w:rsidR="00F35F39" w:rsidRDefault="0076537D">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1F0409D5" w14:textId="77777777" w:rsidR="00F35F39" w:rsidRDefault="0076537D">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made by or in respect of any person employed or formerly employed by the Former Supplier other than a Transferring Former Supplier Employee for whom it is alleged the Supplier and/or any Subcontractor as appropriate may be liable by virtue of the relevant Contract and/or the Employment Regulations and/or the Acquired Rights Directive; and</w:t>
      </w:r>
    </w:p>
    <w:p w14:paraId="78F9E2E1" w14:textId="77777777" w:rsidR="00F35F39" w:rsidRDefault="0076537D">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w:t>
      </w:r>
      <w:proofErr w:type="spellStart"/>
      <w:r>
        <w:rPr>
          <w:rFonts w:ascii="Arial" w:eastAsia="Arial" w:hAnsi="Arial"/>
          <w:color w:val="000000"/>
          <w:sz w:val="24"/>
          <w:szCs w:val="24"/>
        </w:rPr>
        <w:t>bility</w:t>
      </w:r>
      <w:proofErr w:type="spellEnd"/>
      <w:r>
        <w:rPr>
          <w:rFonts w:ascii="Arial" w:eastAsia="Arial" w:hAnsi="Arial"/>
          <w:color w:val="000000"/>
          <w:sz w:val="24"/>
          <w:szCs w:val="24"/>
        </w:rPr>
        <w:t xml:space="preserve"> arises from the failure by the Supplier or any Subcontractor to comply with regulation 13(4) of the Employment Regulations.</w:t>
      </w:r>
    </w:p>
    <w:p w14:paraId="2581BBEA" w14:textId="77777777" w:rsidR="00F35F39" w:rsidRDefault="00F35F39">
      <w:pPr>
        <w:pBdr>
          <w:top w:val="nil"/>
          <w:left w:val="nil"/>
          <w:bottom w:val="nil"/>
          <w:right w:val="nil"/>
          <w:between w:val="nil"/>
        </w:pBdr>
        <w:spacing w:before="120" w:after="120"/>
        <w:ind w:left="2214" w:hanging="1080"/>
        <w:rPr>
          <w:rFonts w:eastAsia="Calibri" w:cs="Calibri"/>
          <w:color w:val="000000"/>
        </w:rPr>
      </w:pPr>
    </w:p>
    <w:p w14:paraId="7D12C251" w14:textId="77777777" w:rsidR="00F35F39" w:rsidRDefault="0076537D">
      <w:pPr>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21" w:name="_heading=h.4i7ojhp" w:colFirst="0" w:colLast="0"/>
      <w:bookmarkEnd w:id="21"/>
      <w:r>
        <w:rPr>
          <w:rFonts w:ascii="Arial" w:eastAsia="Arial" w:hAnsi="Arial"/>
          <w:color w:val="000000"/>
          <w:sz w:val="24"/>
          <w:szCs w:val="24"/>
        </w:rPr>
        <w:t xml:space="preserve">The indemnities in Paragraph 2.1 shall not apply to the extent that the Employee Liabilities arise or are attributable to an act or omission of the Supplier or any Subcontractor whether occurring or having its origin before, on </w:t>
      </w:r>
      <w:r>
        <w:rPr>
          <w:rFonts w:ascii="Arial" w:eastAsia="Arial" w:hAnsi="Arial"/>
          <w:color w:val="000000"/>
          <w:sz w:val="24"/>
          <w:szCs w:val="24"/>
        </w:rPr>
        <w:lastRenderedPageBreak/>
        <w:t>or after the Relevant Transfer Date including, without limitation, any Employee Liabilities:</w:t>
      </w:r>
    </w:p>
    <w:p w14:paraId="53B5941C" w14:textId="77777777" w:rsidR="00F35F39" w:rsidRDefault="0076537D">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77FFEB95" w14:textId="77777777" w:rsidR="00F35F39" w:rsidRDefault="0076537D">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arising from the failure by the Supplier and/or any Subcontractor to comply with its obligations under the Employment Regulations.</w:t>
      </w:r>
    </w:p>
    <w:p w14:paraId="2FFDA52C" w14:textId="77777777" w:rsidR="00F35F39" w:rsidRDefault="0076537D">
      <w:pPr>
        <w:keepNext/>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22" w:name="_heading=h.2xcytpi" w:colFirst="0" w:colLast="0"/>
      <w:bookmarkEnd w:id="22"/>
      <w:r>
        <w:rPr>
          <w:rFonts w:ascii="Arial" w:eastAsia="Arial" w:hAnsi="Arial"/>
          <w:color w:val="000000"/>
          <w:sz w:val="24"/>
          <w:szCs w:val="24"/>
        </w:rPr>
        <w:t xml:space="preserve">If any person who is not identified by the Former Supplier as a Transferring Former Supplier Employee claims, or it is determined in relation to any person who is not identified by the Former Supplier as a Transferring Former Supplier Employee, that his/her contract of employment has been transferred from a Former Supplier to the Supplier and/or any Subcontractor pursuant to the Employment Regulations or the Acquired Rights Directive then: </w:t>
      </w:r>
    </w:p>
    <w:p w14:paraId="30B64E25" w14:textId="77777777" w:rsidR="00F35F39" w:rsidRDefault="0076537D">
      <w:pPr>
        <w:numPr>
          <w:ilvl w:val="2"/>
          <w:numId w:val="17"/>
        </w:numPr>
        <w:pBdr>
          <w:top w:val="nil"/>
          <w:left w:val="nil"/>
          <w:bottom w:val="nil"/>
          <w:right w:val="nil"/>
          <w:between w:val="nil"/>
        </w:pBdr>
        <w:spacing w:before="120" w:after="120"/>
        <w:rPr>
          <w:rFonts w:ascii="Arial" w:eastAsia="Arial" w:hAnsi="Arial"/>
          <w:color w:val="000000"/>
          <w:sz w:val="24"/>
          <w:szCs w:val="24"/>
        </w:rPr>
      </w:pPr>
      <w:bookmarkStart w:id="23" w:name="_heading=h.1ci93xb" w:colFirst="0" w:colLast="0"/>
      <w:bookmarkEnd w:id="23"/>
      <w:r>
        <w:rPr>
          <w:rFonts w:ascii="Arial" w:eastAsia="Arial" w:hAnsi="Arial"/>
          <w:color w:val="000000"/>
          <w:sz w:val="24"/>
          <w:szCs w:val="24"/>
        </w:rPr>
        <w:t>the Supplier shall,  or shall procure that the Subcontractor shall, within 5 Working Days of becoming aware of that fact, notify the Buyer and in writing and, where required by the Buyer, notify the relevant Former Supplier in writing; and</w:t>
      </w:r>
    </w:p>
    <w:p w14:paraId="5CE0AE04" w14:textId="77777777" w:rsidR="00F35F39" w:rsidRDefault="0076537D">
      <w:pPr>
        <w:numPr>
          <w:ilvl w:val="2"/>
          <w:numId w:val="17"/>
        </w:numPr>
        <w:pBdr>
          <w:top w:val="nil"/>
          <w:left w:val="nil"/>
          <w:bottom w:val="nil"/>
          <w:right w:val="nil"/>
          <w:between w:val="nil"/>
        </w:pBdr>
        <w:spacing w:before="120" w:after="120"/>
        <w:rPr>
          <w:rFonts w:ascii="Arial" w:eastAsia="Arial" w:hAnsi="Arial"/>
          <w:color w:val="000000"/>
          <w:sz w:val="24"/>
          <w:szCs w:val="24"/>
        </w:rPr>
      </w:pPr>
      <w:bookmarkStart w:id="24" w:name="_heading=h.3whwml4" w:colFirst="0" w:colLast="0"/>
      <w:bookmarkEnd w:id="24"/>
      <w:r>
        <w:rPr>
          <w:rFonts w:ascii="Arial" w:eastAsia="Arial" w:hAnsi="Arial"/>
          <w:color w:val="000000"/>
          <w:sz w:val="24"/>
          <w:szCs w:val="24"/>
        </w:rPr>
        <w:t>the Former Supplier may offer (or may procure that a third party may offer) employment to such person, or take such other steps as the Former Supplier considers appropriate to deal with the matter provided always that such steps are in compliance with applicable Law, within 15 Working Days of receipt of notice from the Supplier and/or the Subcontractor (as appropriate).</w:t>
      </w:r>
    </w:p>
    <w:p w14:paraId="3280C1B8" w14:textId="77777777" w:rsidR="00F35F39" w:rsidRDefault="0076537D">
      <w:pPr>
        <w:keepNext/>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If an offer referred to in Paragraph 2.3.2 is accepted, , or if the situation has otherwise been resolved by the Former Supplier and/or the Buyer, the Supplier shall, or shall procure that the Subcontractor shall,  immediately release the person from his/her employment or alleged employment.</w:t>
      </w:r>
    </w:p>
    <w:p w14:paraId="109489C3" w14:textId="77777777" w:rsidR="00F35F39" w:rsidRDefault="0076537D">
      <w:pPr>
        <w:keepNext/>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25" w:name="_heading=h.2bn6wsx" w:colFirst="0" w:colLast="0"/>
      <w:bookmarkEnd w:id="25"/>
      <w:r>
        <w:rPr>
          <w:rFonts w:ascii="Arial" w:eastAsia="Arial" w:hAnsi="Arial"/>
          <w:color w:val="000000"/>
          <w:sz w:val="24"/>
          <w:szCs w:val="24"/>
        </w:rPr>
        <w:t xml:space="preserve">If by the end of the 15 Working Day period referred to in Paragraph 2.3.2: </w:t>
      </w:r>
    </w:p>
    <w:p w14:paraId="2D75B01E" w14:textId="77777777" w:rsidR="00F35F39" w:rsidRDefault="0076537D">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no such offer of employment has been made;</w:t>
      </w:r>
    </w:p>
    <w:p w14:paraId="16F2442B" w14:textId="77777777" w:rsidR="00F35F39" w:rsidRDefault="0076537D">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such offer has been made but not accepted; or</w:t>
      </w:r>
    </w:p>
    <w:p w14:paraId="672DF438" w14:textId="77777777" w:rsidR="00F35F39" w:rsidRDefault="0076537D">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situation has not otherwise been resolved, </w:t>
      </w:r>
    </w:p>
    <w:p w14:paraId="68FEF6F0" w14:textId="77777777" w:rsidR="00F35F39" w:rsidRDefault="0076537D">
      <w:pPr>
        <w:pBdr>
          <w:top w:val="nil"/>
          <w:left w:val="nil"/>
          <w:bottom w:val="nil"/>
          <w:right w:val="nil"/>
          <w:between w:val="nil"/>
        </w:pBdr>
        <w:tabs>
          <w:tab w:val="left" w:pos="993"/>
        </w:tabs>
        <w:spacing w:before="120" w:after="120"/>
        <w:ind w:left="1134" w:hanging="720"/>
        <w:rPr>
          <w:rFonts w:ascii="Arial" w:eastAsia="Arial" w:hAnsi="Arial"/>
          <w:color w:val="000000"/>
          <w:sz w:val="24"/>
          <w:szCs w:val="24"/>
        </w:rPr>
      </w:pPr>
      <w:r>
        <w:rPr>
          <w:rFonts w:ascii="Arial" w:eastAsia="Arial" w:hAnsi="Arial"/>
          <w:color w:val="000000"/>
          <w:sz w:val="24"/>
          <w:szCs w:val="24"/>
        </w:rPr>
        <w:t>the Supplier and/or any Subcontractor may within 5 Working Days give notice to terminate the employment or alleged employment of such person;</w:t>
      </w:r>
    </w:p>
    <w:p w14:paraId="185432ED" w14:textId="77777777" w:rsidR="00F35F39" w:rsidRDefault="0076537D">
      <w:pPr>
        <w:keepNext/>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Subject to the Supplier and/or any Subcontractor  acting in accordance with the provisions of Paragraphs 2.3 to 2.5 and in accordance with all applicable proper employment procedures set out in Law and subject also to Paragraph 2.7, the Buyer shall procure that the Former Supplier will indemnify the Supplier and/or the relevant Subcontractor against all Employee Liabilities arising out of the termination of the employment pursuant to the provisions of Paragraph 2.5 </w:t>
      </w:r>
      <w:r>
        <w:rPr>
          <w:rFonts w:ascii="Arial" w:eastAsia="Arial" w:hAnsi="Arial"/>
          <w:color w:val="000000"/>
          <w:sz w:val="24"/>
          <w:szCs w:val="24"/>
        </w:rPr>
        <w:lastRenderedPageBreak/>
        <w:t xml:space="preserve">provided that the Supplier takes, or shall procure that the Subcontractor takes, all reasonable steps to minimise any such Employee Liabilities. </w:t>
      </w:r>
    </w:p>
    <w:p w14:paraId="71326A7D" w14:textId="77777777" w:rsidR="00F35F39" w:rsidRDefault="0076537D">
      <w:pPr>
        <w:keepNext/>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26" w:name="_heading=h.qsh70q" w:colFirst="0" w:colLast="0"/>
      <w:bookmarkEnd w:id="26"/>
      <w:r>
        <w:rPr>
          <w:rFonts w:ascii="Arial" w:eastAsia="Arial" w:hAnsi="Arial"/>
          <w:color w:val="000000"/>
          <w:sz w:val="24"/>
          <w:szCs w:val="24"/>
        </w:rPr>
        <w:t xml:space="preserve">The indemnity in Paragraph 2.6: </w:t>
      </w:r>
    </w:p>
    <w:p w14:paraId="362C26AF" w14:textId="77777777" w:rsidR="00F35F39" w:rsidRDefault="0076537D">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shall not apply to: </w:t>
      </w:r>
    </w:p>
    <w:p w14:paraId="56D4E95B" w14:textId="77777777" w:rsidR="00F35F39" w:rsidRDefault="0076537D">
      <w:pPr>
        <w:numPr>
          <w:ilvl w:val="3"/>
          <w:numId w:val="17"/>
        </w:numPr>
        <w:pBdr>
          <w:top w:val="nil"/>
          <w:left w:val="nil"/>
          <w:bottom w:val="nil"/>
          <w:right w:val="nil"/>
          <w:between w:val="nil"/>
        </w:pBdr>
        <w:spacing w:before="120" w:after="120"/>
        <w:ind w:hanging="328"/>
        <w:rPr>
          <w:rFonts w:ascii="Arial" w:eastAsia="Arial" w:hAnsi="Arial"/>
          <w:color w:val="000000"/>
          <w:sz w:val="24"/>
          <w:szCs w:val="24"/>
        </w:rPr>
      </w:pPr>
      <w:r>
        <w:rPr>
          <w:rFonts w:ascii="Arial" w:eastAsia="Arial" w:hAnsi="Arial"/>
          <w:color w:val="000000"/>
          <w:sz w:val="24"/>
          <w:szCs w:val="24"/>
        </w:rPr>
        <w:t xml:space="preserve"> any claim for:</w:t>
      </w:r>
    </w:p>
    <w:p w14:paraId="41092379" w14:textId="77777777" w:rsidR="00F35F39" w:rsidRDefault="0076537D">
      <w:pPr>
        <w:pBdr>
          <w:top w:val="nil"/>
          <w:left w:val="nil"/>
          <w:bottom w:val="nil"/>
          <w:right w:val="nil"/>
          <w:between w:val="nil"/>
        </w:pBdr>
        <w:ind w:left="4111" w:hanging="708"/>
        <w:rPr>
          <w:rFonts w:ascii="Arial" w:eastAsia="Arial" w:hAnsi="Arial"/>
          <w:color w:val="000000"/>
          <w:sz w:val="24"/>
          <w:szCs w:val="24"/>
        </w:rPr>
      </w:pPr>
      <w:r>
        <w:rPr>
          <w:rFonts w:ascii="Arial" w:eastAsia="Arial" w:hAnsi="Arial"/>
          <w:color w:val="000000"/>
          <w:sz w:val="24"/>
          <w:szCs w:val="24"/>
        </w:rPr>
        <w:t>(</w:t>
      </w:r>
      <w:proofErr w:type="spellStart"/>
      <w:r>
        <w:rPr>
          <w:rFonts w:ascii="Arial" w:eastAsia="Arial" w:hAnsi="Arial"/>
          <w:color w:val="000000"/>
          <w:sz w:val="24"/>
          <w:szCs w:val="24"/>
        </w:rPr>
        <w:t>i</w:t>
      </w:r>
      <w:proofErr w:type="spellEnd"/>
      <w:r>
        <w:rPr>
          <w:rFonts w:ascii="Arial" w:eastAsia="Arial" w:hAnsi="Arial"/>
          <w:color w:val="000000"/>
          <w:sz w:val="24"/>
          <w:szCs w:val="24"/>
        </w:rPr>
        <w:t xml:space="preserve">)  discrimination, including on the grounds of sex, race, disability, age, gender reassignment, marriage or civil partnership, pregnancy and maternity or sexual orientation, religion or belief; or </w:t>
      </w:r>
    </w:p>
    <w:p w14:paraId="16A2A383" w14:textId="77777777" w:rsidR="00F35F39" w:rsidRDefault="0076537D">
      <w:pPr>
        <w:pBdr>
          <w:top w:val="nil"/>
          <w:left w:val="nil"/>
          <w:bottom w:val="nil"/>
          <w:right w:val="nil"/>
          <w:between w:val="nil"/>
        </w:pBdr>
        <w:ind w:left="4111" w:hanging="708"/>
        <w:rPr>
          <w:rFonts w:ascii="Arial" w:eastAsia="Arial" w:hAnsi="Arial"/>
          <w:color w:val="000000"/>
          <w:sz w:val="24"/>
          <w:szCs w:val="24"/>
        </w:rPr>
      </w:pPr>
      <w:r>
        <w:rPr>
          <w:rFonts w:ascii="Arial" w:eastAsia="Arial" w:hAnsi="Arial"/>
          <w:color w:val="000000"/>
          <w:sz w:val="24"/>
          <w:szCs w:val="24"/>
        </w:rPr>
        <w:t xml:space="preserve">(ii) </w:t>
      </w:r>
      <w:r>
        <w:rPr>
          <w:rFonts w:ascii="Arial" w:eastAsia="Arial" w:hAnsi="Arial"/>
          <w:color w:val="000000"/>
          <w:sz w:val="24"/>
          <w:szCs w:val="24"/>
        </w:rPr>
        <w:tab/>
        <w:t xml:space="preserve">equal pay or compensation for less favourable treatment of part-time workers or fixed-term employees; </w:t>
      </w:r>
    </w:p>
    <w:p w14:paraId="7867A829" w14:textId="77777777" w:rsidR="00F35F39" w:rsidRDefault="0076537D">
      <w:pPr>
        <w:pBdr>
          <w:top w:val="nil"/>
          <w:left w:val="nil"/>
          <w:bottom w:val="nil"/>
          <w:right w:val="nil"/>
          <w:between w:val="nil"/>
        </w:pBdr>
        <w:ind w:left="3402" w:hanging="720"/>
        <w:rPr>
          <w:rFonts w:ascii="Arial" w:eastAsia="Arial" w:hAnsi="Arial"/>
          <w:color w:val="000000"/>
          <w:sz w:val="24"/>
          <w:szCs w:val="24"/>
        </w:rPr>
      </w:pPr>
      <w:r>
        <w:rPr>
          <w:rFonts w:ascii="Arial" w:eastAsia="Arial" w:hAnsi="Arial"/>
          <w:color w:val="000000"/>
          <w:sz w:val="24"/>
          <w:szCs w:val="24"/>
        </w:rPr>
        <w:t>in any case in relation to any alleged act or omission of the Supplier and/or any Subcontractor; or</w:t>
      </w:r>
    </w:p>
    <w:p w14:paraId="3BAB295A" w14:textId="77777777" w:rsidR="00F35F39" w:rsidRDefault="0076537D">
      <w:pPr>
        <w:numPr>
          <w:ilvl w:val="3"/>
          <w:numId w:val="17"/>
        </w:numPr>
        <w:pBdr>
          <w:top w:val="nil"/>
          <w:left w:val="nil"/>
          <w:bottom w:val="nil"/>
          <w:right w:val="nil"/>
          <w:between w:val="nil"/>
        </w:pBdr>
        <w:spacing w:before="120" w:after="120"/>
        <w:ind w:hanging="328"/>
        <w:rPr>
          <w:rFonts w:ascii="Arial" w:eastAsia="Arial" w:hAnsi="Arial"/>
          <w:color w:val="000000"/>
          <w:sz w:val="24"/>
          <w:szCs w:val="24"/>
        </w:rPr>
      </w:pPr>
      <w:r>
        <w:rPr>
          <w:rFonts w:ascii="Arial" w:eastAsia="Arial" w:hAnsi="Arial"/>
          <w:color w:val="000000"/>
          <w:sz w:val="24"/>
          <w:szCs w:val="24"/>
        </w:rPr>
        <w:t>any claim that the termination of employment was unfair because the Supplier and/or Subcontractor neglected to follow a fair dismissal procedure; and</w:t>
      </w:r>
    </w:p>
    <w:p w14:paraId="305E304C" w14:textId="77777777" w:rsidR="00F35F39" w:rsidRDefault="0076537D">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shall apply only where the notification referred to in Paragraph 2.3.1 is made by the Supplier and/or any Subcontractor (as appropriate) to the Buyer and, if applicable, the Former Supplier, within 6 months of the Start Date. </w:t>
      </w:r>
    </w:p>
    <w:p w14:paraId="286F9BD8" w14:textId="77777777" w:rsidR="00F35F39" w:rsidRDefault="0076537D">
      <w:pPr>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If </w:t>
      </w:r>
      <w:proofErr w:type="spellStart"/>
      <w:r>
        <w:rPr>
          <w:rFonts w:ascii="Arial" w:eastAsia="Arial" w:hAnsi="Arial"/>
          <w:color w:val="000000"/>
          <w:sz w:val="24"/>
          <w:szCs w:val="24"/>
        </w:rPr>
        <w:t>Subcontractorany</w:t>
      </w:r>
      <w:proofErr w:type="spellEnd"/>
      <w:r>
        <w:rPr>
          <w:rFonts w:ascii="Arial" w:eastAsia="Arial" w:hAnsi="Arial"/>
          <w:color w:val="000000"/>
          <w:sz w:val="24"/>
          <w:szCs w:val="24"/>
        </w:rPr>
        <w:t xml:space="preserve"> such person as is described in Paragraph 2.3 is neither re-employed by the Former Supplier nor dismissed by the Supplier and/or any Subcontractor within the time scales set out in Paragraph 2.5, such person shall be treated as having transferred to the Supplier and/or any Subcontractor and the Supplier shall, or shall procure that the Subcontractor shall, comply with such obligations as may be imposed upon it under applicable Law.</w:t>
      </w:r>
    </w:p>
    <w:p w14:paraId="5CBA64D7" w14:textId="77777777" w:rsidR="00F35F39" w:rsidRDefault="0076537D">
      <w:pPr>
        <w:keepNext/>
        <w:numPr>
          <w:ilvl w:val="0"/>
          <w:numId w:val="17"/>
        </w:numPr>
        <w:pBdr>
          <w:top w:val="nil"/>
          <w:left w:val="nil"/>
          <w:bottom w:val="nil"/>
          <w:right w:val="nil"/>
          <w:between w:val="nil"/>
        </w:pBdr>
        <w:spacing w:before="120"/>
        <w:rPr>
          <w:rFonts w:ascii="Arial" w:eastAsia="Arial" w:hAnsi="Arial"/>
          <w:b/>
          <w:smallCaps/>
          <w:color w:val="000000"/>
          <w:sz w:val="24"/>
          <w:szCs w:val="24"/>
        </w:rPr>
      </w:pPr>
      <w:bookmarkStart w:id="27" w:name="_heading=h.3as4poj" w:colFirst="0" w:colLast="0"/>
      <w:bookmarkEnd w:id="27"/>
      <w:r>
        <w:rPr>
          <w:rFonts w:ascii="Arial Bold" w:eastAsia="Arial Bold" w:hAnsi="Arial Bold" w:cs="Arial Bold"/>
          <w:b/>
          <w:color w:val="000000"/>
          <w:sz w:val="24"/>
          <w:szCs w:val="24"/>
        </w:rPr>
        <w:t>Indemnities the Supplier must give and its obligations</w:t>
      </w:r>
    </w:p>
    <w:p w14:paraId="75BB6EDC" w14:textId="77777777" w:rsidR="00F35F39" w:rsidRDefault="0076537D">
      <w:pPr>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Subject to Paragraph 3.2, the Supplier shall indemnify the Buyer and/or  the Former Supplier against any Employee Liabilities arising from or as a result of: </w:t>
      </w:r>
    </w:p>
    <w:p w14:paraId="3298D733" w14:textId="77777777" w:rsidR="00F35F39" w:rsidRDefault="0076537D">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2C847AF2" w14:textId="77777777" w:rsidR="00F35F39" w:rsidRDefault="0076537D">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breach or non-observance by the Supplier or any Subcontractor on or after the Relevant Transfer Date of:</w:t>
      </w:r>
    </w:p>
    <w:p w14:paraId="716D7153" w14:textId="77777777" w:rsidR="00F35F39" w:rsidRDefault="0076537D">
      <w:pPr>
        <w:numPr>
          <w:ilvl w:val="3"/>
          <w:numId w:val="17"/>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any collective agreement applicable to the Transferring Former Supplier Employee; and/or</w:t>
      </w:r>
    </w:p>
    <w:p w14:paraId="0EA16E13" w14:textId="77777777" w:rsidR="00F35F39" w:rsidRDefault="0076537D">
      <w:pPr>
        <w:numPr>
          <w:ilvl w:val="3"/>
          <w:numId w:val="17"/>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lastRenderedPageBreak/>
        <w:t>any custom or practice in respect of any Transferring Former Supplier Employees which the Supplier or any Subcontractor is contractually bound to honour;</w:t>
      </w:r>
    </w:p>
    <w:p w14:paraId="62087830" w14:textId="77777777" w:rsidR="00F35F39" w:rsidRDefault="0076537D">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79F7A67F" w14:textId="77777777" w:rsidR="00F35F39" w:rsidRDefault="0076537D">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2CBB46E8" w14:textId="77777777" w:rsidR="00F35F39" w:rsidRDefault="0076537D">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statement communicated to or action undertaken by the Supplier or a Subcontractor to, or in respect of, any Transferring Former Supplier Employee before the Relevant Transfer Date regarding the Relevant Transfer which has not been agreed in advance with the Buyer and/or the Former Supplier in writing;</w:t>
      </w:r>
    </w:p>
    <w:p w14:paraId="279BF3FF" w14:textId="77777777" w:rsidR="00F35F39" w:rsidRDefault="0076537D">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proceeding, claim or demand by HMRC or other statutory authority in respect of any financial obligation including, but not limited to, PAYE and primary and secondary national insurance contributions:</w:t>
      </w:r>
    </w:p>
    <w:p w14:paraId="24EC3C94" w14:textId="77777777" w:rsidR="00F35F39" w:rsidRDefault="0076537D">
      <w:pPr>
        <w:numPr>
          <w:ilvl w:val="3"/>
          <w:numId w:val="17"/>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in relation to any Transferring Former Supplier Employee, to the extent that the proceeding, claim or demand by HMRC or other statutory authority relates to financial obligations arising on or after the Relevant Transfer Date; and</w:t>
      </w:r>
    </w:p>
    <w:p w14:paraId="15DCC36C" w14:textId="77777777" w:rsidR="00F35F39" w:rsidRDefault="0076537D">
      <w:pPr>
        <w:numPr>
          <w:ilvl w:val="3"/>
          <w:numId w:val="17"/>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5141CEEA" w14:textId="77777777" w:rsidR="00F35F39" w:rsidRDefault="0076537D">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lastRenderedPageBreak/>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64ABC830" w14:textId="77777777" w:rsidR="00F35F39" w:rsidRDefault="0076537D">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2D2BC9D5" w14:textId="77777777" w:rsidR="00F35F39" w:rsidRDefault="0076537D">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 failure by the Supplier or any Subcontractor to comply with its obligations under Paragraph 2.8 above</w:t>
      </w:r>
    </w:p>
    <w:p w14:paraId="03EAB58B" w14:textId="77777777" w:rsidR="00F35F39" w:rsidRDefault="00F35F39">
      <w:pPr>
        <w:pBdr>
          <w:top w:val="nil"/>
          <w:left w:val="nil"/>
          <w:bottom w:val="nil"/>
          <w:right w:val="nil"/>
          <w:between w:val="nil"/>
        </w:pBdr>
        <w:spacing w:before="120" w:after="120"/>
        <w:ind w:left="2214" w:hanging="1080"/>
        <w:rPr>
          <w:rFonts w:eastAsia="Calibri" w:cs="Calibri"/>
          <w:color w:val="000000"/>
        </w:rPr>
      </w:pPr>
      <w:bookmarkStart w:id="28" w:name="_heading=h.1pxezwc" w:colFirst="0" w:colLast="0"/>
      <w:bookmarkEnd w:id="28"/>
    </w:p>
    <w:p w14:paraId="5E433BB5" w14:textId="77777777" w:rsidR="00F35F39" w:rsidRDefault="0076537D">
      <w:pPr>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54568105" w14:textId="77777777" w:rsidR="00F35F39" w:rsidRDefault="0076537D">
      <w:pPr>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all its obligations in respect of all the Transferring Former Supplier Employees, on and from the Relevant Transfer Date (including (without limit) the payment of all remuneration, benefits, entitlements, and outgoings, all wages, accrued but untaken holiday pay, bonuses, commissions, payments of PAYE, national insurance contributions and pension contributions and all such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15A076BC" w14:textId="77777777" w:rsidR="00F35F39" w:rsidRDefault="0076537D">
      <w:pPr>
        <w:keepNext/>
        <w:numPr>
          <w:ilvl w:val="0"/>
          <w:numId w:val="17"/>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Information the Supplier must give</w:t>
      </w:r>
    </w:p>
    <w:p w14:paraId="47F7BC93" w14:textId="77777777" w:rsidR="00F35F39" w:rsidRDefault="0076537D">
      <w:pPr>
        <w:ind w:left="357"/>
        <w:rPr>
          <w:rFonts w:ascii="Arial" w:eastAsia="Arial" w:hAnsi="Arial"/>
          <w:sz w:val="24"/>
          <w:szCs w:val="24"/>
        </w:rPr>
      </w:pPr>
      <w:r>
        <w:rPr>
          <w:rFonts w:ascii="Arial" w:eastAsia="Arial" w:hAnsi="Arial"/>
          <w:sz w:val="24"/>
          <w:szCs w:val="24"/>
        </w:rPr>
        <w:t xml:space="preserve">The Supplier shall, and shall procure that each Subcontractor shall, promptly provide to the Buyer and/or at the Buyer’s direction, the Former Supplier, in writing such information as is necessary to enable the Buyer and/or the Former Supplier to carry out their respective duties under regulation 13 of the Employment Regulations. The Buyer shall procure that the Former Supplier shall promptly provide to the Supplier and any Subcontractor in writing such information as is </w:t>
      </w:r>
      <w:r>
        <w:rPr>
          <w:rFonts w:ascii="Arial" w:eastAsia="Arial" w:hAnsi="Arial"/>
          <w:sz w:val="24"/>
          <w:szCs w:val="24"/>
        </w:rPr>
        <w:lastRenderedPageBreak/>
        <w:t>necessary to enable the Supplier and any Subcontractor to carry out their respective duties under regulation 13 of the Employment Regulations.</w:t>
      </w:r>
    </w:p>
    <w:p w14:paraId="060A28AD" w14:textId="77777777" w:rsidR="00F35F39" w:rsidRDefault="0076537D">
      <w:pPr>
        <w:keepNext/>
        <w:numPr>
          <w:ilvl w:val="0"/>
          <w:numId w:val="17"/>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Cabinet Office requirements</w:t>
      </w:r>
    </w:p>
    <w:p w14:paraId="4EC71D15" w14:textId="77777777" w:rsidR="00F35F39" w:rsidRDefault="0076537D">
      <w:pPr>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The Supplier shall, and shall procure that each Subcontractor shall, comply with any requirement notified to it by the Buyer relating to pensions in respect of any Transferring Former Supplier Employee as set down in: </w:t>
      </w:r>
    </w:p>
    <w:p w14:paraId="47B39D39" w14:textId="77777777" w:rsidR="00F35F39" w:rsidRDefault="0076537D">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Cabinet Office Statement of Practice on Staff Transfers in the Public Sector of January 2000, revised 2007; </w:t>
      </w:r>
    </w:p>
    <w:p w14:paraId="50A37171" w14:textId="77777777" w:rsidR="00F35F39" w:rsidRDefault="0076537D">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Old Fair Deal; and/or</w:t>
      </w:r>
    </w:p>
    <w:p w14:paraId="2943DECF" w14:textId="77777777" w:rsidR="00F35F39" w:rsidRDefault="0076537D">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New Fair Deal. </w:t>
      </w:r>
    </w:p>
    <w:p w14:paraId="2BC76E1D" w14:textId="77777777" w:rsidR="00F35F39" w:rsidRDefault="0076537D">
      <w:pPr>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Any changes embodied in any statement of practice, paper or other guidance that replaces any of the documentation referred to in Paragraph 5.1 shall be agreed in accordance with the  Variation Procedure.</w:t>
      </w:r>
    </w:p>
    <w:p w14:paraId="1CD809E1" w14:textId="77777777" w:rsidR="00F35F39" w:rsidRDefault="0076537D">
      <w:pPr>
        <w:keepNext/>
        <w:numPr>
          <w:ilvl w:val="0"/>
          <w:numId w:val="17"/>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Limits on the Former Supplier’s obligations</w:t>
      </w:r>
    </w:p>
    <w:p w14:paraId="26FFD12F" w14:textId="77777777" w:rsidR="00F35F39" w:rsidRDefault="0076537D">
      <w:pPr>
        <w:ind w:left="357"/>
        <w:rPr>
          <w:rFonts w:ascii="Arial" w:eastAsia="Arial" w:hAnsi="Arial"/>
          <w:sz w:val="24"/>
          <w:szCs w:val="24"/>
        </w:rPr>
      </w:pPr>
      <w:r>
        <w:rPr>
          <w:rFonts w:ascii="Arial" w:eastAsia="Arial" w:hAnsi="Arial"/>
          <w:sz w:val="24"/>
          <w:szCs w:val="24"/>
        </w:rPr>
        <w:t xml:space="preserve">Notwithstanding any other provisions of this Part B, where in this Part B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 </w:t>
      </w:r>
    </w:p>
    <w:p w14:paraId="3F08C6C0" w14:textId="77777777" w:rsidR="00F35F39" w:rsidRDefault="0076537D">
      <w:pPr>
        <w:keepNext/>
        <w:numPr>
          <w:ilvl w:val="0"/>
          <w:numId w:val="17"/>
        </w:numPr>
        <w:pBdr>
          <w:top w:val="nil"/>
          <w:left w:val="nil"/>
          <w:bottom w:val="nil"/>
          <w:right w:val="nil"/>
          <w:between w:val="nil"/>
        </w:pBdr>
        <w:spacing w:before="120"/>
        <w:rPr>
          <w:rFonts w:ascii="Arial" w:eastAsia="Arial" w:hAnsi="Arial"/>
          <w:b/>
          <w:smallCaps/>
          <w:color w:val="000000"/>
          <w:sz w:val="24"/>
          <w:szCs w:val="24"/>
        </w:rPr>
      </w:pPr>
      <w:r>
        <w:rPr>
          <w:rFonts w:ascii="Arial" w:eastAsia="Arial" w:hAnsi="Arial"/>
          <w:b/>
          <w:smallCaps/>
          <w:color w:val="000000"/>
          <w:sz w:val="24"/>
          <w:szCs w:val="24"/>
        </w:rPr>
        <w:t>P</w:t>
      </w:r>
      <w:r>
        <w:rPr>
          <w:rFonts w:ascii="Arial Bold" w:eastAsia="Arial Bold" w:hAnsi="Arial Bold" w:cs="Arial Bold"/>
          <w:b/>
          <w:color w:val="000000"/>
          <w:sz w:val="24"/>
          <w:szCs w:val="24"/>
        </w:rPr>
        <w:t>ensions</w:t>
      </w:r>
    </w:p>
    <w:p w14:paraId="4EBD82F3" w14:textId="77777777" w:rsidR="00F35F39" w:rsidRDefault="0076537D">
      <w:pPr>
        <w:keepNext/>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shall, and shall procure that each Subcontractor shall, comply with:</w:t>
      </w:r>
    </w:p>
    <w:p w14:paraId="57557DE4" w14:textId="77777777" w:rsidR="00F35F39" w:rsidRDefault="0076537D">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requirements of Part 1 of the Pensions Act 2008, section 258 of the Pensions Act 2004 and the Transfer of Employment (Pension Protection) Regulations 2005 for all transferring staff; ; and</w:t>
      </w:r>
    </w:p>
    <w:p w14:paraId="05CB76F6" w14:textId="77777777" w:rsidR="00F35F39" w:rsidRDefault="0076537D">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Part D: Pensions (and its Annexes) to this Schedule.</w:t>
      </w:r>
    </w:p>
    <w:p w14:paraId="699F7AC1" w14:textId="77777777" w:rsidR="00F35F39" w:rsidRDefault="00F35F39">
      <w:pPr>
        <w:rPr>
          <w:rFonts w:ascii="Arial" w:eastAsia="Arial" w:hAnsi="Arial"/>
          <w:sz w:val="24"/>
          <w:szCs w:val="24"/>
        </w:rPr>
      </w:pPr>
    </w:p>
    <w:p w14:paraId="26353194" w14:textId="77777777" w:rsidR="00F35F39" w:rsidRDefault="00F35F39">
      <w:pPr>
        <w:rPr>
          <w:rFonts w:ascii="Arial" w:eastAsia="Arial" w:hAnsi="Arial"/>
          <w:sz w:val="24"/>
          <w:szCs w:val="24"/>
        </w:rPr>
      </w:pPr>
    </w:p>
    <w:p w14:paraId="61BBD115" w14:textId="77777777" w:rsidR="00F35F39" w:rsidRDefault="0076537D">
      <w:pPr>
        <w:pStyle w:val="Heading1"/>
        <w:jc w:val="both"/>
        <w:rPr>
          <w:rFonts w:ascii="Arial Bold" w:eastAsia="Arial Bold" w:hAnsi="Arial Bold" w:cs="Arial Bold"/>
          <w:sz w:val="36"/>
          <w:szCs w:val="36"/>
        </w:rPr>
      </w:pPr>
      <w:r>
        <w:br w:type="page"/>
      </w:r>
      <w:r>
        <w:rPr>
          <w:rFonts w:ascii="Arial Bold" w:eastAsia="Arial Bold" w:hAnsi="Arial Bold" w:cs="Arial Bold"/>
          <w:sz w:val="36"/>
          <w:szCs w:val="36"/>
        </w:rPr>
        <w:lastRenderedPageBreak/>
        <w:t>Part C: No Staff Transfer on the Start Date</w:t>
      </w:r>
    </w:p>
    <w:p w14:paraId="7D50F60E" w14:textId="77777777" w:rsidR="00F35F39" w:rsidRDefault="0076537D">
      <w:pPr>
        <w:keepNext/>
        <w:numPr>
          <w:ilvl w:val="0"/>
          <w:numId w:val="19"/>
        </w:numPr>
        <w:pBdr>
          <w:top w:val="nil"/>
          <w:left w:val="nil"/>
          <w:bottom w:val="nil"/>
          <w:right w:val="nil"/>
          <w:between w:val="nil"/>
        </w:pBdr>
        <w:spacing w:before="120"/>
        <w:ind w:left="357" w:hanging="357"/>
        <w:rPr>
          <w:rFonts w:ascii="Arial" w:eastAsia="Arial" w:hAnsi="Arial"/>
          <w:b/>
          <w:smallCaps/>
          <w:color w:val="000000"/>
          <w:sz w:val="24"/>
          <w:szCs w:val="24"/>
        </w:rPr>
      </w:pPr>
      <w:r>
        <w:rPr>
          <w:rFonts w:ascii="Arial Bold" w:eastAsia="Arial Bold" w:hAnsi="Arial Bold" w:cs="Arial Bold"/>
          <w:b/>
          <w:color w:val="000000"/>
          <w:sz w:val="24"/>
          <w:szCs w:val="24"/>
        </w:rPr>
        <w:t>What happens if there is a staff transfer</w:t>
      </w:r>
    </w:p>
    <w:p w14:paraId="25FC78B7" w14:textId="77777777" w:rsidR="00F35F39" w:rsidRDefault="0076537D">
      <w:pPr>
        <w:numPr>
          <w:ilvl w:val="1"/>
          <w:numId w:val="19"/>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29" w:name="_heading=h.49x2ik5" w:colFirst="0" w:colLast="0"/>
      <w:bookmarkEnd w:id="29"/>
      <w:r>
        <w:rPr>
          <w:rFonts w:ascii="Arial" w:eastAsia="Arial" w:hAnsi="Arial"/>
          <w:color w:val="000000"/>
          <w:sz w:val="24"/>
          <w:szCs w:val="24"/>
        </w:rPr>
        <w:t xml:space="preserve">The Buyer and the Supplier agree that the commencement of the provision of the Services or of any part of the Services will not be a Relevant Transfer in relation to any employees of the Buyer and/or any Former Supplier.  </w:t>
      </w:r>
    </w:p>
    <w:p w14:paraId="61AFC13F" w14:textId="77777777" w:rsidR="00F35F39" w:rsidRDefault="0076537D">
      <w:pPr>
        <w:keepNext/>
        <w:numPr>
          <w:ilvl w:val="1"/>
          <w:numId w:val="19"/>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30" w:name="_heading=h.2p2csry" w:colFirst="0" w:colLast="0"/>
      <w:bookmarkEnd w:id="30"/>
      <w:r>
        <w:rPr>
          <w:rFonts w:ascii="Arial" w:eastAsia="Arial" w:hAnsi="Arial"/>
          <w:color w:val="000000"/>
          <w:sz w:val="24"/>
          <w:szCs w:val="24"/>
        </w:rPr>
        <w:t>If any employee of the Buyer and/or a Former Supplier claims, or it is determined in relation to any employee of the Buyer and/or a Former Supplier, that his/her contract of employment has been transferred from the Buyer and/or the Former Supplier to the Supplier and/or any Subcontractor pursuant to the Employment Regulations or the Acquired Rights Directive then:</w:t>
      </w:r>
    </w:p>
    <w:p w14:paraId="2E9573A4" w14:textId="77777777" w:rsidR="00F35F39" w:rsidRDefault="0076537D">
      <w:pPr>
        <w:numPr>
          <w:ilvl w:val="2"/>
          <w:numId w:val="19"/>
        </w:numPr>
        <w:pBdr>
          <w:top w:val="nil"/>
          <w:left w:val="nil"/>
          <w:bottom w:val="nil"/>
          <w:right w:val="nil"/>
          <w:between w:val="nil"/>
        </w:pBdr>
        <w:spacing w:before="120" w:after="120"/>
        <w:rPr>
          <w:rFonts w:ascii="Arial" w:eastAsia="Arial" w:hAnsi="Arial"/>
          <w:color w:val="000000"/>
          <w:sz w:val="24"/>
          <w:szCs w:val="24"/>
        </w:rPr>
      </w:pPr>
      <w:bookmarkStart w:id="31" w:name="_heading=h.147n2zr" w:colFirst="0" w:colLast="0"/>
      <w:bookmarkEnd w:id="31"/>
      <w:r>
        <w:rPr>
          <w:rFonts w:ascii="Arial" w:eastAsia="Arial" w:hAnsi="Arial"/>
          <w:color w:val="000000"/>
          <w:sz w:val="24"/>
          <w:szCs w:val="24"/>
        </w:rPr>
        <w:t>the Supplier shall, and shall procure that the relevant Subcontractor shall, within 5 Working Days of becoming aware of that fact, notify the Buyer in writing and, where required by the Buyer, notify the Former Supplier in writing; and</w:t>
      </w:r>
    </w:p>
    <w:p w14:paraId="368227AE" w14:textId="77777777" w:rsidR="00F35F39" w:rsidRDefault="0076537D">
      <w:pPr>
        <w:numPr>
          <w:ilvl w:val="2"/>
          <w:numId w:val="19"/>
        </w:numPr>
        <w:pBdr>
          <w:top w:val="nil"/>
          <w:left w:val="nil"/>
          <w:bottom w:val="nil"/>
          <w:right w:val="nil"/>
          <w:between w:val="nil"/>
        </w:pBdr>
        <w:spacing w:before="120" w:after="120"/>
        <w:rPr>
          <w:rFonts w:ascii="Arial" w:eastAsia="Arial" w:hAnsi="Arial"/>
          <w:color w:val="000000"/>
          <w:sz w:val="24"/>
          <w:szCs w:val="24"/>
        </w:rPr>
      </w:pPr>
      <w:bookmarkStart w:id="32" w:name="_heading=h.3o7alnk" w:colFirst="0" w:colLast="0"/>
      <w:bookmarkEnd w:id="32"/>
      <w:r>
        <w:rPr>
          <w:rFonts w:ascii="Arial" w:eastAsia="Arial" w:hAnsi="Arial"/>
          <w:color w:val="000000"/>
          <w:sz w:val="24"/>
          <w:szCs w:val="24"/>
        </w:rPr>
        <w:t>the Buyer and/or the Former Supplier may offer (or may procure that a third party may offer) employment to such person within 15 Working Days of the notification from the Supplier or the Subcontractor (as appropriate) or take such other reasonable steps as the Buyer or Former Supplier (as the case may be) it considers appropriate to deal with the matter provided always that such steps are in compliance with applicable Law.</w:t>
      </w:r>
    </w:p>
    <w:p w14:paraId="3A391487" w14:textId="77777777" w:rsidR="00F35F39" w:rsidRDefault="0076537D">
      <w:pPr>
        <w:numPr>
          <w:ilvl w:val="1"/>
          <w:numId w:val="19"/>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If an offer referred to in Paragraph 1.2.2 is accepted (or if the situation has otherwise been resolved by the Buyer and/or the Former Supplier),, the Supplier shall, or shall procure that the Subcontractor shall, immediately release the person from his/her employment or alleged employment.</w:t>
      </w:r>
    </w:p>
    <w:p w14:paraId="3AD56279" w14:textId="77777777" w:rsidR="00F35F39" w:rsidRDefault="0076537D">
      <w:pPr>
        <w:numPr>
          <w:ilvl w:val="1"/>
          <w:numId w:val="19"/>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33" w:name="_heading=h.23ckvvd" w:colFirst="0" w:colLast="0"/>
      <w:bookmarkEnd w:id="33"/>
      <w:r>
        <w:rPr>
          <w:rFonts w:ascii="Arial" w:eastAsia="Arial" w:hAnsi="Arial"/>
          <w:color w:val="000000"/>
          <w:sz w:val="24"/>
          <w:szCs w:val="24"/>
        </w:rPr>
        <w:t xml:space="preserve">If by the end of the 15 Working Day period referred to in Paragraph 1.2.2: </w:t>
      </w:r>
    </w:p>
    <w:p w14:paraId="272F9739" w14:textId="77777777" w:rsidR="00F35F39" w:rsidRDefault="0076537D">
      <w:pPr>
        <w:numPr>
          <w:ilvl w:val="2"/>
          <w:numId w:val="1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no such offer of employment has been made; </w:t>
      </w:r>
    </w:p>
    <w:p w14:paraId="67C92252" w14:textId="77777777" w:rsidR="00F35F39" w:rsidRDefault="0076537D">
      <w:pPr>
        <w:numPr>
          <w:ilvl w:val="2"/>
          <w:numId w:val="1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such offer has been made but not accepted; or</w:t>
      </w:r>
    </w:p>
    <w:p w14:paraId="2A36A1F8" w14:textId="77777777" w:rsidR="00F35F39" w:rsidRDefault="0076537D">
      <w:pPr>
        <w:numPr>
          <w:ilvl w:val="2"/>
          <w:numId w:val="1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situation has not otherwise been resolved; </w:t>
      </w:r>
    </w:p>
    <w:p w14:paraId="0CF07C71" w14:textId="77777777" w:rsidR="00F35F39" w:rsidRDefault="0076537D">
      <w:pPr>
        <w:pBdr>
          <w:top w:val="nil"/>
          <w:left w:val="nil"/>
          <w:bottom w:val="nil"/>
          <w:right w:val="nil"/>
          <w:between w:val="nil"/>
        </w:pBdr>
        <w:spacing w:before="120" w:after="120"/>
        <w:ind w:left="1134" w:hanging="1080"/>
        <w:rPr>
          <w:rFonts w:ascii="Arial" w:eastAsia="Arial" w:hAnsi="Arial"/>
          <w:color w:val="000000"/>
          <w:sz w:val="24"/>
          <w:szCs w:val="24"/>
        </w:rPr>
      </w:pPr>
      <w:r>
        <w:rPr>
          <w:rFonts w:ascii="Arial" w:eastAsia="Arial" w:hAnsi="Arial"/>
          <w:color w:val="000000"/>
          <w:sz w:val="24"/>
          <w:szCs w:val="24"/>
        </w:rPr>
        <w:t xml:space="preserve">the Supplier may within 5 Working Days give notice to terminate the employment or alleged employment of such person. </w:t>
      </w:r>
    </w:p>
    <w:p w14:paraId="00E2AA43" w14:textId="77777777" w:rsidR="00F35F39" w:rsidRDefault="00F35F39">
      <w:pPr>
        <w:pBdr>
          <w:top w:val="nil"/>
          <w:left w:val="nil"/>
          <w:bottom w:val="nil"/>
          <w:right w:val="nil"/>
          <w:between w:val="nil"/>
        </w:pBdr>
        <w:spacing w:before="120" w:after="120"/>
        <w:ind w:left="1134" w:hanging="1080"/>
        <w:rPr>
          <w:rFonts w:ascii="Arial" w:eastAsia="Arial" w:hAnsi="Arial"/>
          <w:color w:val="000000"/>
          <w:sz w:val="24"/>
          <w:szCs w:val="24"/>
        </w:rPr>
      </w:pPr>
    </w:p>
    <w:p w14:paraId="12AA6A17" w14:textId="77777777" w:rsidR="00F35F39" w:rsidRDefault="0076537D">
      <w:pPr>
        <w:numPr>
          <w:ilvl w:val="1"/>
          <w:numId w:val="19"/>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Subject to the Supplier and/or the relevant Subcontractor acting in accordance with the provisions of Paragraphs 1.2 to 1.4  and in accordance with all applicable employment procedures set out in applicable Law and subject also to Paragraph 1.8 the Buyer shall:</w:t>
      </w:r>
    </w:p>
    <w:p w14:paraId="2EB4AC1B" w14:textId="77777777" w:rsidR="00F35F39" w:rsidRDefault="0076537D">
      <w:pPr>
        <w:numPr>
          <w:ilvl w:val="2"/>
          <w:numId w:val="1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indemnify the Supplier and/or the relevant Subcontractor against all Employee Liabilities arising out of the termination of the employment of any of the Buyer's employees referred to in Paragraph 1.2 made pursuant to the provisions of Paragraph 1.4 </w:t>
      </w:r>
      <w:r>
        <w:rPr>
          <w:rFonts w:ascii="Arial" w:eastAsia="Arial" w:hAnsi="Arial"/>
          <w:color w:val="000000"/>
          <w:sz w:val="24"/>
          <w:szCs w:val="24"/>
        </w:rPr>
        <w:lastRenderedPageBreak/>
        <w:t xml:space="preserve">provided that the Supplier takes, or shall procure that the Subcontractor takes, all reasonable steps to minimise any such Employee Liabilities; and </w:t>
      </w:r>
    </w:p>
    <w:p w14:paraId="643B4C2E" w14:textId="77777777" w:rsidR="00F35F39" w:rsidRDefault="0076537D">
      <w:pPr>
        <w:numPr>
          <w:ilvl w:val="2"/>
          <w:numId w:val="1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procure that the Former Supplier indemnifies the Supplier and/or any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51E66407" w14:textId="77777777" w:rsidR="00F35F39" w:rsidRDefault="0076537D">
      <w:pPr>
        <w:keepNext/>
        <w:numPr>
          <w:ilvl w:val="1"/>
          <w:numId w:val="19"/>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If any such person as is described in Paragraph 1.2 is neither re employed by the Buyer and/or the Former Supplier as appropriate nor dismissed by the Supplier and/or any Subcontractor within the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0E984480" w14:textId="77777777" w:rsidR="00F35F39" w:rsidRDefault="0076537D">
      <w:pPr>
        <w:keepNext/>
        <w:numPr>
          <w:ilvl w:val="1"/>
          <w:numId w:val="19"/>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Where any person remains employed by the Supplier and/or any Subcontractor pursuant to Paragraph 1.6, all Employee Liabilities in relation to such employee shall remain with the Supplier and/or the Subcontractor and the Supplier shall indemnify the Buyer and any Former Supplier, and shall procure that the Subcontractor shall indemnify the Buyer and any Former Supplier, against any Employee Liabilities that either of them may incur in respect of any such employees of the Supplier and/or employees of the Subcontractor.</w:t>
      </w:r>
    </w:p>
    <w:p w14:paraId="0288A1D2" w14:textId="77777777" w:rsidR="00F35F39" w:rsidRDefault="00F35F39">
      <w:pPr>
        <w:keepNext/>
        <w:pBdr>
          <w:top w:val="nil"/>
          <w:left w:val="nil"/>
          <w:bottom w:val="nil"/>
          <w:right w:val="nil"/>
          <w:between w:val="nil"/>
        </w:pBdr>
        <w:tabs>
          <w:tab w:val="left" w:pos="993"/>
        </w:tabs>
        <w:spacing w:before="120" w:after="120"/>
        <w:ind w:left="720" w:hanging="720"/>
        <w:rPr>
          <w:rFonts w:eastAsia="Calibri" w:cs="Calibri"/>
          <w:color w:val="000000"/>
        </w:rPr>
      </w:pPr>
    </w:p>
    <w:p w14:paraId="4EB4950F" w14:textId="77777777" w:rsidR="00F35F39" w:rsidRDefault="0076537D">
      <w:pPr>
        <w:keepNext/>
        <w:numPr>
          <w:ilvl w:val="1"/>
          <w:numId w:val="19"/>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34" w:name="_heading=h.ihv636" w:colFirst="0" w:colLast="0"/>
      <w:bookmarkEnd w:id="34"/>
      <w:r>
        <w:rPr>
          <w:rFonts w:ascii="Arial" w:eastAsia="Arial" w:hAnsi="Arial"/>
          <w:color w:val="000000"/>
          <w:sz w:val="24"/>
          <w:szCs w:val="24"/>
        </w:rPr>
        <w:t xml:space="preserve">The indemnities in Paragraph 1.5: </w:t>
      </w:r>
    </w:p>
    <w:p w14:paraId="00C73AE5" w14:textId="77777777" w:rsidR="00F35F39" w:rsidRDefault="0076537D">
      <w:pPr>
        <w:numPr>
          <w:ilvl w:val="2"/>
          <w:numId w:val="1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shall not apply to: </w:t>
      </w:r>
    </w:p>
    <w:p w14:paraId="762B1085" w14:textId="77777777" w:rsidR="00F35F39" w:rsidRDefault="0076537D">
      <w:pPr>
        <w:numPr>
          <w:ilvl w:val="3"/>
          <w:numId w:val="1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any claim for:</w:t>
      </w:r>
    </w:p>
    <w:p w14:paraId="6D25BA65" w14:textId="77777777" w:rsidR="00F35F39" w:rsidRDefault="0076537D">
      <w:pPr>
        <w:pBdr>
          <w:top w:val="nil"/>
          <w:left w:val="nil"/>
          <w:bottom w:val="nil"/>
          <w:right w:val="nil"/>
          <w:between w:val="nil"/>
        </w:pBdr>
        <w:spacing w:before="120" w:after="120"/>
        <w:ind w:left="3969" w:hanging="991"/>
        <w:rPr>
          <w:rFonts w:ascii="Arial" w:eastAsia="Arial" w:hAnsi="Arial"/>
          <w:color w:val="000000"/>
          <w:sz w:val="24"/>
          <w:szCs w:val="24"/>
        </w:rPr>
      </w:pPr>
      <w:r>
        <w:rPr>
          <w:rFonts w:ascii="Arial" w:eastAsia="Arial" w:hAnsi="Arial"/>
          <w:color w:val="000000"/>
          <w:sz w:val="24"/>
          <w:szCs w:val="24"/>
        </w:rPr>
        <w:t>(</w:t>
      </w:r>
      <w:proofErr w:type="spellStart"/>
      <w:r>
        <w:rPr>
          <w:rFonts w:ascii="Arial" w:eastAsia="Arial" w:hAnsi="Arial"/>
          <w:color w:val="000000"/>
          <w:sz w:val="24"/>
          <w:szCs w:val="24"/>
        </w:rPr>
        <w:t>i</w:t>
      </w:r>
      <w:proofErr w:type="spellEnd"/>
      <w:r>
        <w:rPr>
          <w:rFonts w:ascii="Arial" w:eastAsia="Arial" w:hAnsi="Arial"/>
          <w:color w:val="000000"/>
          <w:sz w:val="24"/>
          <w:szCs w:val="24"/>
        </w:rPr>
        <w:t xml:space="preserve">)     discrimination, including on the grounds of sex, race, disability, age, gender reassignment, marriage or civil partnership, pregnancy and maternity or sexual orientation, religion or belief; or </w:t>
      </w:r>
    </w:p>
    <w:p w14:paraId="5B6CB8A4" w14:textId="77777777" w:rsidR="00F35F39" w:rsidRDefault="0076537D">
      <w:pPr>
        <w:pBdr>
          <w:top w:val="nil"/>
          <w:left w:val="nil"/>
          <w:bottom w:val="nil"/>
          <w:right w:val="nil"/>
          <w:between w:val="nil"/>
        </w:pBdr>
        <w:spacing w:before="120" w:after="120"/>
        <w:ind w:left="3969" w:hanging="991"/>
        <w:rPr>
          <w:rFonts w:ascii="Arial" w:eastAsia="Arial" w:hAnsi="Arial"/>
          <w:color w:val="000000"/>
          <w:sz w:val="24"/>
          <w:szCs w:val="24"/>
        </w:rPr>
      </w:pPr>
      <w:r>
        <w:rPr>
          <w:rFonts w:ascii="Arial" w:eastAsia="Arial" w:hAnsi="Arial"/>
          <w:color w:val="000000"/>
          <w:sz w:val="24"/>
          <w:szCs w:val="24"/>
        </w:rPr>
        <w:t>(ii)</w:t>
      </w:r>
      <w:r>
        <w:rPr>
          <w:rFonts w:ascii="Arial" w:eastAsia="Arial" w:hAnsi="Arial"/>
          <w:color w:val="000000"/>
          <w:sz w:val="24"/>
          <w:szCs w:val="24"/>
        </w:rPr>
        <w:tab/>
        <w:t xml:space="preserve">equal pay or compensation for less favourable treatment of part-time workers or fixed-term employees, </w:t>
      </w:r>
    </w:p>
    <w:p w14:paraId="74F44078" w14:textId="77777777" w:rsidR="00F35F39" w:rsidRDefault="0076537D">
      <w:pPr>
        <w:pBdr>
          <w:top w:val="nil"/>
          <w:left w:val="nil"/>
          <w:bottom w:val="nil"/>
          <w:right w:val="nil"/>
          <w:between w:val="nil"/>
        </w:pBdr>
        <w:spacing w:before="120" w:after="120"/>
        <w:ind w:left="2977" w:hanging="1080"/>
        <w:rPr>
          <w:rFonts w:ascii="Arial" w:eastAsia="Arial" w:hAnsi="Arial"/>
          <w:color w:val="000000"/>
          <w:sz w:val="24"/>
          <w:szCs w:val="24"/>
        </w:rPr>
      </w:pPr>
      <w:r>
        <w:rPr>
          <w:rFonts w:ascii="Arial" w:eastAsia="Arial" w:hAnsi="Arial"/>
          <w:color w:val="000000"/>
          <w:sz w:val="24"/>
          <w:szCs w:val="24"/>
        </w:rPr>
        <w:t>in any case in relation to any alleged act or omission of the Supplier and/or Subcontractor; or</w:t>
      </w:r>
    </w:p>
    <w:p w14:paraId="595A3414" w14:textId="77777777" w:rsidR="00F35F39" w:rsidRDefault="0076537D">
      <w:pPr>
        <w:numPr>
          <w:ilvl w:val="3"/>
          <w:numId w:val="1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any claim that the termination of employment was unfair because the Supplier and/or any Subcontractor neglected to follow a fair dismissal procedure; and </w:t>
      </w:r>
    </w:p>
    <w:p w14:paraId="748CC019" w14:textId="77777777" w:rsidR="00F35F39" w:rsidRDefault="0076537D">
      <w:pPr>
        <w:numPr>
          <w:ilvl w:val="2"/>
          <w:numId w:val="1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shall apply only where the notification referred to in Paragraph 1.2.1 is made by the Supplier and/or any </w:t>
      </w:r>
      <w:r>
        <w:rPr>
          <w:rFonts w:ascii="Arial" w:eastAsia="Arial" w:hAnsi="Arial"/>
          <w:color w:val="000000"/>
          <w:sz w:val="24"/>
          <w:szCs w:val="24"/>
        </w:rPr>
        <w:lastRenderedPageBreak/>
        <w:t xml:space="preserve">Subcontractor to the Buyer and, if applicable, Former Supplier within 6 months of the Start Date. </w:t>
      </w:r>
    </w:p>
    <w:p w14:paraId="56B2814E" w14:textId="77777777" w:rsidR="00F35F39" w:rsidRDefault="0076537D">
      <w:pPr>
        <w:numPr>
          <w:ilvl w:val="1"/>
          <w:numId w:val="19"/>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35" w:name="_heading=h.32hioqz" w:colFirst="0" w:colLast="0"/>
      <w:bookmarkEnd w:id="35"/>
      <w:r>
        <w:rPr>
          <w:rFonts w:ascii="Arial" w:eastAsia="Arial" w:hAnsi="Arial"/>
          <w:color w:val="000000"/>
          <w:sz w:val="24"/>
          <w:szCs w:val="24"/>
        </w:rPr>
        <w:t>If the Supplier and/or the Subcontractor does not comply with Paragraph 1.2, all Employee Liabilities in relation to such employees shall remain with the Supplier and/or the Subcontractor and the Supplier shall (</w:t>
      </w:r>
      <w:proofErr w:type="spellStart"/>
      <w:r>
        <w:rPr>
          <w:rFonts w:ascii="Arial" w:eastAsia="Arial" w:hAnsi="Arial"/>
          <w:color w:val="000000"/>
          <w:sz w:val="24"/>
          <w:szCs w:val="24"/>
        </w:rPr>
        <w:t>i</w:t>
      </w:r>
      <w:proofErr w:type="spellEnd"/>
      <w:r>
        <w:rPr>
          <w:rFonts w:ascii="Arial" w:eastAsia="Arial" w:hAnsi="Arial"/>
          <w:color w:val="000000"/>
          <w:sz w:val="24"/>
          <w:szCs w:val="24"/>
        </w:rPr>
        <w:t>) comply with the provisions of Part D: Pensions of this Schedule, and (ii) indemnify the Buyer and any Former Supplier against any Employee Liabilities that either of them may incur in respect of any such employees of the Supplier and/or employees of the Subcontractor.</w:t>
      </w:r>
    </w:p>
    <w:p w14:paraId="191781DA" w14:textId="77777777" w:rsidR="00F35F39" w:rsidRDefault="0076537D">
      <w:pPr>
        <w:keepNext/>
        <w:numPr>
          <w:ilvl w:val="0"/>
          <w:numId w:val="19"/>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Limits on the Former Supplier’s obligations</w:t>
      </w:r>
    </w:p>
    <w:p w14:paraId="35DD4CFB" w14:textId="77777777" w:rsidR="00F35F39" w:rsidRDefault="0076537D">
      <w:pPr>
        <w:ind w:left="357"/>
        <w:rPr>
          <w:rFonts w:ascii="Arial" w:eastAsia="Arial" w:hAnsi="Arial"/>
          <w:sz w:val="24"/>
          <w:szCs w:val="24"/>
        </w:rPr>
      </w:pPr>
      <w:r>
        <w:rPr>
          <w:rFonts w:ascii="Arial" w:eastAsia="Arial" w:hAnsi="Arial"/>
          <w:sz w:val="24"/>
          <w:szCs w:val="24"/>
        </w:rPr>
        <w:t>Where in this Part C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w:t>
      </w:r>
    </w:p>
    <w:p w14:paraId="05DF0949" w14:textId="77777777" w:rsidR="00F35F39" w:rsidRDefault="0076537D">
      <w:pPr>
        <w:pStyle w:val="Heading1"/>
        <w:keepNext/>
        <w:jc w:val="both"/>
        <w:rPr>
          <w:rFonts w:ascii="Arial Bold" w:eastAsia="Arial Bold" w:hAnsi="Arial Bold" w:cs="Arial Bold"/>
          <w:sz w:val="36"/>
          <w:szCs w:val="36"/>
        </w:rPr>
      </w:pPr>
      <w:r>
        <w:br w:type="page"/>
      </w:r>
      <w:r>
        <w:rPr>
          <w:rFonts w:ascii="Arial Bold" w:eastAsia="Arial Bold" w:hAnsi="Arial Bold" w:cs="Arial Bold"/>
          <w:sz w:val="36"/>
          <w:szCs w:val="36"/>
        </w:rPr>
        <w:lastRenderedPageBreak/>
        <w:t>Part D: Pensions</w:t>
      </w:r>
    </w:p>
    <w:p w14:paraId="5873EFAA" w14:textId="77777777" w:rsidR="00F35F39" w:rsidRDefault="0076537D">
      <w:pPr>
        <w:rPr>
          <w:rFonts w:ascii="Arial" w:eastAsia="Arial" w:hAnsi="Arial"/>
        </w:rPr>
      </w:pPr>
      <w:r>
        <w:rPr>
          <w:rFonts w:ascii="Arial" w:eastAsia="Arial" w:hAnsi="Arial"/>
          <w:b/>
          <w:sz w:val="24"/>
          <w:szCs w:val="24"/>
          <w:highlight w:val="yellow"/>
        </w:rPr>
        <w:t>[Guidance: You should take specific legal advice on this Part D. Please also note that this Part D is drafted to reflect the requirements of New Fair Deal. Accordingly, where a contracting authority is a best value authority it will be subject to the requirements of the Best Value Authorities Staff Transfers (Pensions) Direction 2007 (or the Welsh Authorities Staff Transfers (Pensions) Direction 2012 if appropriate) and should take further specific legal advice to ensure compliance with those Directions.]</w:t>
      </w:r>
      <w:r>
        <w:rPr>
          <w:rFonts w:ascii="Arial" w:eastAsia="Arial" w:hAnsi="Arial"/>
          <w:b/>
          <w:sz w:val="24"/>
          <w:szCs w:val="24"/>
        </w:rPr>
        <w:t xml:space="preserve">  </w:t>
      </w:r>
    </w:p>
    <w:p w14:paraId="72BE24CC" w14:textId="77777777" w:rsidR="00F35F39" w:rsidRDefault="0076537D">
      <w:pPr>
        <w:keepNext/>
        <w:numPr>
          <w:ilvl w:val="0"/>
          <w:numId w:val="2"/>
        </w:numPr>
        <w:pBdr>
          <w:top w:val="nil"/>
          <w:left w:val="nil"/>
          <w:bottom w:val="nil"/>
          <w:right w:val="nil"/>
          <w:between w:val="nil"/>
        </w:pBdr>
        <w:spacing w:before="120"/>
        <w:ind w:left="357" w:hanging="357"/>
        <w:rPr>
          <w:rFonts w:ascii="Arial Bold" w:eastAsia="Arial Bold" w:hAnsi="Arial Bold" w:cs="Arial Bold"/>
          <w:b/>
          <w:color w:val="000000"/>
          <w:sz w:val="24"/>
          <w:szCs w:val="24"/>
        </w:rPr>
      </w:pPr>
      <w:r>
        <w:rPr>
          <w:rFonts w:ascii="Arial Bold" w:eastAsia="Arial Bold" w:hAnsi="Arial Bold" w:cs="Arial Bold"/>
          <w:b/>
          <w:color w:val="000000"/>
          <w:sz w:val="24"/>
          <w:szCs w:val="24"/>
        </w:rPr>
        <w:t>Definitions</w:t>
      </w:r>
    </w:p>
    <w:p w14:paraId="0396905D" w14:textId="77777777" w:rsidR="00F35F39" w:rsidRDefault="0076537D">
      <w:pPr>
        <w:keepNext/>
        <w:ind w:left="357"/>
        <w:rPr>
          <w:rFonts w:ascii="Arial" w:eastAsia="Arial" w:hAnsi="Arial"/>
          <w:sz w:val="24"/>
          <w:szCs w:val="24"/>
        </w:rPr>
      </w:pPr>
      <w:r>
        <w:rPr>
          <w:rFonts w:ascii="Arial" w:eastAsia="Arial" w:hAnsi="Arial"/>
          <w:sz w:val="24"/>
          <w:szCs w:val="24"/>
        </w:rPr>
        <w:t>In this Part D and Part E, the following words have the following meanings and they shall supplement Joint Schedule 1 (Definitions), and shall be deemed to include the definitions set out in the Annexes to this Part D:</w:t>
      </w:r>
    </w:p>
    <w:tbl>
      <w:tblPr>
        <w:tblStyle w:val="a0"/>
        <w:tblW w:w="9026" w:type="dxa"/>
        <w:tblInd w:w="-115" w:type="dxa"/>
        <w:tblLayout w:type="fixed"/>
        <w:tblLook w:val="0400" w:firstRow="0" w:lastRow="0" w:firstColumn="0" w:lastColumn="0" w:noHBand="0" w:noVBand="1"/>
      </w:tblPr>
      <w:tblGrid>
        <w:gridCol w:w="3404"/>
        <w:gridCol w:w="5622"/>
      </w:tblGrid>
      <w:tr w:rsidR="00F35F39" w14:paraId="0432038A" w14:textId="77777777">
        <w:tc>
          <w:tcPr>
            <w:tcW w:w="3404" w:type="dxa"/>
            <w:shd w:val="clear" w:color="auto" w:fill="auto"/>
          </w:tcPr>
          <w:p w14:paraId="422CE2C7" w14:textId="77777777" w:rsidR="00F35F39" w:rsidRDefault="0076537D">
            <w:pPr>
              <w:spacing w:before="120" w:after="120"/>
              <w:ind w:left="720"/>
              <w:rPr>
                <w:rFonts w:ascii="Arial" w:eastAsia="Arial" w:hAnsi="Arial"/>
                <w:b/>
                <w:sz w:val="24"/>
                <w:szCs w:val="24"/>
              </w:rPr>
            </w:pPr>
            <w:r>
              <w:rPr>
                <w:rFonts w:ascii="Arial" w:eastAsia="Arial" w:hAnsi="Arial"/>
                <w:b/>
                <w:sz w:val="24"/>
                <w:szCs w:val="24"/>
              </w:rPr>
              <w:t>"Actuary"</w:t>
            </w:r>
          </w:p>
        </w:tc>
        <w:tc>
          <w:tcPr>
            <w:tcW w:w="5622" w:type="dxa"/>
            <w:shd w:val="clear" w:color="auto" w:fill="auto"/>
          </w:tcPr>
          <w:p w14:paraId="4F04BF76" w14:textId="77777777" w:rsidR="00F35F39" w:rsidRDefault="0076537D">
            <w:pPr>
              <w:tabs>
                <w:tab w:val="left" w:pos="235"/>
              </w:tabs>
              <w:spacing w:before="120" w:after="120"/>
              <w:rPr>
                <w:rFonts w:ascii="Arial" w:eastAsia="Arial" w:hAnsi="Arial"/>
                <w:color w:val="000000"/>
                <w:sz w:val="24"/>
                <w:szCs w:val="24"/>
              </w:rPr>
            </w:pPr>
            <w:r>
              <w:rPr>
                <w:rFonts w:ascii="Arial" w:eastAsia="Arial" w:hAnsi="Arial"/>
                <w:color w:val="000000"/>
                <w:sz w:val="24"/>
                <w:szCs w:val="24"/>
              </w:rPr>
              <w:t>a Fellow of the Institute and Faculty of Actuaries;</w:t>
            </w:r>
          </w:p>
        </w:tc>
      </w:tr>
      <w:tr w:rsidR="00F35F39" w14:paraId="4646DE9D" w14:textId="77777777">
        <w:tc>
          <w:tcPr>
            <w:tcW w:w="3404" w:type="dxa"/>
            <w:shd w:val="clear" w:color="auto" w:fill="auto"/>
          </w:tcPr>
          <w:p w14:paraId="0DBE674E" w14:textId="77777777" w:rsidR="00F35F39" w:rsidRDefault="0076537D">
            <w:pPr>
              <w:spacing w:before="120" w:after="120"/>
              <w:ind w:left="720"/>
              <w:rPr>
                <w:rFonts w:ascii="Arial" w:eastAsia="Arial" w:hAnsi="Arial"/>
                <w:b/>
                <w:sz w:val="24"/>
                <w:szCs w:val="24"/>
              </w:rPr>
            </w:pPr>
            <w:r>
              <w:rPr>
                <w:rFonts w:ascii="Arial" w:eastAsia="Arial" w:hAnsi="Arial"/>
                <w:b/>
                <w:sz w:val="24"/>
                <w:szCs w:val="24"/>
              </w:rPr>
              <w:t>"Admission Agreement"</w:t>
            </w:r>
          </w:p>
        </w:tc>
        <w:tc>
          <w:tcPr>
            <w:tcW w:w="5622" w:type="dxa"/>
            <w:shd w:val="clear" w:color="auto" w:fill="auto"/>
          </w:tcPr>
          <w:p w14:paraId="5C8DC837" w14:textId="77777777" w:rsidR="00F35F39" w:rsidRDefault="0076537D">
            <w:pPr>
              <w:tabs>
                <w:tab w:val="left" w:pos="235"/>
              </w:tabs>
              <w:spacing w:before="120" w:after="120"/>
              <w:rPr>
                <w:rFonts w:ascii="Arial" w:eastAsia="Arial" w:hAnsi="Arial"/>
                <w:sz w:val="24"/>
                <w:szCs w:val="24"/>
              </w:rPr>
            </w:pPr>
            <w:r>
              <w:rPr>
                <w:rFonts w:ascii="Arial" w:eastAsia="Arial" w:hAnsi="Arial"/>
                <w:sz w:val="24"/>
                <w:szCs w:val="24"/>
              </w:rPr>
              <w:t>either or both of the CSPS Admission Agreement (as defined in Annex D1: CSPS) or the LGPS Admission Agreement (as defined in Annex D3: LGPS), as the context requires;</w:t>
            </w:r>
          </w:p>
        </w:tc>
      </w:tr>
      <w:tr w:rsidR="00F35F39" w14:paraId="2EBE2BCE" w14:textId="77777777">
        <w:tc>
          <w:tcPr>
            <w:tcW w:w="3404" w:type="dxa"/>
            <w:shd w:val="clear" w:color="auto" w:fill="auto"/>
          </w:tcPr>
          <w:p w14:paraId="27D717CF" w14:textId="77777777" w:rsidR="00F35F39" w:rsidRDefault="0076537D">
            <w:pPr>
              <w:spacing w:before="120" w:after="120"/>
              <w:ind w:left="720"/>
              <w:rPr>
                <w:rFonts w:ascii="Arial" w:eastAsia="Arial" w:hAnsi="Arial"/>
                <w:b/>
                <w:sz w:val="24"/>
                <w:szCs w:val="24"/>
              </w:rPr>
            </w:pPr>
            <w:r>
              <w:rPr>
                <w:rFonts w:ascii="Arial" w:eastAsia="Arial" w:hAnsi="Arial"/>
                <w:b/>
                <w:sz w:val="24"/>
                <w:szCs w:val="24"/>
              </w:rPr>
              <w:t>“Best Value Direction”</w:t>
            </w:r>
          </w:p>
        </w:tc>
        <w:tc>
          <w:tcPr>
            <w:tcW w:w="5622" w:type="dxa"/>
            <w:shd w:val="clear" w:color="auto" w:fill="auto"/>
          </w:tcPr>
          <w:p w14:paraId="01B933D3" w14:textId="77777777" w:rsidR="00F35F39" w:rsidRDefault="0076537D">
            <w:pPr>
              <w:widowControl w:val="0"/>
              <w:spacing w:after="0"/>
              <w:rPr>
                <w:rFonts w:ascii="Arial" w:eastAsia="Arial" w:hAnsi="Arial"/>
                <w:sz w:val="24"/>
                <w:szCs w:val="24"/>
              </w:rPr>
            </w:pPr>
            <w:r>
              <w:rPr>
                <w:rFonts w:ascii="Arial" w:eastAsia="Arial" w:hAnsi="Arial"/>
                <w:sz w:val="24"/>
                <w:szCs w:val="24"/>
              </w:rPr>
              <w:t>the Best Value Authorities Staff Transfers (Pensions) Direction 2007 or the Welsh Authorities Staff Transfers (Pensions) Direction 2012 (as appropriate);</w:t>
            </w:r>
          </w:p>
          <w:p w14:paraId="3905CE0A" w14:textId="77777777" w:rsidR="00F35F39" w:rsidRDefault="00F35F39">
            <w:pPr>
              <w:tabs>
                <w:tab w:val="left" w:pos="235"/>
              </w:tabs>
              <w:spacing w:before="120" w:after="120"/>
              <w:rPr>
                <w:rFonts w:ascii="Arial" w:eastAsia="Arial" w:hAnsi="Arial"/>
                <w:sz w:val="24"/>
                <w:szCs w:val="24"/>
              </w:rPr>
            </w:pPr>
          </w:p>
        </w:tc>
      </w:tr>
      <w:tr w:rsidR="00F35F39" w14:paraId="3E8B5376" w14:textId="77777777">
        <w:tc>
          <w:tcPr>
            <w:tcW w:w="3404" w:type="dxa"/>
            <w:shd w:val="clear" w:color="auto" w:fill="auto"/>
          </w:tcPr>
          <w:p w14:paraId="50A343F8" w14:textId="77777777" w:rsidR="00F35F39" w:rsidRDefault="0076537D">
            <w:pPr>
              <w:widowControl w:val="0"/>
              <w:spacing w:before="120" w:after="120"/>
              <w:ind w:left="720"/>
              <w:rPr>
                <w:rFonts w:ascii="Arial" w:eastAsia="Arial" w:hAnsi="Arial"/>
                <w:b/>
                <w:sz w:val="24"/>
                <w:szCs w:val="24"/>
              </w:rPr>
            </w:pPr>
            <w:r>
              <w:rPr>
                <w:rFonts w:ascii="Arial" w:eastAsia="Arial" w:hAnsi="Arial"/>
                <w:b/>
                <w:sz w:val="24"/>
                <w:szCs w:val="24"/>
              </w:rPr>
              <w:t>"Broadly Comparable"</w:t>
            </w:r>
          </w:p>
        </w:tc>
        <w:tc>
          <w:tcPr>
            <w:tcW w:w="5622" w:type="dxa"/>
            <w:shd w:val="clear" w:color="auto" w:fill="auto"/>
          </w:tcPr>
          <w:p w14:paraId="22735B89" w14:textId="77777777" w:rsidR="00F35F39" w:rsidRDefault="0076537D">
            <w:pPr>
              <w:widowControl w:val="0"/>
              <w:numPr>
                <w:ilvl w:val="0"/>
                <w:numId w:val="5"/>
              </w:numPr>
              <w:tabs>
                <w:tab w:val="left" w:pos="695"/>
              </w:tabs>
              <w:spacing w:before="120" w:after="120"/>
              <w:ind w:left="691" w:hanging="648"/>
              <w:rPr>
                <w:rFonts w:ascii="Arial" w:eastAsia="Arial" w:hAnsi="Arial"/>
                <w:sz w:val="24"/>
                <w:szCs w:val="24"/>
              </w:rPr>
            </w:pPr>
            <w:r>
              <w:rPr>
                <w:rFonts w:ascii="Arial" w:eastAsia="Arial" w:hAnsi="Arial"/>
                <w:sz w:val="24"/>
                <w:szCs w:val="24"/>
              </w:rPr>
              <w:t>in respect of a pension scheme, a status satisfying the condition that there are no identifiable employees who will suffer material detriment overall in terms of future accrual of pension benefits as assessed in accordance with Annex A of New Fair Deal and demonstrated by the issue by the Government Actuary’s Department of a broad comparability certificate; and/or</w:t>
            </w:r>
          </w:p>
        </w:tc>
      </w:tr>
      <w:tr w:rsidR="00F35F39" w14:paraId="3992D686" w14:textId="77777777">
        <w:tc>
          <w:tcPr>
            <w:tcW w:w="3404" w:type="dxa"/>
            <w:shd w:val="clear" w:color="auto" w:fill="auto"/>
          </w:tcPr>
          <w:p w14:paraId="020DB4A8" w14:textId="77777777" w:rsidR="00F35F39" w:rsidRDefault="00F35F39">
            <w:pPr>
              <w:widowControl w:val="0"/>
              <w:spacing w:before="120" w:after="120"/>
              <w:ind w:left="720"/>
              <w:rPr>
                <w:rFonts w:ascii="Arial" w:eastAsia="Arial" w:hAnsi="Arial"/>
                <w:b/>
                <w:sz w:val="24"/>
                <w:szCs w:val="24"/>
              </w:rPr>
            </w:pPr>
          </w:p>
        </w:tc>
        <w:tc>
          <w:tcPr>
            <w:tcW w:w="5622" w:type="dxa"/>
            <w:shd w:val="clear" w:color="auto" w:fill="auto"/>
          </w:tcPr>
          <w:p w14:paraId="62D83BE3" w14:textId="77777777" w:rsidR="00F35F39" w:rsidRDefault="0076537D">
            <w:pPr>
              <w:widowControl w:val="0"/>
              <w:numPr>
                <w:ilvl w:val="0"/>
                <w:numId w:val="5"/>
              </w:numPr>
              <w:tabs>
                <w:tab w:val="left" w:pos="695"/>
              </w:tabs>
              <w:spacing w:before="120" w:after="120"/>
              <w:ind w:left="695" w:hanging="646"/>
              <w:rPr>
                <w:rFonts w:ascii="Arial" w:eastAsia="Arial" w:hAnsi="Arial"/>
                <w:sz w:val="24"/>
                <w:szCs w:val="24"/>
              </w:rPr>
            </w:pPr>
            <w:r>
              <w:rPr>
                <w:rFonts w:ascii="Arial" w:eastAsia="Arial" w:hAnsi="Arial"/>
                <w:sz w:val="24"/>
                <w:szCs w:val="24"/>
              </w:rPr>
              <w:t>in respect of benefits provided for or in respect of a member under a pension scheme, benefits that are consistent with that pension scheme’s certificate of broad comparability issued by the Government Actuary’s Department,</w:t>
            </w:r>
          </w:p>
          <w:p w14:paraId="1C7E6FC7" w14:textId="77777777" w:rsidR="00F35F39" w:rsidRDefault="0076537D">
            <w:pPr>
              <w:tabs>
                <w:tab w:val="left" w:pos="235"/>
              </w:tabs>
              <w:spacing w:before="120" w:after="120"/>
              <w:rPr>
                <w:rFonts w:ascii="Arial" w:eastAsia="Arial" w:hAnsi="Arial"/>
                <w:sz w:val="24"/>
                <w:szCs w:val="24"/>
              </w:rPr>
            </w:pPr>
            <w:r>
              <w:rPr>
                <w:rFonts w:ascii="Arial" w:eastAsia="Arial" w:hAnsi="Arial"/>
                <w:sz w:val="24"/>
                <w:szCs w:val="24"/>
              </w:rPr>
              <w:t>and "</w:t>
            </w:r>
            <w:r>
              <w:rPr>
                <w:rFonts w:ascii="Arial" w:eastAsia="Arial" w:hAnsi="Arial"/>
                <w:b/>
                <w:sz w:val="24"/>
                <w:szCs w:val="24"/>
              </w:rPr>
              <w:t>Broad Comparability</w:t>
            </w:r>
            <w:r>
              <w:rPr>
                <w:rFonts w:ascii="Arial" w:eastAsia="Arial" w:hAnsi="Arial"/>
                <w:sz w:val="24"/>
                <w:szCs w:val="24"/>
              </w:rPr>
              <w:t>" shall be construed accordingly;</w:t>
            </w:r>
          </w:p>
        </w:tc>
      </w:tr>
      <w:tr w:rsidR="00F35F39" w14:paraId="32D2F95E" w14:textId="77777777">
        <w:tc>
          <w:tcPr>
            <w:tcW w:w="3404" w:type="dxa"/>
            <w:shd w:val="clear" w:color="auto" w:fill="auto"/>
          </w:tcPr>
          <w:p w14:paraId="513C931E" w14:textId="77777777" w:rsidR="00F35F39" w:rsidRDefault="0076537D">
            <w:pPr>
              <w:widowControl w:val="0"/>
              <w:spacing w:before="120" w:after="120"/>
              <w:ind w:left="720"/>
              <w:rPr>
                <w:rFonts w:ascii="Arial" w:eastAsia="Arial" w:hAnsi="Arial"/>
                <w:b/>
                <w:sz w:val="24"/>
                <w:szCs w:val="24"/>
              </w:rPr>
            </w:pPr>
            <w:r>
              <w:rPr>
                <w:rFonts w:ascii="Arial" w:eastAsia="Arial" w:hAnsi="Arial"/>
                <w:b/>
                <w:sz w:val="24"/>
                <w:szCs w:val="24"/>
              </w:rPr>
              <w:lastRenderedPageBreak/>
              <w:t>"CSPS"</w:t>
            </w:r>
          </w:p>
        </w:tc>
        <w:tc>
          <w:tcPr>
            <w:tcW w:w="5622" w:type="dxa"/>
            <w:shd w:val="clear" w:color="auto" w:fill="auto"/>
          </w:tcPr>
          <w:p w14:paraId="1BE4C7D5" w14:textId="77777777" w:rsidR="00F35F39" w:rsidRDefault="0076537D">
            <w:pPr>
              <w:widowControl w:val="0"/>
              <w:spacing w:before="120" w:after="120"/>
              <w:rPr>
                <w:rFonts w:ascii="Arial" w:eastAsia="Arial" w:hAnsi="Arial"/>
                <w:sz w:val="24"/>
                <w:szCs w:val="24"/>
              </w:rPr>
            </w:pPr>
            <w:r>
              <w:rPr>
                <w:rFonts w:ascii="Arial" w:eastAsia="Arial" w:hAnsi="Arial"/>
                <w:sz w:val="24"/>
                <w:szCs w:val="24"/>
              </w:rPr>
              <w:t xml:space="preserve">the schemes as defined in Annex D1 to this Part D; </w:t>
            </w:r>
          </w:p>
        </w:tc>
      </w:tr>
      <w:tr w:rsidR="00F35F39" w14:paraId="078A7CE0" w14:textId="77777777">
        <w:tc>
          <w:tcPr>
            <w:tcW w:w="3404" w:type="dxa"/>
            <w:shd w:val="clear" w:color="auto" w:fill="auto"/>
          </w:tcPr>
          <w:p w14:paraId="62B54D75" w14:textId="77777777" w:rsidR="00F35F39" w:rsidRDefault="0076537D">
            <w:pPr>
              <w:widowControl w:val="0"/>
              <w:spacing w:before="120" w:after="120"/>
              <w:ind w:left="720"/>
              <w:rPr>
                <w:rFonts w:ascii="Arial" w:eastAsia="Arial" w:hAnsi="Arial"/>
                <w:b/>
                <w:sz w:val="24"/>
                <w:szCs w:val="24"/>
              </w:rPr>
            </w:pPr>
            <w:r>
              <w:rPr>
                <w:rFonts w:ascii="Arial" w:eastAsia="Arial" w:hAnsi="Arial"/>
                <w:b/>
                <w:sz w:val="24"/>
                <w:szCs w:val="24"/>
              </w:rPr>
              <w:t>“Direction Letter/Determination”</w:t>
            </w:r>
          </w:p>
        </w:tc>
        <w:tc>
          <w:tcPr>
            <w:tcW w:w="5622" w:type="dxa"/>
            <w:shd w:val="clear" w:color="auto" w:fill="auto"/>
          </w:tcPr>
          <w:p w14:paraId="60697830" w14:textId="77777777" w:rsidR="00F35F39" w:rsidRDefault="0076537D">
            <w:pPr>
              <w:widowControl w:val="0"/>
              <w:spacing w:before="120" w:after="120"/>
              <w:rPr>
                <w:rFonts w:ascii="Arial" w:eastAsia="Arial" w:hAnsi="Arial"/>
                <w:sz w:val="24"/>
                <w:szCs w:val="24"/>
              </w:rPr>
            </w:pPr>
            <w:r>
              <w:rPr>
                <w:rFonts w:ascii="Arial" w:eastAsia="Arial" w:hAnsi="Arial"/>
                <w:sz w:val="24"/>
                <w:szCs w:val="24"/>
              </w:rPr>
              <w:t>has the meaning in Annex D2 to this Part D;</w:t>
            </w:r>
          </w:p>
          <w:p w14:paraId="4934BEDA" w14:textId="77777777" w:rsidR="00F35F39" w:rsidRDefault="00F35F39">
            <w:pPr>
              <w:widowControl w:val="0"/>
              <w:spacing w:before="120" w:after="120"/>
              <w:rPr>
                <w:rFonts w:ascii="Arial" w:eastAsia="Arial" w:hAnsi="Arial"/>
                <w:sz w:val="24"/>
                <w:szCs w:val="24"/>
              </w:rPr>
            </w:pPr>
          </w:p>
        </w:tc>
      </w:tr>
      <w:tr w:rsidR="00F35F39" w14:paraId="5F416F4E" w14:textId="77777777">
        <w:tc>
          <w:tcPr>
            <w:tcW w:w="3404" w:type="dxa"/>
            <w:shd w:val="clear" w:color="auto" w:fill="auto"/>
          </w:tcPr>
          <w:p w14:paraId="66E56262" w14:textId="77777777" w:rsidR="00F35F39" w:rsidRDefault="0076537D">
            <w:pPr>
              <w:widowControl w:val="0"/>
              <w:spacing w:before="120" w:after="120"/>
              <w:ind w:left="720"/>
              <w:rPr>
                <w:rFonts w:ascii="Arial" w:eastAsia="Arial" w:hAnsi="Arial"/>
                <w:b/>
                <w:sz w:val="24"/>
                <w:szCs w:val="24"/>
              </w:rPr>
            </w:pPr>
            <w:r>
              <w:rPr>
                <w:rFonts w:ascii="Arial" w:eastAsia="Arial" w:hAnsi="Arial"/>
                <w:b/>
                <w:sz w:val="24"/>
                <w:szCs w:val="24"/>
              </w:rPr>
              <w:t xml:space="preserve">“Fair Deal Eligible Employees” </w:t>
            </w:r>
          </w:p>
        </w:tc>
        <w:tc>
          <w:tcPr>
            <w:tcW w:w="5622" w:type="dxa"/>
            <w:shd w:val="clear" w:color="auto" w:fill="auto"/>
          </w:tcPr>
          <w:p w14:paraId="08FC2E9C" w14:textId="77777777" w:rsidR="00F35F39" w:rsidRDefault="0076537D">
            <w:pPr>
              <w:widowControl w:val="0"/>
              <w:rPr>
                <w:rFonts w:ascii="Arial" w:eastAsia="Arial" w:hAnsi="Arial"/>
                <w:sz w:val="24"/>
                <w:szCs w:val="24"/>
              </w:rPr>
            </w:pPr>
            <w:r>
              <w:rPr>
                <w:rFonts w:ascii="Arial" w:eastAsia="Arial" w:hAnsi="Arial"/>
                <w:sz w:val="24"/>
                <w:szCs w:val="24"/>
              </w:rPr>
              <w:t>each of the CSPS Eligible Employees, the NHSPS Eligible Employees and/or the LGPS  Eligible Employees (as applicable) (and shall include any such employee who has been admitted to and/or remains eligible to join a Broadly Comparable pension scheme at the relevant time in accordance with paragraph 10 or 11 of this Part D);</w:t>
            </w:r>
          </w:p>
          <w:p w14:paraId="4D94C474" w14:textId="77777777" w:rsidR="00F35F39" w:rsidRDefault="00F35F39">
            <w:pPr>
              <w:widowControl w:val="0"/>
              <w:spacing w:before="120" w:after="120"/>
              <w:rPr>
                <w:rFonts w:ascii="Arial" w:eastAsia="Arial" w:hAnsi="Arial"/>
                <w:sz w:val="24"/>
                <w:szCs w:val="24"/>
              </w:rPr>
            </w:pPr>
          </w:p>
        </w:tc>
      </w:tr>
      <w:tr w:rsidR="00F35F39" w14:paraId="0207254D" w14:textId="77777777">
        <w:tc>
          <w:tcPr>
            <w:tcW w:w="3404" w:type="dxa"/>
            <w:shd w:val="clear" w:color="auto" w:fill="auto"/>
          </w:tcPr>
          <w:p w14:paraId="6C57E304" w14:textId="77777777" w:rsidR="00F35F39" w:rsidRDefault="0076537D">
            <w:pPr>
              <w:widowControl w:val="0"/>
              <w:spacing w:before="120" w:after="120"/>
              <w:ind w:left="720"/>
              <w:rPr>
                <w:rFonts w:ascii="Arial" w:eastAsia="Arial" w:hAnsi="Arial"/>
                <w:b/>
                <w:sz w:val="24"/>
                <w:szCs w:val="24"/>
              </w:rPr>
            </w:pPr>
            <w:r>
              <w:rPr>
                <w:rFonts w:ascii="Arial" w:eastAsia="Arial" w:hAnsi="Arial"/>
                <w:b/>
                <w:sz w:val="24"/>
                <w:szCs w:val="24"/>
              </w:rPr>
              <w:t>"Fair Deal Employees"</w:t>
            </w:r>
          </w:p>
        </w:tc>
        <w:tc>
          <w:tcPr>
            <w:tcW w:w="5622" w:type="dxa"/>
            <w:shd w:val="clear" w:color="auto" w:fill="auto"/>
          </w:tcPr>
          <w:p w14:paraId="02AD0EF0" w14:textId="77777777" w:rsidR="00F35F39" w:rsidRDefault="0076537D">
            <w:pPr>
              <w:widowControl w:val="0"/>
              <w:spacing w:before="120" w:after="120"/>
              <w:rPr>
                <w:rFonts w:ascii="Arial" w:eastAsia="Arial" w:hAnsi="Arial"/>
                <w:sz w:val="24"/>
                <w:szCs w:val="24"/>
              </w:rPr>
            </w:pPr>
            <w:r>
              <w:rPr>
                <w:rFonts w:ascii="Arial" w:eastAsia="Arial" w:hAnsi="Arial"/>
                <w:sz w:val="24"/>
                <w:szCs w:val="24"/>
              </w:rPr>
              <w:t>any of:</w:t>
            </w:r>
          </w:p>
          <w:p w14:paraId="4422B1AD" w14:textId="77777777" w:rsidR="00F35F39" w:rsidRDefault="0076537D">
            <w:pPr>
              <w:widowControl w:val="0"/>
              <w:numPr>
                <w:ilvl w:val="0"/>
                <w:numId w:val="4"/>
              </w:numPr>
              <w:tabs>
                <w:tab w:val="left" w:pos="695"/>
              </w:tabs>
              <w:spacing w:before="120" w:after="120"/>
              <w:ind w:left="743" w:hanging="709"/>
              <w:rPr>
                <w:rFonts w:ascii="Arial" w:eastAsia="Arial" w:hAnsi="Arial"/>
                <w:sz w:val="24"/>
                <w:szCs w:val="24"/>
              </w:rPr>
            </w:pPr>
            <w:r>
              <w:rPr>
                <w:rFonts w:ascii="Arial" w:eastAsia="Arial" w:hAnsi="Arial"/>
                <w:sz w:val="24"/>
                <w:szCs w:val="24"/>
              </w:rPr>
              <w:t xml:space="preserve">Transferring Buyer Employees; </w:t>
            </w:r>
          </w:p>
        </w:tc>
      </w:tr>
      <w:tr w:rsidR="00F35F39" w14:paraId="2740D120" w14:textId="77777777">
        <w:tc>
          <w:tcPr>
            <w:tcW w:w="3404" w:type="dxa"/>
            <w:shd w:val="clear" w:color="auto" w:fill="auto"/>
          </w:tcPr>
          <w:p w14:paraId="672EB138" w14:textId="77777777" w:rsidR="00F35F39" w:rsidRDefault="00F35F39">
            <w:pPr>
              <w:widowControl w:val="0"/>
              <w:spacing w:before="120" w:after="120"/>
              <w:ind w:left="720"/>
              <w:rPr>
                <w:rFonts w:ascii="Arial" w:eastAsia="Arial" w:hAnsi="Arial"/>
                <w:b/>
                <w:sz w:val="24"/>
                <w:szCs w:val="24"/>
              </w:rPr>
            </w:pPr>
          </w:p>
        </w:tc>
        <w:tc>
          <w:tcPr>
            <w:tcW w:w="5622" w:type="dxa"/>
            <w:shd w:val="clear" w:color="auto" w:fill="auto"/>
          </w:tcPr>
          <w:p w14:paraId="05519EAC" w14:textId="77777777" w:rsidR="00F35F39" w:rsidRDefault="0076537D">
            <w:pPr>
              <w:widowControl w:val="0"/>
              <w:numPr>
                <w:ilvl w:val="0"/>
                <w:numId w:val="4"/>
              </w:numPr>
              <w:tabs>
                <w:tab w:val="left" w:pos="695"/>
              </w:tabs>
              <w:spacing w:before="120" w:after="120"/>
              <w:ind w:left="695" w:hanging="646"/>
              <w:rPr>
                <w:rFonts w:ascii="Arial" w:eastAsia="Arial" w:hAnsi="Arial"/>
                <w:sz w:val="24"/>
                <w:szCs w:val="24"/>
              </w:rPr>
            </w:pPr>
            <w:r>
              <w:rPr>
                <w:rFonts w:ascii="Arial" w:eastAsia="Arial" w:hAnsi="Arial"/>
                <w:sz w:val="24"/>
                <w:szCs w:val="24"/>
              </w:rPr>
              <w:t xml:space="preserve">Transferring Former Supplier Employees; </w:t>
            </w:r>
          </w:p>
        </w:tc>
      </w:tr>
      <w:tr w:rsidR="00F35F39" w14:paraId="5C25C355" w14:textId="77777777">
        <w:tc>
          <w:tcPr>
            <w:tcW w:w="3404" w:type="dxa"/>
            <w:shd w:val="clear" w:color="auto" w:fill="auto"/>
          </w:tcPr>
          <w:p w14:paraId="7CA38BA4" w14:textId="77777777" w:rsidR="00F35F39" w:rsidRDefault="00F35F39">
            <w:pPr>
              <w:widowControl w:val="0"/>
              <w:spacing w:before="120" w:after="120"/>
              <w:ind w:left="720"/>
              <w:rPr>
                <w:rFonts w:ascii="Arial" w:eastAsia="Arial" w:hAnsi="Arial"/>
                <w:b/>
                <w:sz w:val="24"/>
                <w:szCs w:val="24"/>
              </w:rPr>
            </w:pPr>
          </w:p>
        </w:tc>
        <w:tc>
          <w:tcPr>
            <w:tcW w:w="5622" w:type="dxa"/>
            <w:shd w:val="clear" w:color="auto" w:fill="auto"/>
          </w:tcPr>
          <w:p w14:paraId="29311CAC" w14:textId="77777777" w:rsidR="00F35F39" w:rsidRDefault="0076537D">
            <w:pPr>
              <w:widowControl w:val="0"/>
              <w:numPr>
                <w:ilvl w:val="0"/>
                <w:numId w:val="4"/>
              </w:numPr>
              <w:tabs>
                <w:tab w:val="left" w:pos="695"/>
              </w:tabs>
              <w:spacing w:before="120" w:after="120"/>
              <w:ind w:left="695" w:hanging="646"/>
              <w:rPr>
                <w:rFonts w:ascii="Arial" w:eastAsia="Arial" w:hAnsi="Arial"/>
                <w:sz w:val="24"/>
                <w:szCs w:val="24"/>
              </w:rPr>
            </w:pPr>
            <w:r>
              <w:rPr>
                <w:rFonts w:ascii="Arial" w:eastAsia="Arial" w:hAnsi="Arial"/>
                <w:sz w:val="24"/>
                <w:szCs w:val="24"/>
              </w:rPr>
              <w:t>employees who are not Transferring Buyer Employees or Transferring Former Supplier Employees but to whom the Employment Regulations apply on the Relevant Transfer Date to transfer their employment to the Supplier or a Subcontractor, and whose employment is not terminated in accordance with the provisions of Paragraphs 2.5 of Parts A or B or Paragraph 1.4 of Part C;</w:t>
            </w:r>
          </w:p>
        </w:tc>
      </w:tr>
      <w:tr w:rsidR="00F35F39" w14:paraId="6B2E78E3" w14:textId="77777777">
        <w:tc>
          <w:tcPr>
            <w:tcW w:w="3404" w:type="dxa"/>
            <w:shd w:val="clear" w:color="auto" w:fill="auto"/>
          </w:tcPr>
          <w:p w14:paraId="2FC36D58" w14:textId="77777777" w:rsidR="00F35F39" w:rsidRDefault="00F35F39">
            <w:pPr>
              <w:keepNext/>
              <w:widowControl w:val="0"/>
              <w:spacing w:before="120" w:after="120"/>
              <w:ind w:left="720"/>
              <w:rPr>
                <w:rFonts w:ascii="Arial" w:eastAsia="Arial" w:hAnsi="Arial"/>
                <w:b/>
                <w:sz w:val="24"/>
                <w:szCs w:val="24"/>
              </w:rPr>
            </w:pPr>
          </w:p>
        </w:tc>
        <w:tc>
          <w:tcPr>
            <w:tcW w:w="5622" w:type="dxa"/>
            <w:shd w:val="clear" w:color="auto" w:fill="auto"/>
          </w:tcPr>
          <w:p w14:paraId="77469E29" w14:textId="77777777" w:rsidR="00F35F39" w:rsidRDefault="0076537D">
            <w:pPr>
              <w:widowControl w:val="0"/>
              <w:numPr>
                <w:ilvl w:val="0"/>
                <w:numId w:val="4"/>
              </w:numPr>
              <w:tabs>
                <w:tab w:val="left" w:pos="695"/>
              </w:tabs>
              <w:spacing w:before="120" w:after="120"/>
              <w:ind w:left="695" w:hanging="646"/>
              <w:rPr>
                <w:rFonts w:ascii="Arial" w:eastAsia="Arial" w:hAnsi="Arial"/>
                <w:sz w:val="24"/>
                <w:szCs w:val="24"/>
              </w:rPr>
            </w:pPr>
            <w:r>
              <w:rPr>
                <w:rFonts w:ascii="Arial" w:eastAsia="Arial" w:hAnsi="Arial"/>
                <w:sz w:val="24"/>
                <w:szCs w:val="24"/>
              </w:rPr>
              <w:t xml:space="preserve">where the Supplier or a Subcontractor was the Former Supplier,  the employees of the Supplier (or Subcontractor); </w:t>
            </w:r>
          </w:p>
        </w:tc>
      </w:tr>
      <w:tr w:rsidR="00F35F39" w14:paraId="7AEF39C2" w14:textId="77777777">
        <w:tc>
          <w:tcPr>
            <w:tcW w:w="3404" w:type="dxa"/>
            <w:shd w:val="clear" w:color="auto" w:fill="auto"/>
          </w:tcPr>
          <w:p w14:paraId="70E08F2D" w14:textId="77777777" w:rsidR="00F35F39" w:rsidRDefault="00F35F39">
            <w:pPr>
              <w:widowControl w:val="0"/>
              <w:spacing w:before="120" w:after="120"/>
              <w:ind w:left="720"/>
              <w:rPr>
                <w:rFonts w:ascii="Arial" w:eastAsia="Arial" w:hAnsi="Arial"/>
                <w:b/>
                <w:sz w:val="24"/>
                <w:szCs w:val="24"/>
              </w:rPr>
            </w:pPr>
          </w:p>
        </w:tc>
        <w:tc>
          <w:tcPr>
            <w:tcW w:w="5622" w:type="dxa"/>
            <w:shd w:val="clear" w:color="auto" w:fill="auto"/>
          </w:tcPr>
          <w:p w14:paraId="71E1B525" w14:textId="77777777" w:rsidR="00F35F39" w:rsidRDefault="0076537D">
            <w:pPr>
              <w:widowControl w:val="0"/>
              <w:spacing w:before="120" w:after="120"/>
              <w:rPr>
                <w:rFonts w:ascii="Arial" w:eastAsia="Arial" w:hAnsi="Arial"/>
                <w:sz w:val="24"/>
                <w:szCs w:val="24"/>
              </w:rPr>
            </w:pPr>
            <w:r>
              <w:rPr>
                <w:rFonts w:ascii="Arial" w:eastAsia="Arial" w:hAnsi="Arial"/>
                <w:sz w:val="24"/>
                <w:szCs w:val="24"/>
              </w:rPr>
              <w:t>who at the Relevant Transfer Date  are or become entitled to New Fair Deal or Best Value Direction protection in respect of any of the Statutory Schemes or a Broadly Comparable pension scheme provided in accordance with paragraph 10 of this Part D as notified by the Buyer;</w:t>
            </w:r>
          </w:p>
        </w:tc>
      </w:tr>
      <w:tr w:rsidR="00F35F39" w14:paraId="47E3F97D" w14:textId="77777777">
        <w:tc>
          <w:tcPr>
            <w:tcW w:w="3404" w:type="dxa"/>
            <w:shd w:val="clear" w:color="auto" w:fill="auto"/>
          </w:tcPr>
          <w:p w14:paraId="4687C847" w14:textId="77777777" w:rsidR="00F35F39" w:rsidRDefault="00F35F39">
            <w:pPr>
              <w:widowControl w:val="0"/>
              <w:spacing w:before="120" w:after="120"/>
              <w:ind w:left="720"/>
              <w:rPr>
                <w:rFonts w:ascii="Arial" w:eastAsia="Arial" w:hAnsi="Arial"/>
                <w:b/>
                <w:sz w:val="24"/>
                <w:szCs w:val="24"/>
              </w:rPr>
            </w:pPr>
          </w:p>
        </w:tc>
        <w:tc>
          <w:tcPr>
            <w:tcW w:w="5622" w:type="dxa"/>
            <w:shd w:val="clear" w:color="auto" w:fill="auto"/>
          </w:tcPr>
          <w:p w14:paraId="621B2EEC" w14:textId="77777777" w:rsidR="00F35F39" w:rsidRDefault="00F35F39">
            <w:pPr>
              <w:widowControl w:val="0"/>
              <w:spacing w:before="120" w:after="120"/>
              <w:rPr>
                <w:rFonts w:ascii="Arial" w:eastAsia="Arial" w:hAnsi="Arial"/>
                <w:sz w:val="24"/>
                <w:szCs w:val="24"/>
              </w:rPr>
            </w:pPr>
          </w:p>
        </w:tc>
      </w:tr>
      <w:tr w:rsidR="00F35F39" w14:paraId="0FCA87B7" w14:textId="77777777">
        <w:tc>
          <w:tcPr>
            <w:tcW w:w="3404" w:type="dxa"/>
            <w:shd w:val="clear" w:color="auto" w:fill="auto"/>
          </w:tcPr>
          <w:p w14:paraId="0FE6FD84" w14:textId="77777777" w:rsidR="00F35F39" w:rsidRDefault="0076537D">
            <w:pPr>
              <w:widowControl w:val="0"/>
              <w:spacing w:before="120" w:after="120"/>
              <w:ind w:left="720"/>
              <w:rPr>
                <w:rFonts w:ascii="Arial" w:eastAsia="Arial" w:hAnsi="Arial"/>
                <w:b/>
                <w:sz w:val="24"/>
                <w:szCs w:val="24"/>
              </w:rPr>
            </w:pPr>
            <w:r>
              <w:rPr>
                <w:rFonts w:ascii="Arial" w:eastAsia="Arial" w:hAnsi="Arial"/>
                <w:b/>
                <w:sz w:val="24"/>
                <w:szCs w:val="24"/>
              </w:rPr>
              <w:t>"Fund Actuary"</w:t>
            </w:r>
          </w:p>
        </w:tc>
        <w:tc>
          <w:tcPr>
            <w:tcW w:w="5622" w:type="dxa"/>
            <w:shd w:val="clear" w:color="auto" w:fill="auto"/>
          </w:tcPr>
          <w:p w14:paraId="2B9860E9" w14:textId="77777777" w:rsidR="00F35F39" w:rsidRDefault="0076537D">
            <w:pPr>
              <w:widowControl w:val="0"/>
              <w:spacing w:before="120" w:after="120"/>
              <w:rPr>
                <w:rFonts w:ascii="Arial" w:eastAsia="Arial" w:hAnsi="Arial"/>
                <w:sz w:val="24"/>
                <w:szCs w:val="24"/>
              </w:rPr>
            </w:pPr>
            <w:r>
              <w:rPr>
                <w:rFonts w:ascii="Arial" w:eastAsia="Arial" w:hAnsi="Arial"/>
                <w:sz w:val="24"/>
                <w:szCs w:val="24"/>
              </w:rPr>
              <w:t>a Fund Actuary as defined in Annex D3 to this Part D;</w:t>
            </w:r>
          </w:p>
        </w:tc>
      </w:tr>
      <w:tr w:rsidR="00F35F39" w14:paraId="655F0428" w14:textId="77777777">
        <w:tc>
          <w:tcPr>
            <w:tcW w:w="3404" w:type="dxa"/>
            <w:shd w:val="clear" w:color="auto" w:fill="auto"/>
          </w:tcPr>
          <w:p w14:paraId="67C52C61" w14:textId="77777777" w:rsidR="00F35F39" w:rsidRDefault="0076537D">
            <w:pPr>
              <w:widowControl w:val="0"/>
              <w:spacing w:before="120" w:after="120"/>
              <w:ind w:left="720"/>
              <w:rPr>
                <w:rFonts w:ascii="Arial" w:eastAsia="Arial" w:hAnsi="Arial"/>
                <w:b/>
                <w:sz w:val="24"/>
                <w:szCs w:val="24"/>
              </w:rPr>
            </w:pPr>
            <w:r>
              <w:rPr>
                <w:rFonts w:ascii="Arial" w:eastAsia="Arial" w:hAnsi="Arial"/>
                <w:b/>
                <w:sz w:val="24"/>
                <w:szCs w:val="24"/>
              </w:rPr>
              <w:t>"LGPS"</w:t>
            </w:r>
          </w:p>
        </w:tc>
        <w:tc>
          <w:tcPr>
            <w:tcW w:w="5622" w:type="dxa"/>
            <w:shd w:val="clear" w:color="auto" w:fill="auto"/>
          </w:tcPr>
          <w:p w14:paraId="12446839" w14:textId="77777777" w:rsidR="00F35F39" w:rsidRDefault="0076537D">
            <w:pPr>
              <w:widowControl w:val="0"/>
              <w:spacing w:before="120" w:after="120"/>
              <w:rPr>
                <w:rFonts w:ascii="Arial" w:eastAsia="Arial" w:hAnsi="Arial"/>
                <w:sz w:val="24"/>
                <w:szCs w:val="24"/>
              </w:rPr>
            </w:pPr>
            <w:r>
              <w:rPr>
                <w:rFonts w:ascii="Arial" w:eastAsia="Arial" w:hAnsi="Arial"/>
                <w:sz w:val="24"/>
                <w:szCs w:val="24"/>
              </w:rPr>
              <w:t>the scheme as defined in Annex D3 to this Part D;</w:t>
            </w:r>
          </w:p>
        </w:tc>
      </w:tr>
      <w:tr w:rsidR="00F35F39" w14:paraId="018D9D0C" w14:textId="77777777">
        <w:tc>
          <w:tcPr>
            <w:tcW w:w="3404" w:type="dxa"/>
            <w:shd w:val="clear" w:color="auto" w:fill="auto"/>
          </w:tcPr>
          <w:p w14:paraId="092F6E3E" w14:textId="77777777" w:rsidR="00F35F39" w:rsidRDefault="0076537D">
            <w:pPr>
              <w:widowControl w:val="0"/>
              <w:spacing w:before="120" w:after="120"/>
              <w:ind w:left="720"/>
              <w:rPr>
                <w:rFonts w:ascii="Arial" w:eastAsia="Arial" w:hAnsi="Arial"/>
                <w:b/>
                <w:sz w:val="24"/>
                <w:szCs w:val="24"/>
              </w:rPr>
            </w:pPr>
            <w:r>
              <w:rPr>
                <w:rFonts w:ascii="Arial" w:eastAsia="Arial" w:hAnsi="Arial"/>
                <w:b/>
                <w:sz w:val="24"/>
                <w:szCs w:val="24"/>
              </w:rPr>
              <w:lastRenderedPageBreak/>
              <w:t>"NHSPS"</w:t>
            </w:r>
          </w:p>
        </w:tc>
        <w:tc>
          <w:tcPr>
            <w:tcW w:w="5622" w:type="dxa"/>
            <w:shd w:val="clear" w:color="auto" w:fill="auto"/>
          </w:tcPr>
          <w:p w14:paraId="7BA4EFBA" w14:textId="77777777" w:rsidR="00F35F39" w:rsidRDefault="0076537D">
            <w:pPr>
              <w:keepNext/>
              <w:widowControl w:val="0"/>
              <w:spacing w:before="120" w:after="120"/>
              <w:rPr>
                <w:rFonts w:ascii="Arial" w:eastAsia="Arial" w:hAnsi="Arial"/>
                <w:sz w:val="24"/>
                <w:szCs w:val="24"/>
              </w:rPr>
            </w:pPr>
            <w:r>
              <w:rPr>
                <w:rFonts w:ascii="Arial" w:eastAsia="Arial" w:hAnsi="Arial"/>
                <w:sz w:val="24"/>
                <w:szCs w:val="24"/>
              </w:rPr>
              <w:t>the schemes  as defined in Annex D2 to this Part D;</w:t>
            </w:r>
          </w:p>
        </w:tc>
      </w:tr>
      <w:tr w:rsidR="00F35F39" w14:paraId="64A2040E" w14:textId="77777777">
        <w:tc>
          <w:tcPr>
            <w:tcW w:w="3404" w:type="dxa"/>
            <w:shd w:val="clear" w:color="auto" w:fill="auto"/>
          </w:tcPr>
          <w:p w14:paraId="30CE8D2F" w14:textId="77777777" w:rsidR="00F35F39" w:rsidRDefault="00F35F39">
            <w:pPr>
              <w:widowControl w:val="0"/>
              <w:spacing w:before="120" w:after="120"/>
              <w:ind w:left="720"/>
              <w:rPr>
                <w:rFonts w:ascii="Arial" w:eastAsia="Arial" w:hAnsi="Arial"/>
                <w:b/>
                <w:sz w:val="24"/>
                <w:szCs w:val="24"/>
              </w:rPr>
            </w:pPr>
          </w:p>
        </w:tc>
        <w:tc>
          <w:tcPr>
            <w:tcW w:w="5622" w:type="dxa"/>
            <w:shd w:val="clear" w:color="auto" w:fill="auto"/>
          </w:tcPr>
          <w:p w14:paraId="7F0B03E9" w14:textId="77777777" w:rsidR="00F35F39" w:rsidRDefault="00F35F39">
            <w:pPr>
              <w:widowControl w:val="0"/>
              <w:numPr>
                <w:ilvl w:val="0"/>
                <w:numId w:val="14"/>
              </w:numPr>
              <w:tabs>
                <w:tab w:val="left" w:pos="695"/>
              </w:tabs>
              <w:spacing w:before="120" w:after="120"/>
              <w:ind w:left="743" w:hanging="709"/>
              <w:rPr>
                <w:rFonts w:ascii="Arial" w:eastAsia="Arial" w:hAnsi="Arial"/>
                <w:sz w:val="24"/>
                <w:szCs w:val="24"/>
              </w:rPr>
            </w:pPr>
          </w:p>
        </w:tc>
      </w:tr>
      <w:tr w:rsidR="00F35F39" w14:paraId="5758A9A8" w14:textId="77777777">
        <w:tc>
          <w:tcPr>
            <w:tcW w:w="3404" w:type="dxa"/>
            <w:shd w:val="clear" w:color="auto" w:fill="auto"/>
          </w:tcPr>
          <w:p w14:paraId="36827FCD" w14:textId="77777777" w:rsidR="00F35F39" w:rsidRDefault="00F35F39">
            <w:pPr>
              <w:widowControl w:val="0"/>
              <w:spacing w:before="120" w:after="120"/>
              <w:ind w:left="720"/>
              <w:rPr>
                <w:rFonts w:ascii="Arial" w:eastAsia="Arial" w:hAnsi="Arial"/>
                <w:b/>
                <w:sz w:val="24"/>
                <w:szCs w:val="24"/>
              </w:rPr>
            </w:pPr>
          </w:p>
        </w:tc>
        <w:tc>
          <w:tcPr>
            <w:tcW w:w="5622" w:type="dxa"/>
            <w:shd w:val="clear" w:color="auto" w:fill="auto"/>
          </w:tcPr>
          <w:p w14:paraId="476DB8D5" w14:textId="77777777" w:rsidR="00F35F39" w:rsidRDefault="00F35F39">
            <w:pPr>
              <w:widowControl w:val="0"/>
              <w:numPr>
                <w:ilvl w:val="0"/>
                <w:numId w:val="14"/>
              </w:numPr>
              <w:tabs>
                <w:tab w:val="left" w:pos="695"/>
              </w:tabs>
              <w:spacing w:before="120" w:after="120"/>
              <w:ind w:left="695" w:hanging="646"/>
              <w:rPr>
                <w:rFonts w:ascii="Arial" w:eastAsia="Arial" w:hAnsi="Arial"/>
                <w:sz w:val="24"/>
                <w:szCs w:val="24"/>
              </w:rPr>
            </w:pPr>
          </w:p>
        </w:tc>
      </w:tr>
      <w:tr w:rsidR="00F35F39" w14:paraId="1E600F6E" w14:textId="77777777">
        <w:tc>
          <w:tcPr>
            <w:tcW w:w="3404" w:type="dxa"/>
            <w:shd w:val="clear" w:color="auto" w:fill="auto"/>
          </w:tcPr>
          <w:p w14:paraId="7F71698B" w14:textId="77777777" w:rsidR="00F35F39" w:rsidRDefault="0076537D">
            <w:pPr>
              <w:widowControl w:val="0"/>
              <w:spacing w:before="120" w:after="120"/>
              <w:ind w:left="720"/>
              <w:rPr>
                <w:rFonts w:ascii="Arial" w:eastAsia="Arial" w:hAnsi="Arial"/>
                <w:b/>
                <w:sz w:val="24"/>
                <w:szCs w:val="24"/>
              </w:rPr>
            </w:pPr>
            <w:r>
              <w:rPr>
                <w:rFonts w:ascii="Arial" w:eastAsia="Arial" w:hAnsi="Arial"/>
                <w:b/>
                <w:sz w:val="24"/>
                <w:szCs w:val="24"/>
              </w:rPr>
              <w:t>"Statutory Schemes"</w:t>
            </w:r>
          </w:p>
        </w:tc>
        <w:tc>
          <w:tcPr>
            <w:tcW w:w="5622" w:type="dxa"/>
            <w:shd w:val="clear" w:color="auto" w:fill="auto"/>
          </w:tcPr>
          <w:p w14:paraId="3CEAFFB1" w14:textId="77777777" w:rsidR="00F35F39" w:rsidRDefault="0076537D">
            <w:pPr>
              <w:spacing w:before="120" w:after="120"/>
              <w:rPr>
                <w:rFonts w:ascii="Arial" w:eastAsia="Arial" w:hAnsi="Arial"/>
                <w:sz w:val="24"/>
                <w:szCs w:val="24"/>
              </w:rPr>
            </w:pPr>
            <w:r>
              <w:rPr>
                <w:rFonts w:ascii="Arial" w:eastAsia="Arial" w:hAnsi="Arial"/>
                <w:sz w:val="24"/>
                <w:szCs w:val="24"/>
              </w:rPr>
              <w:t>means the CSPS, NHSPS or LGPS.</w:t>
            </w:r>
          </w:p>
        </w:tc>
      </w:tr>
    </w:tbl>
    <w:p w14:paraId="663CB88A" w14:textId="77777777" w:rsidR="00F35F39" w:rsidRDefault="0076537D">
      <w:pPr>
        <w:keepNext/>
        <w:numPr>
          <w:ilvl w:val="0"/>
          <w:numId w:val="2"/>
        </w:numPr>
        <w:pBdr>
          <w:top w:val="nil"/>
          <w:left w:val="nil"/>
          <w:bottom w:val="nil"/>
          <w:right w:val="nil"/>
          <w:between w:val="nil"/>
        </w:pBdr>
        <w:spacing w:before="120"/>
        <w:rPr>
          <w:rFonts w:ascii="Arial Bold" w:eastAsia="Arial Bold" w:hAnsi="Arial Bold" w:cs="Arial Bold"/>
          <w:b/>
          <w:color w:val="000000"/>
          <w:sz w:val="24"/>
          <w:szCs w:val="24"/>
          <w:u w:val="single"/>
        </w:rPr>
      </w:pPr>
      <w:r>
        <w:rPr>
          <w:rFonts w:ascii="Arial Bold" w:eastAsia="Arial Bold" w:hAnsi="Arial Bold" w:cs="Arial Bold"/>
          <w:b/>
          <w:color w:val="000000"/>
          <w:sz w:val="24"/>
          <w:szCs w:val="24"/>
        </w:rPr>
        <w:t>Supplier obligations to participate in the pension schemes</w:t>
      </w:r>
    </w:p>
    <w:p w14:paraId="42806E35" w14:textId="77777777" w:rsidR="00F35F39" w:rsidRDefault="0076537D">
      <w:pPr>
        <w:numPr>
          <w:ilvl w:val="1"/>
          <w:numId w:val="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In respect of all or any Fair Deal Employees each of Annex D1: CSPS, Annex D2: NHSPS and/or Annex D3: LGPS shall apply, as appropriate.</w:t>
      </w:r>
    </w:p>
    <w:p w14:paraId="5410CC8E" w14:textId="77777777" w:rsidR="00F35F39" w:rsidRDefault="0076537D">
      <w:pPr>
        <w:numPr>
          <w:ilvl w:val="1"/>
          <w:numId w:val="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undertakes to do all such things and execute any documents (including any relevant Admission Agreement and/or Direction Letter/ Determination, if necessary) as may be required to enable the Supplier to participate in the appropriate Statutory Scheme in respect of the Fair Deal Employees and shall bear its own costs in such regard.</w:t>
      </w:r>
    </w:p>
    <w:p w14:paraId="2384539B" w14:textId="77777777" w:rsidR="00F35F39" w:rsidRDefault="0076537D">
      <w:pPr>
        <w:keepNext/>
        <w:numPr>
          <w:ilvl w:val="1"/>
          <w:numId w:val="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undertakes:</w:t>
      </w:r>
    </w:p>
    <w:p w14:paraId="268829FE" w14:textId="77777777" w:rsidR="00F35F39" w:rsidRDefault="0076537D">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to pay to the Statutory Schemes all such amounts as are due under the relevant Admission Agreement and/or Direction Letter/ Determination or otherwise and shall deduct and pay to the Statutory Schemes such employee contributions as are required; and</w:t>
      </w:r>
    </w:p>
    <w:p w14:paraId="50BFB017" w14:textId="77777777" w:rsidR="00F35F39" w:rsidRDefault="0076537D">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subject to paragraph 5 of Annex D3: LGPS to be fully responsible for all other costs, contributions, payments and other amounts relating to its participation in the Statutory Schemes, including for the avoidance of doubt any exit payments and the costs of providing any bond, indemnity or guarantee required in relation to such participation. </w:t>
      </w:r>
    </w:p>
    <w:p w14:paraId="64D352BF" w14:textId="77777777" w:rsidR="00F35F39" w:rsidRDefault="0076537D">
      <w:pPr>
        <w:numPr>
          <w:ilvl w:val="1"/>
          <w:numId w:val="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Where the Supplier is the Former Supplier (or a Subcontractor is a Subcontractor of the Former Supplier) and there is no Relevant Transfer of the Fair Deal Employees because they remain continuously employed by the Supplier (or Subcontractor) at the Start Date, this Part D and its Annexes shall be modified accordingly so that the Supplier (or Subcontractor) shall comply with its requirements from the Start Date or, where it previously provided a Broadly Comparable pension scheme, from the date it is able to close accrual of its Broadly Comparable pension scheme (following appropriate consultation and contractual changes as appropriate) if later. The Supplier (or Sub- contractor) shall make arrangements for a bulk transfer from its Broadly Comparable pension scheme to the relevant Statutory Scheme in accordance with the requirements of the previous contract with the Buyer</w:t>
      </w:r>
      <w:r>
        <w:rPr>
          <w:rFonts w:ascii="Arial" w:eastAsia="Arial" w:hAnsi="Arial"/>
          <w:color w:val="000000"/>
          <w:sz w:val="24"/>
          <w:szCs w:val="24"/>
          <w:vertAlign w:val="superscript"/>
        </w:rPr>
        <w:footnoteReference w:id="1"/>
      </w:r>
      <w:r>
        <w:rPr>
          <w:rFonts w:ascii="Arial" w:eastAsia="Arial" w:hAnsi="Arial"/>
          <w:color w:val="000000"/>
          <w:sz w:val="24"/>
          <w:szCs w:val="24"/>
        </w:rPr>
        <w:t>.</w:t>
      </w:r>
    </w:p>
    <w:p w14:paraId="1A1A54E9" w14:textId="77777777" w:rsidR="00F35F39" w:rsidRDefault="0076537D">
      <w:pPr>
        <w:keepNext/>
        <w:numPr>
          <w:ilvl w:val="0"/>
          <w:numId w:val="2"/>
        </w:numPr>
        <w:pBdr>
          <w:top w:val="nil"/>
          <w:left w:val="nil"/>
          <w:bottom w:val="nil"/>
          <w:right w:val="nil"/>
          <w:between w:val="nil"/>
        </w:pBdr>
        <w:spacing w:before="120"/>
        <w:rPr>
          <w:rFonts w:ascii="Arial Bold" w:eastAsia="Arial Bold" w:hAnsi="Arial Bold" w:cs="Arial Bold"/>
          <w:b/>
          <w:color w:val="000000"/>
          <w:sz w:val="24"/>
          <w:szCs w:val="24"/>
        </w:rPr>
      </w:pPr>
      <w:r>
        <w:rPr>
          <w:rFonts w:ascii="Arial Bold" w:eastAsia="Arial Bold" w:hAnsi="Arial Bold" w:cs="Arial Bold"/>
          <w:b/>
          <w:color w:val="000000"/>
          <w:sz w:val="24"/>
          <w:szCs w:val="24"/>
        </w:rPr>
        <w:lastRenderedPageBreak/>
        <w:t>Supplier obligation to provide information</w:t>
      </w:r>
    </w:p>
    <w:p w14:paraId="7F383B38" w14:textId="77777777" w:rsidR="00F35F39" w:rsidRDefault="0076537D">
      <w:pPr>
        <w:keepNext/>
        <w:numPr>
          <w:ilvl w:val="1"/>
          <w:numId w:val="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undertakes to the Buyer</w:t>
      </w:r>
      <w:r>
        <w:rPr>
          <w:rFonts w:ascii="Arial" w:eastAsia="Arial" w:hAnsi="Arial"/>
          <w:i/>
          <w:color w:val="000000"/>
          <w:sz w:val="24"/>
          <w:szCs w:val="24"/>
        </w:rPr>
        <w:t>:</w:t>
      </w:r>
    </w:p>
    <w:p w14:paraId="2B44C59C" w14:textId="77777777" w:rsidR="00F35F39" w:rsidRDefault="0076537D">
      <w:pPr>
        <w:numPr>
          <w:ilvl w:val="2"/>
          <w:numId w:val="2"/>
        </w:numPr>
        <w:pBdr>
          <w:top w:val="nil"/>
          <w:left w:val="nil"/>
          <w:bottom w:val="nil"/>
          <w:right w:val="nil"/>
          <w:between w:val="nil"/>
        </w:pBdr>
        <w:spacing w:before="120" w:after="120"/>
        <w:rPr>
          <w:rFonts w:ascii="Arial" w:eastAsia="Arial" w:hAnsi="Arial"/>
          <w:color w:val="000000"/>
          <w:sz w:val="24"/>
          <w:szCs w:val="24"/>
        </w:rPr>
      </w:pPr>
      <w:bookmarkStart w:id="36" w:name="_heading=h.1hmsyys" w:colFirst="0" w:colLast="0"/>
      <w:bookmarkEnd w:id="36"/>
      <w:r>
        <w:rPr>
          <w:rFonts w:ascii="Arial" w:eastAsia="Arial" w:hAnsi="Arial"/>
          <w:color w:val="000000"/>
          <w:sz w:val="24"/>
          <w:szCs w:val="24"/>
        </w:rPr>
        <w:t>to provide all information which the Buyer</w:t>
      </w:r>
      <w:r>
        <w:rPr>
          <w:rFonts w:ascii="Arial" w:eastAsia="Arial" w:hAnsi="Arial"/>
          <w:i/>
          <w:color w:val="000000"/>
          <w:sz w:val="24"/>
          <w:szCs w:val="24"/>
        </w:rPr>
        <w:t xml:space="preserve"> </w:t>
      </w:r>
      <w:r>
        <w:rPr>
          <w:rFonts w:ascii="Arial" w:eastAsia="Arial" w:hAnsi="Arial"/>
          <w:color w:val="000000"/>
          <w:sz w:val="24"/>
          <w:szCs w:val="24"/>
        </w:rPr>
        <w:t>may reasonably request concerning matters referred to in this Part D as expeditiously as possible; and</w:t>
      </w:r>
    </w:p>
    <w:p w14:paraId="085DCBAA" w14:textId="77777777" w:rsidR="00F35F39" w:rsidRDefault="0076537D">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not to issue any announcements to any Fair Deal Employee prior to the Relevant Transfer Date concerning the matters stated in this Part D without the consent in writing of the Buyer (such consent not to be unreasonably withheld or delayed); </w:t>
      </w:r>
    </w:p>
    <w:p w14:paraId="115AF202" w14:textId="77777777" w:rsidR="00F35F39" w:rsidRDefault="0076537D">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retain such records as would be necessary to manage the pension aspects in relation to any current or former Fair Deal Eligible Employees arising on expiry or termination of the relevant Contract.</w:t>
      </w:r>
    </w:p>
    <w:p w14:paraId="6902E182" w14:textId="77777777" w:rsidR="00F35F39" w:rsidRDefault="0076537D">
      <w:pPr>
        <w:keepNext/>
        <w:numPr>
          <w:ilvl w:val="0"/>
          <w:numId w:val="2"/>
        </w:numPr>
        <w:pBdr>
          <w:top w:val="nil"/>
          <w:left w:val="nil"/>
          <w:bottom w:val="nil"/>
          <w:right w:val="nil"/>
          <w:between w:val="nil"/>
        </w:pBdr>
        <w:spacing w:before="120"/>
        <w:rPr>
          <w:rFonts w:ascii="Arial Bold" w:eastAsia="Arial Bold" w:hAnsi="Arial Bold" w:cs="Arial Bold"/>
          <w:b/>
          <w:color w:val="000000"/>
          <w:sz w:val="24"/>
          <w:szCs w:val="24"/>
        </w:rPr>
      </w:pPr>
      <w:r>
        <w:rPr>
          <w:rFonts w:ascii="Arial Bold" w:eastAsia="Arial Bold" w:hAnsi="Arial Bold" w:cs="Arial Bold"/>
          <w:b/>
          <w:color w:val="000000"/>
          <w:sz w:val="24"/>
          <w:szCs w:val="24"/>
        </w:rPr>
        <w:t>Indemnities the Supplier must give</w:t>
      </w:r>
    </w:p>
    <w:p w14:paraId="2E922D91" w14:textId="77777777" w:rsidR="00F35F39" w:rsidRDefault="0076537D">
      <w:pPr>
        <w:numPr>
          <w:ilvl w:val="1"/>
          <w:numId w:val="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shall indemnify and keep indemnified CCS, [NHS Pensions], the Buyer</w:t>
      </w:r>
      <w:r>
        <w:rPr>
          <w:rFonts w:ascii="Arial" w:eastAsia="Arial" w:hAnsi="Arial"/>
          <w:i/>
          <w:color w:val="000000"/>
          <w:sz w:val="24"/>
          <w:szCs w:val="24"/>
        </w:rPr>
        <w:t xml:space="preserve"> </w:t>
      </w:r>
      <w:r>
        <w:rPr>
          <w:rFonts w:ascii="Arial" w:eastAsia="Arial" w:hAnsi="Arial"/>
          <w:color w:val="000000"/>
          <w:sz w:val="24"/>
          <w:szCs w:val="24"/>
        </w:rPr>
        <w:t xml:space="preserve">and/or any Replacement Supplier and/or any Replacement Subcontractor on demand from and against all and any Losses whatsoever suffered or incurred by it or them which: </w:t>
      </w:r>
    </w:p>
    <w:p w14:paraId="38EAD863" w14:textId="77777777" w:rsidR="00F35F39" w:rsidRDefault="0076537D">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arise out of or in connection with any liability towards all and any Fair Deal Employees arising in respect of service on or after the Relevant Transfer Date which arise from any breach by the Supplier of this Part D, and/or the CSPS Admission Agreement and/or the Direction Letter/Determination and/or the LGPS Admission Agreement; </w:t>
      </w:r>
    </w:p>
    <w:p w14:paraId="247C1719" w14:textId="77777777" w:rsidR="00F35F39" w:rsidRDefault="0076537D">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relate to the payment of benefits under and/or participation in a pension scheme (as defined in section 150(1) Finance Act 2004) provided by the Supplier or a Subcontractor on and after the Relevant Transfer Date until the date of termination or expiry of the relevant Contract, including the Statutory Schemes or any Broadly Comparable pension scheme provided in accordance with paragraphs 10 or 11 of this Part D; </w:t>
      </w:r>
    </w:p>
    <w:p w14:paraId="478ED859" w14:textId="77777777" w:rsidR="00F35F39" w:rsidRDefault="0076537D">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relate to claims by Fair Deal Employees of the Supplier and/or of any Subcontractor or by any trade unions, elected employee representatives or staff associations in respect of all or any such Fair Deal Employees which Losses:</w:t>
      </w:r>
    </w:p>
    <w:p w14:paraId="4E0EA5FF" w14:textId="77777777" w:rsidR="00F35F39" w:rsidRDefault="0076537D">
      <w:pPr>
        <w:keepNext/>
        <w:pBdr>
          <w:top w:val="nil"/>
          <w:left w:val="nil"/>
          <w:bottom w:val="nil"/>
          <w:right w:val="nil"/>
          <w:between w:val="nil"/>
        </w:pBdr>
        <w:tabs>
          <w:tab w:val="left" w:pos="993"/>
        </w:tabs>
        <w:spacing w:before="120" w:after="120"/>
        <w:ind w:left="720" w:hanging="720"/>
        <w:rPr>
          <w:rFonts w:ascii="Arial" w:eastAsia="Arial" w:hAnsi="Arial"/>
          <w:color w:val="000000"/>
          <w:sz w:val="24"/>
          <w:szCs w:val="24"/>
        </w:rPr>
      </w:pPr>
      <w:bookmarkStart w:id="37" w:name="_heading=h.41mghml" w:colFirst="0" w:colLast="0"/>
      <w:bookmarkEnd w:id="37"/>
      <w:r>
        <w:rPr>
          <w:rFonts w:ascii="Arial" w:eastAsia="Arial" w:hAnsi="Arial"/>
          <w:color w:val="000000"/>
          <w:sz w:val="24"/>
          <w:szCs w:val="24"/>
        </w:rPr>
        <w:t>Subcontractor:</w:t>
      </w:r>
    </w:p>
    <w:p w14:paraId="23031569" w14:textId="77777777" w:rsidR="00F35F39" w:rsidRDefault="0076537D">
      <w:pPr>
        <w:numPr>
          <w:ilvl w:val="3"/>
          <w:numId w:val="2"/>
        </w:numPr>
        <w:pBdr>
          <w:top w:val="nil"/>
          <w:left w:val="nil"/>
          <w:bottom w:val="nil"/>
          <w:right w:val="nil"/>
          <w:between w:val="nil"/>
        </w:pBdr>
        <w:spacing w:before="120" w:after="120"/>
        <w:rPr>
          <w:rFonts w:ascii="Arial" w:eastAsia="Arial" w:hAnsi="Arial"/>
          <w:color w:val="000000"/>
          <w:sz w:val="24"/>
          <w:szCs w:val="24"/>
        </w:rPr>
      </w:pPr>
      <w:bookmarkStart w:id="38" w:name="_heading=h.2grqrue" w:colFirst="0" w:colLast="0"/>
      <w:bookmarkEnd w:id="38"/>
      <w:r>
        <w:rPr>
          <w:rFonts w:ascii="Arial" w:eastAsia="Arial" w:hAnsi="Arial"/>
          <w:color w:val="000000"/>
          <w:sz w:val="24"/>
          <w:szCs w:val="24"/>
        </w:rPr>
        <w:t>relate to any rights to benefits under a pension scheme (as defined in section 150(1) Finance Act 2004) in respect of periods of employment on and after the Relevant Transfer Date until the date of termination or expiry of the relevant Contract; or</w:t>
      </w:r>
    </w:p>
    <w:p w14:paraId="48591497" w14:textId="77777777" w:rsidR="00F35F39" w:rsidRDefault="0076537D">
      <w:pPr>
        <w:numPr>
          <w:ilvl w:val="3"/>
          <w:numId w:val="2"/>
        </w:numPr>
        <w:pBdr>
          <w:top w:val="nil"/>
          <w:left w:val="nil"/>
          <w:bottom w:val="nil"/>
          <w:right w:val="nil"/>
          <w:between w:val="nil"/>
        </w:pBdr>
        <w:spacing w:before="120" w:after="120"/>
        <w:rPr>
          <w:rFonts w:ascii="Arial" w:eastAsia="Arial" w:hAnsi="Arial"/>
          <w:color w:val="000000"/>
          <w:sz w:val="24"/>
          <w:szCs w:val="24"/>
        </w:rPr>
      </w:pPr>
      <w:bookmarkStart w:id="39" w:name="_heading=h.vx1227" w:colFirst="0" w:colLast="0"/>
      <w:bookmarkEnd w:id="39"/>
      <w:r>
        <w:rPr>
          <w:rFonts w:ascii="Arial" w:eastAsia="Arial" w:hAnsi="Arial"/>
          <w:color w:val="000000"/>
          <w:sz w:val="24"/>
          <w:szCs w:val="24"/>
        </w:rPr>
        <w:lastRenderedPageBreak/>
        <w:t>arise out of the failure of the Supplier and/or any relevant Subcontractor to comply with the provisions of this Part D before the date of termination or expiry of the relevant Contract; and/or</w:t>
      </w:r>
    </w:p>
    <w:p w14:paraId="1C77CE95" w14:textId="77777777" w:rsidR="00F35F39" w:rsidRDefault="0076537D">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arise out of or in connection with the Supplier (or its Subcontractor) allowing anyone who is not an NHSPS Fair Deal  Employee to join or claim membership of the NHSPS at any time during the Term.</w:t>
      </w:r>
    </w:p>
    <w:p w14:paraId="3B3CE8EB" w14:textId="77777777" w:rsidR="00F35F39" w:rsidRDefault="00F35F39">
      <w:pPr>
        <w:pBdr>
          <w:top w:val="nil"/>
          <w:left w:val="nil"/>
          <w:bottom w:val="nil"/>
          <w:right w:val="nil"/>
          <w:between w:val="nil"/>
        </w:pBdr>
        <w:spacing w:before="120" w:after="120"/>
        <w:ind w:left="2214" w:hanging="1080"/>
        <w:rPr>
          <w:rFonts w:eastAsia="Calibri" w:cs="Calibri"/>
          <w:color w:val="000000"/>
        </w:rPr>
      </w:pPr>
    </w:p>
    <w:p w14:paraId="2AC06174" w14:textId="77777777" w:rsidR="00F35F39" w:rsidRDefault="0076537D">
      <w:pPr>
        <w:keepNext/>
        <w:numPr>
          <w:ilvl w:val="1"/>
          <w:numId w:val="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indemnities in this Part D and its Annexes:</w:t>
      </w:r>
    </w:p>
    <w:p w14:paraId="31677010" w14:textId="77777777" w:rsidR="00F35F39" w:rsidRDefault="0076537D">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shall survive termination of the relevant Contract; and</w:t>
      </w:r>
    </w:p>
    <w:p w14:paraId="6842F63E" w14:textId="77777777" w:rsidR="00F35F39" w:rsidRDefault="0076537D">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shall not be affected by the caps on liability contained in Clause 11 (How much you can be held responsible for).</w:t>
      </w:r>
    </w:p>
    <w:p w14:paraId="6BED9FF5" w14:textId="77777777" w:rsidR="00F35F39" w:rsidRDefault="0076537D">
      <w:pPr>
        <w:keepNext/>
        <w:numPr>
          <w:ilvl w:val="0"/>
          <w:numId w:val="2"/>
        </w:numPr>
        <w:pBdr>
          <w:top w:val="nil"/>
          <w:left w:val="nil"/>
          <w:bottom w:val="nil"/>
          <w:right w:val="nil"/>
          <w:between w:val="nil"/>
        </w:pBdr>
        <w:spacing w:before="120"/>
        <w:rPr>
          <w:rFonts w:ascii="Arial Bold" w:eastAsia="Arial Bold" w:hAnsi="Arial Bold" w:cs="Arial Bold"/>
          <w:b/>
          <w:color w:val="000000"/>
          <w:sz w:val="24"/>
          <w:szCs w:val="24"/>
        </w:rPr>
      </w:pPr>
      <w:r>
        <w:rPr>
          <w:rFonts w:ascii="Arial Bold" w:eastAsia="Arial Bold" w:hAnsi="Arial Bold" w:cs="Arial Bold"/>
          <w:b/>
          <w:color w:val="000000"/>
          <w:sz w:val="24"/>
          <w:szCs w:val="24"/>
        </w:rPr>
        <w:t>What happens if there is a dispute</w:t>
      </w:r>
    </w:p>
    <w:p w14:paraId="161E6860" w14:textId="77777777" w:rsidR="00F35F39" w:rsidRDefault="0076537D">
      <w:pPr>
        <w:keepNext/>
        <w:numPr>
          <w:ilvl w:val="1"/>
          <w:numId w:val="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Dispute Resolution Procedure will not apply to any dispute (</w:t>
      </w:r>
      <w:proofErr w:type="spellStart"/>
      <w:r>
        <w:rPr>
          <w:rFonts w:ascii="Arial" w:eastAsia="Arial" w:hAnsi="Arial"/>
          <w:color w:val="000000"/>
          <w:sz w:val="24"/>
          <w:szCs w:val="24"/>
        </w:rPr>
        <w:t>i</w:t>
      </w:r>
      <w:proofErr w:type="spellEnd"/>
      <w:r>
        <w:rPr>
          <w:rFonts w:ascii="Arial" w:eastAsia="Arial" w:hAnsi="Arial"/>
          <w:color w:val="000000"/>
          <w:sz w:val="24"/>
          <w:szCs w:val="24"/>
        </w:rPr>
        <w:t xml:space="preserve">) between the CCS and/or the Buyer and/or the Supplier or (ii) between their respective actuaries and/or the Fund Actuary about any of the actuarial matters referred to in this Part D and its Annexes shall in the absence of agreement between the CCS and/or the Buyer and/or the Supplier be referred to an independent Actuary: </w:t>
      </w:r>
    </w:p>
    <w:p w14:paraId="2796F3C8" w14:textId="77777777" w:rsidR="00F35F39" w:rsidRDefault="0076537D">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who will act as an expert and not as an arbitrator; </w:t>
      </w:r>
    </w:p>
    <w:p w14:paraId="65130F61" w14:textId="77777777" w:rsidR="00F35F39" w:rsidRDefault="0076537D">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whose decision will be final and binding on the CCS and/or the Buyer and/or the Supplier; and </w:t>
      </w:r>
    </w:p>
    <w:p w14:paraId="2741E045" w14:textId="77777777" w:rsidR="00F35F39" w:rsidRDefault="0076537D">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whose expenses shall be borne equally by the CCS and/or the Buyer and/or the Supplier unless the independent Actuary shall otherwise direct.</w:t>
      </w:r>
    </w:p>
    <w:p w14:paraId="25457D5A" w14:textId="77777777" w:rsidR="00F35F39" w:rsidRDefault="0076537D">
      <w:pPr>
        <w:keepNext/>
        <w:pBdr>
          <w:top w:val="nil"/>
          <w:left w:val="nil"/>
          <w:bottom w:val="nil"/>
          <w:right w:val="nil"/>
          <w:between w:val="nil"/>
        </w:pBdr>
        <w:tabs>
          <w:tab w:val="left" w:pos="993"/>
        </w:tabs>
        <w:spacing w:before="120" w:after="120"/>
        <w:ind w:left="720" w:hanging="720"/>
        <w:rPr>
          <w:rFonts w:ascii="Arial" w:eastAsia="Arial" w:hAnsi="Arial"/>
          <w:color w:val="000000"/>
          <w:sz w:val="24"/>
          <w:szCs w:val="24"/>
        </w:rPr>
      </w:pPr>
      <w:r>
        <w:rPr>
          <w:rFonts w:ascii="Arial" w:eastAsia="Arial" w:hAnsi="Arial"/>
          <w:color w:val="000000"/>
          <w:sz w:val="24"/>
          <w:szCs w:val="24"/>
        </w:rPr>
        <w:t xml:space="preserve">The independent Actuary shall be agreed by the Parties or, failing such agreement the independent Actuary shall be appointed by the President for the time being of the Institute and Faculty of Actuaries on the application by the Parties. </w:t>
      </w:r>
    </w:p>
    <w:p w14:paraId="75E6A7B4" w14:textId="77777777" w:rsidR="00F35F39" w:rsidRDefault="0076537D">
      <w:pPr>
        <w:keepNext/>
        <w:numPr>
          <w:ilvl w:val="0"/>
          <w:numId w:val="2"/>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Other people’s rights</w:t>
      </w:r>
    </w:p>
    <w:p w14:paraId="2CBCA592" w14:textId="77777777" w:rsidR="00F35F39" w:rsidRDefault="0076537D">
      <w:pPr>
        <w:numPr>
          <w:ilvl w:val="1"/>
          <w:numId w:val="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The Parties agree Clause 19 (Other people’s rights in this contract) does not apply and that the CRTPA applies to this Part D to the extent necessary to ensure that any Fair Deal Employee will have the right to enforce any obligation owed to him or her or it by the Supplier under this Part D, in his or her or its own right under section 1(1) of the CRTPA. </w:t>
      </w:r>
    </w:p>
    <w:p w14:paraId="5C288B35" w14:textId="77777777" w:rsidR="00F35F39" w:rsidRDefault="0076537D">
      <w:pPr>
        <w:numPr>
          <w:ilvl w:val="1"/>
          <w:numId w:val="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Further, the Supplier must ensure that the CRTPA will apply to any Sub-Contract to the extent necessary to ensure that any Fair Deal Employee will have the right to enforce any obligation owed to them by the Subcontractor in his or her or its own right under section 1(1) of the CRTPA.</w:t>
      </w:r>
    </w:p>
    <w:p w14:paraId="1A7160CC" w14:textId="77777777" w:rsidR="00F35F39" w:rsidRDefault="0076537D">
      <w:pPr>
        <w:keepNext/>
        <w:numPr>
          <w:ilvl w:val="0"/>
          <w:numId w:val="2"/>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lastRenderedPageBreak/>
        <w:t>What happens if there is a breach of this Part D</w:t>
      </w:r>
    </w:p>
    <w:p w14:paraId="0A9B4535" w14:textId="77777777" w:rsidR="00F35F39" w:rsidRDefault="0076537D">
      <w:pPr>
        <w:keepNext/>
        <w:numPr>
          <w:ilvl w:val="1"/>
          <w:numId w:val="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agrees to notify the Buyer</w:t>
      </w:r>
      <w:r>
        <w:rPr>
          <w:rFonts w:ascii="Arial" w:eastAsia="Arial" w:hAnsi="Arial"/>
          <w:i/>
          <w:color w:val="000000"/>
          <w:sz w:val="24"/>
          <w:szCs w:val="24"/>
        </w:rPr>
        <w:t xml:space="preserve"> </w:t>
      </w:r>
      <w:r>
        <w:rPr>
          <w:rFonts w:ascii="Arial" w:eastAsia="Arial" w:hAnsi="Arial"/>
          <w:color w:val="000000"/>
          <w:sz w:val="24"/>
          <w:szCs w:val="24"/>
        </w:rPr>
        <w:t>should it breach any obligations it has under this Part D and agrees that the Buyer</w:t>
      </w:r>
      <w:r>
        <w:rPr>
          <w:rFonts w:ascii="Arial" w:eastAsia="Arial" w:hAnsi="Arial"/>
          <w:i/>
          <w:color w:val="000000"/>
          <w:sz w:val="24"/>
          <w:szCs w:val="24"/>
        </w:rPr>
        <w:t xml:space="preserve"> </w:t>
      </w:r>
      <w:r>
        <w:rPr>
          <w:rFonts w:ascii="Arial" w:eastAsia="Arial" w:hAnsi="Arial"/>
          <w:color w:val="000000"/>
          <w:sz w:val="24"/>
          <w:szCs w:val="24"/>
        </w:rPr>
        <w:t>shall be entitled to terminate its Contract for material Default in the event that the Supplier:</w:t>
      </w:r>
    </w:p>
    <w:p w14:paraId="01BAC698" w14:textId="77777777" w:rsidR="00F35F39" w:rsidRDefault="0076537D">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commits an irremediable breach of any provision or obligation it has under this Part D; or</w:t>
      </w:r>
    </w:p>
    <w:p w14:paraId="75615B81" w14:textId="77777777" w:rsidR="00F35F39" w:rsidRDefault="0076537D">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commits a breach of any provision or obligation it has under this Part D which, where capable of remedy, it fails to remedy within a reasonable time and in any event within 28 days of the date of a notice from the Buyer giving particulars of the breach and requiring the Supplier to remedy it.</w:t>
      </w:r>
    </w:p>
    <w:p w14:paraId="33005D1A" w14:textId="77777777" w:rsidR="00F35F39" w:rsidRDefault="0076537D">
      <w:pPr>
        <w:keepNext/>
        <w:numPr>
          <w:ilvl w:val="0"/>
          <w:numId w:val="2"/>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Transferring Fair Deal Employees</w:t>
      </w:r>
    </w:p>
    <w:p w14:paraId="300074F4" w14:textId="77777777" w:rsidR="00F35F39" w:rsidRDefault="0076537D">
      <w:pPr>
        <w:keepNext/>
        <w:numPr>
          <w:ilvl w:val="1"/>
          <w:numId w:val="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Save on expiry or termination of the relevant Contract, if the employment of any Fair Deal Eligible Employee transfers to another employer (by way of a transfer under the Employment Regulations or other form of compulsory transfer of employment) the Supplier shall or shall procure that any relevant Sub-contractor shall:</w:t>
      </w:r>
    </w:p>
    <w:p w14:paraId="1C938B8F" w14:textId="77777777" w:rsidR="00F35F39" w:rsidRDefault="0076537D">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notify the Buyer as far as reasonably practicable in advance of the transfer to allow the Buyer to make the necessary arrangements for participation with the relevant Statutory Scheme(s);</w:t>
      </w:r>
    </w:p>
    <w:p w14:paraId="635DBB66" w14:textId="77777777" w:rsidR="00F35F39" w:rsidRDefault="0076537D">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consult with about, and inform those Fair Deal Eligible Employees of the pension provisions relating to that transfer; and</w:t>
      </w:r>
    </w:p>
    <w:p w14:paraId="1DEB18B7" w14:textId="77777777" w:rsidR="00F35F39" w:rsidRDefault="0076537D">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procure that the employer to which the Fair Deal Eligible Employees are transferred (the </w:t>
      </w:r>
      <w:r>
        <w:rPr>
          <w:rFonts w:ascii="Arial" w:eastAsia="Arial" w:hAnsi="Arial"/>
          <w:b/>
          <w:color w:val="000000"/>
          <w:sz w:val="24"/>
          <w:szCs w:val="24"/>
        </w:rPr>
        <w:t>"New Employer"</w:t>
      </w:r>
      <w:r>
        <w:rPr>
          <w:rFonts w:ascii="Arial" w:eastAsia="Arial" w:hAnsi="Arial"/>
          <w:color w:val="000000"/>
          <w:sz w:val="24"/>
          <w:szCs w:val="24"/>
        </w:rPr>
        <w:t>) complies with the provisions of this Part D and its Annexes provided that references to the "Supplier" will become references to the New Employer, references to "Relevant Transfer Date" will become references to the date of the transfer to the New Employer and references to "Fair Deal Employees" will become references to the Fair Deal Eligible Employees so transferred to the New Employer.</w:t>
      </w:r>
    </w:p>
    <w:p w14:paraId="5F1FE418" w14:textId="77777777" w:rsidR="00F35F39" w:rsidRDefault="0076537D">
      <w:pPr>
        <w:keepNext/>
        <w:numPr>
          <w:ilvl w:val="0"/>
          <w:numId w:val="2"/>
        </w:numPr>
        <w:pBdr>
          <w:top w:val="nil"/>
          <w:left w:val="nil"/>
          <w:bottom w:val="nil"/>
          <w:right w:val="nil"/>
          <w:between w:val="nil"/>
        </w:pBdr>
        <w:spacing w:before="120"/>
        <w:rPr>
          <w:rFonts w:ascii="Arial" w:eastAsia="Arial" w:hAnsi="Arial"/>
          <w:b/>
          <w:smallCaps/>
          <w:color w:val="000000"/>
          <w:sz w:val="24"/>
          <w:szCs w:val="24"/>
        </w:rPr>
      </w:pPr>
      <w:r>
        <w:rPr>
          <w:rFonts w:ascii="Arial" w:eastAsia="Arial" w:hAnsi="Arial"/>
          <w:b/>
          <w:smallCaps/>
          <w:color w:val="000000"/>
          <w:sz w:val="24"/>
          <w:szCs w:val="24"/>
        </w:rPr>
        <w:t>W</w:t>
      </w:r>
      <w:r>
        <w:rPr>
          <w:rFonts w:ascii="Arial Bold" w:eastAsia="Arial Bold" w:hAnsi="Arial Bold" w:cs="Arial Bold"/>
          <w:b/>
          <w:color w:val="000000"/>
          <w:sz w:val="24"/>
          <w:szCs w:val="24"/>
        </w:rPr>
        <w:t>hat happens to pensions if this Contract ends</w:t>
      </w:r>
    </w:p>
    <w:p w14:paraId="657E4EB9" w14:textId="77777777" w:rsidR="00F35F39" w:rsidRDefault="0076537D">
      <w:pPr>
        <w:keepNext/>
        <w:numPr>
          <w:ilvl w:val="1"/>
          <w:numId w:val="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provisions of Part E: Staff Transfer On Exit (Mandatory) apply in relation to pension issues on expiry or termination of the relevant Contract.</w:t>
      </w:r>
    </w:p>
    <w:p w14:paraId="399EFF86" w14:textId="77777777" w:rsidR="00F35F39" w:rsidRDefault="0076537D">
      <w:pPr>
        <w:keepNext/>
        <w:numPr>
          <w:ilvl w:val="1"/>
          <w:numId w:val="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The Supplier shall (and shall procure that any of its Subcontractors shall) prior to the termination of the relevant Contract provide all such co-operation and assistance (including co-operation and assistance from the Broadly Comparable pension scheme’s Actuary) as the Replacement Supplier and/or NHS Pension and/or CSPS and/or the relevant Administering Buyer and/or the Buyer may reasonably require, to enable the Replacement Supplier to participate in the appropriate Statutory Scheme in respect of any Fair Deal  </w:t>
      </w:r>
      <w:r>
        <w:rPr>
          <w:rFonts w:ascii="Arial" w:eastAsia="Arial" w:hAnsi="Arial"/>
          <w:color w:val="000000"/>
          <w:sz w:val="24"/>
          <w:szCs w:val="24"/>
        </w:rPr>
        <w:lastRenderedPageBreak/>
        <w:t>Eligible Employee that remains eligible for New Fair Deal protection following a Service Transfer.</w:t>
      </w:r>
    </w:p>
    <w:p w14:paraId="23BD9C3C" w14:textId="77777777" w:rsidR="00F35F39" w:rsidRDefault="00F35F39">
      <w:pPr>
        <w:keepNext/>
        <w:pBdr>
          <w:top w:val="nil"/>
          <w:left w:val="nil"/>
          <w:bottom w:val="nil"/>
          <w:right w:val="nil"/>
          <w:between w:val="nil"/>
        </w:pBdr>
        <w:tabs>
          <w:tab w:val="left" w:pos="993"/>
        </w:tabs>
        <w:spacing w:before="120" w:after="120"/>
        <w:ind w:left="720" w:hanging="720"/>
        <w:rPr>
          <w:rFonts w:ascii="Arial" w:eastAsia="Arial" w:hAnsi="Arial"/>
          <w:color w:val="000000"/>
          <w:sz w:val="24"/>
          <w:szCs w:val="24"/>
        </w:rPr>
      </w:pPr>
    </w:p>
    <w:p w14:paraId="3C1F7A7F" w14:textId="77777777" w:rsidR="00F35F39" w:rsidRDefault="0076537D">
      <w:pPr>
        <w:keepNext/>
        <w:numPr>
          <w:ilvl w:val="0"/>
          <w:numId w:val="2"/>
        </w:numPr>
        <w:pBdr>
          <w:top w:val="nil"/>
          <w:left w:val="nil"/>
          <w:bottom w:val="nil"/>
          <w:right w:val="nil"/>
          <w:between w:val="nil"/>
        </w:pBdr>
        <w:spacing w:before="120"/>
        <w:rPr>
          <w:rFonts w:ascii="Arial Bold" w:eastAsia="Arial Bold" w:hAnsi="Arial Bold" w:cs="Arial Bold"/>
          <w:b/>
          <w:color w:val="000000"/>
          <w:sz w:val="24"/>
          <w:szCs w:val="24"/>
        </w:rPr>
      </w:pPr>
      <w:r>
        <w:rPr>
          <w:rFonts w:ascii="Arial" w:eastAsia="Arial" w:hAnsi="Arial"/>
          <w:b/>
          <w:smallCaps/>
          <w:color w:val="000000"/>
          <w:sz w:val="24"/>
          <w:szCs w:val="24"/>
        </w:rPr>
        <w:t>B</w:t>
      </w:r>
      <w:r>
        <w:rPr>
          <w:rFonts w:ascii="Arial Bold" w:eastAsia="Arial Bold" w:hAnsi="Arial Bold" w:cs="Arial Bold"/>
          <w:b/>
          <w:color w:val="000000"/>
          <w:sz w:val="24"/>
          <w:szCs w:val="24"/>
        </w:rPr>
        <w:t>roadly Comparable Pension Schemes on the Relevant Transfer Date</w:t>
      </w:r>
    </w:p>
    <w:p w14:paraId="1EAB25AB" w14:textId="77777777" w:rsidR="00F35F39" w:rsidRDefault="0076537D">
      <w:pPr>
        <w:keepNext/>
        <w:numPr>
          <w:ilvl w:val="1"/>
          <w:numId w:val="2"/>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40" w:name="_heading=h.3fwokq0" w:colFirst="0" w:colLast="0"/>
      <w:bookmarkEnd w:id="40"/>
      <w:r>
        <w:rPr>
          <w:rFonts w:ascii="Arial" w:eastAsia="Arial" w:hAnsi="Arial"/>
          <w:color w:val="000000"/>
          <w:sz w:val="24"/>
          <w:szCs w:val="24"/>
        </w:rPr>
        <w:t>If the terms of any of paragraphs 4 of Annex D2: NHSPS or 3.1 of Annex D3: LGPS applies, the Supplier must (and must, where relevant, procure that each of its  Subcontractors will) ensure that, with effect from the Relevant Transfer Date until the day before the Service Transfer Date, the relevant Fair Deal Employees will be eligible for membership of a pension scheme under which the benefits are Broadly Comparable to those provided under the relevant Statutory Scheme, and then on such terms as may be decided by the Buyer.</w:t>
      </w:r>
    </w:p>
    <w:p w14:paraId="26D0C832" w14:textId="77777777" w:rsidR="00F35F39" w:rsidRDefault="0076537D">
      <w:pPr>
        <w:keepNext/>
        <w:numPr>
          <w:ilvl w:val="1"/>
          <w:numId w:val="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Such Broadly Comparable pension scheme must be:  </w:t>
      </w:r>
    </w:p>
    <w:p w14:paraId="329CED0C" w14:textId="77777777" w:rsidR="00F35F39" w:rsidRDefault="0076537D">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established by the Relevant Transfer Date</w:t>
      </w:r>
      <w:r>
        <w:rPr>
          <w:rFonts w:ascii="Arial" w:eastAsia="Arial" w:hAnsi="Arial"/>
          <w:color w:val="000000"/>
          <w:sz w:val="24"/>
          <w:szCs w:val="24"/>
          <w:vertAlign w:val="superscript"/>
        </w:rPr>
        <w:footnoteReference w:id="2"/>
      </w:r>
      <w:r>
        <w:rPr>
          <w:rFonts w:ascii="Arial" w:eastAsia="Arial" w:hAnsi="Arial"/>
          <w:color w:val="000000"/>
          <w:sz w:val="24"/>
          <w:szCs w:val="24"/>
        </w:rPr>
        <w:t>;</w:t>
      </w:r>
    </w:p>
    <w:p w14:paraId="493EB8C1" w14:textId="77777777" w:rsidR="00F35F39" w:rsidRDefault="0076537D">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 registered pension scheme for the purposes of Part 4 of the Finance Act 2004; </w:t>
      </w:r>
    </w:p>
    <w:p w14:paraId="0642A453" w14:textId="77777777" w:rsidR="00F35F39" w:rsidRDefault="0076537D">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capable of receiving a bulk transfer payment from the relevant Statutory Scheme or from a Former Supplier’s Broadly Comparable pension scheme (unless otherwise instructed by the Buyer); </w:t>
      </w:r>
    </w:p>
    <w:p w14:paraId="45A6C052" w14:textId="77777777" w:rsidR="00F35F39" w:rsidRDefault="0076537D">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capable of paying a bulk transfer payment to the Replacement Supplier’s Broadly Comparable pension scheme  (or the relevant Statutory Scheme if applicable) (unless otherwise instructed by the Buyer); and </w:t>
      </w:r>
    </w:p>
    <w:p w14:paraId="292CDE29" w14:textId="77777777" w:rsidR="00F35F39" w:rsidRDefault="0076537D">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maintained until such bulk transfer payments have been received or paid (unless otherwise instructed by the Buyer).  </w:t>
      </w:r>
    </w:p>
    <w:p w14:paraId="3953929A" w14:textId="77777777" w:rsidR="00F35F39" w:rsidRDefault="0076537D">
      <w:pPr>
        <w:keepNext/>
        <w:numPr>
          <w:ilvl w:val="1"/>
          <w:numId w:val="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Where the Supplier has set up a Broadly Comparable pension scheme pursuant to the provisions of this Paragraph 10, the Supplier shall (and shall procure that any of its Subcontractors shall):</w:t>
      </w:r>
    </w:p>
    <w:p w14:paraId="562BF144" w14:textId="77777777" w:rsidR="00F35F39" w:rsidRDefault="0076537D">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supply to the Buyer  details of its (or its Subcontractor’s) Broadly Comparable pension scheme and provide a full copy of the valid certificate of broad comparability (which remains valid as at the Relevant Transfer Date) covering all relevant Fair Deal Employees, as soon as it is able to do so before the Relevant Transfer Date (where possible) and in any event no later than seven (7) days after receipt of the certificate;</w:t>
      </w:r>
    </w:p>
    <w:p w14:paraId="6ED396F1" w14:textId="77777777" w:rsidR="00F35F39" w:rsidRDefault="0076537D">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be fully responsible for all costs, contributions, payments and other amounts relating to the setting up, certification of, ongoing participation in and/or withdrawal and exit from the Broadly Comparable pension scheme, including for the avoidance of </w:t>
      </w:r>
      <w:r>
        <w:rPr>
          <w:rFonts w:ascii="Arial" w:eastAsia="Arial" w:hAnsi="Arial"/>
          <w:color w:val="000000"/>
          <w:sz w:val="24"/>
          <w:szCs w:val="24"/>
        </w:rPr>
        <w:lastRenderedPageBreak/>
        <w:t>doubt any debts arising under section 75 or 75A of the Pensions Act 1995;</w:t>
      </w:r>
    </w:p>
    <w:p w14:paraId="46528234" w14:textId="77777777" w:rsidR="00F35F39" w:rsidRDefault="0076537D">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instruct any such Broadly Comparable pension scheme’s Actuary to provide all such co-operation and assistance in agreeing bulk transfer process with the Actuary to the Former Supplier’s Broadly Comparable pension scheme or the Actuary to the relevant Statutory Scheme  (as appropriate) and to provide all such co-operation and assistance with any other Actuary appointed by the Buyer (where applicable). This will be with a view to the bulk transfer terms providing day for day and/or pound for pound (as applicable) (or actuarially equivalent where there are benefit differences between the two schemes) credits in the Broadly Comparable pension scheme in respect of any Fair Deal Eligible Employee who consents to such a transfer</w:t>
      </w:r>
      <w:r>
        <w:rPr>
          <w:rFonts w:ascii="Arial" w:eastAsia="Arial" w:hAnsi="Arial"/>
          <w:color w:val="000000"/>
          <w:sz w:val="24"/>
          <w:szCs w:val="24"/>
          <w:vertAlign w:val="superscript"/>
        </w:rPr>
        <w:footnoteReference w:id="3"/>
      </w:r>
      <w:r>
        <w:rPr>
          <w:rFonts w:ascii="Arial" w:eastAsia="Arial" w:hAnsi="Arial"/>
          <w:color w:val="000000"/>
          <w:sz w:val="24"/>
          <w:szCs w:val="24"/>
        </w:rPr>
        <w:t>; and</w:t>
      </w:r>
    </w:p>
    <w:p w14:paraId="6659D908" w14:textId="77777777" w:rsidR="00F35F39" w:rsidRDefault="0076537D">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provide a replacement Broadly Comparable pension scheme in accordance with this paragraph 10 with immediate effect for those Fair Deal Eligible Employees who are still employed by the Supplier and/or relevant Subcontractor and are still eligible for New Fair Deal protection in the event that the Supplier and/or Subcontractor's Broadly Comparable pension scheme is terminated. 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 </w:t>
      </w:r>
    </w:p>
    <w:p w14:paraId="1FE80770" w14:textId="77777777" w:rsidR="00F35F39" w:rsidRDefault="0076537D">
      <w:pPr>
        <w:keepNext/>
        <w:numPr>
          <w:ilvl w:val="1"/>
          <w:numId w:val="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Where the Supplier has provided a Broadly Comparable pension scheme pursuant to the provisions of this paragraph 10, the Supplier shall (and shall procure that any of its Subcontractors shall) prior to the termination of the relevant Contract:</w:t>
      </w:r>
    </w:p>
    <w:p w14:paraId="23720D02" w14:textId="77777777" w:rsidR="00F35F39" w:rsidRDefault="0076537D">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Supplier’s Broadly Comparable pension scheme  (or the relevant Statutory Scheme if applicable). The bulk transfer terms provided shall be on a past service reserve basis which should be calculated allowing for projected final salary at the assumed date of retirement, leaving service or death (in the case of final salary benefits). The actuarial basis for this past service reserve basis should be aligned to the funding requirements of the Broadly Comparable pension scheme in place at the time the bulk transfer terms are offered. The bulk transfer terms shall be subject to an underpin </w:t>
      </w:r>
      <w:r>
        <w:rPr>
          <w:rFonts w:ascii="Arial" w:eastAsia="Arial" w:hAnsi="Arial"/>
          <w:color w:val="000000"/>
          <w:sz w:val="24"/>
          <w:szCs w:val="24"/>
        </w:rPr>
        <w:lastRenderedPageBreak/>
        <w:t xml:space="preserve">in relation to any service credits awarded in the Broadly Comparable pension scheme in accordance with paragraph 10.3.3 such that the element of the past service reserve amount which relates to such service credits shall be no lower than that required by the bulk transfer terms that were agreed in accordance with paragraph 10.3.3 but using the last day of the Fair Deal Eligible Employees’ employment with the Supplier or Subcontractor (as appropriate) as the date used to determine the actuarial assumptions; and </w:t>
      </w:r>
    </w:p>
    <w:p w14:paraId="6969DDD7" w14:textId="77777777" w:rsidR="00F35F39" w:rsidRDefault="0076537D">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if the transfer payment paid by the trustees of the Broadly Comparable pension scheme is less (in the opinion of the Actuary to the Replacement Supplier’s Broadly Comparable pension scheme (or to the relevant Statutory Scheme if applicable)) than the transfer payment which would have been paid had paragraph 10.4.1 been complied with, the Supplier shall (or shall procure that the Subcontractor shall) pay the amount of the difference to the Replacement Supplier’s Broadly Comparable pension scheme (or relevant Statutory Scheme if applicable) or as the Buyer shall otherwise direct. The Supplier shall indemnify the Buyer or the Replacement Supplier’s Broadly Comparable pension scheme (or the relevant Statutory Scheme if applicable) (as the Buyer directs) for any failure to pay the difference as required under this paragraph.</w:t>
      </w:r>
    </w:p>
    <w:p w14:paraId="1D707253" w14:textId="77777777" w:rsidR="00F35F39" w:rsidRDefault="00F35F39">
      <w:pPr>
        <w:pBdr>
          <w:top w:val="nil"/>
          <w:left w:val="nil"/>
          <w:bottom w:val="nil"/>
          <w:right w:val="nil"/>
          <w:between w:val="nil"/>
        </w:pBdr>
        <w:tabs>
          <w:tab w:val="left" w:pos="993"/>
        </w:tabs>
        <w:spacing w:before="120" w:after="120"/>
        <w:ind w:left="720" w:hanging="720"/>
        <w:rPr>
          <w:rFonts w:eastAsia="Calibri" w:cs="Calibri"/>
          <w:color w:val="000000"/>
        </w:rPr>
      </w:pPr>
    </w:p>
    <w:p w14:paraId="7DDE9F3C" w14:textId="77777777" w:rsidR="00F35F39" w:rsidRDefault="0076537D">
      <w:pPr>
        <w:keepNext/>
        <w:numPr>
          <w:ilvl w:val="0"/>
          <w:numId w:val="2"/>
        </w:numPr>
        <w:pBdr>
          <w:top w:val="nil"/>
          <w:left w:val="nil"/>
          <w:bottom w:val="nil"/>
          <w:right w:val="nil"/>
          <w:between w:val="nil"/>
        </w:pBdr>
        <w:spacing w:before="120"/>
        <w:ind w:left="357" w:hanging="357"/>
        <w:rPr>
          <w:rFonts w:ascii="Arial" w:eastAsia="Arial" w:hAnsi="Arial"/>
          <w:b/>
          <w:smallCaps/>
          <w:color w:val="000000"/>
          <w:sz w:val="24"/>
          <w:szCs w:val="24"/>
        </w:rPr>
      </w:pPr>
      <w:r>
        <w:rPr>
          <w:rFonts w:ascii="Arial" w:eastAsia="Arial" w:hAnsi="Arial"/>
          <w:b/>
          <w:color w:val="000000"/>
          <w:sz w:val="24"/>
          <w:szCs w:val="24"/>
        </w:rPr>
        <w:t>Broadly Comparable Pension Scheme in Other Circumstances</w:t>
      </w:r>
    </w:p>
    <w:p w14:paraId="608FACC4" w14:textId="77777777" w:rsidR="00F35F39" w:rsidRDefault="0076537D">
      <w:pPr>
        <w:keepNext/>
        <w:numPr>
          <w:ilvl w:val="1"/>
          <w:numId w:val="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If the terms of any of paragraphs 2.2 of Annex D1: CSPS, 5.2 of Annex D2: NHSPS and/or 3.2 of Annex D3: LGPS apply, the Supplier must (and must, where relevant, procure that each of its Subcontractors will) ensure that, with effect from the cessation of participation in the Statutory Scheme, until the day before the Service Transfer Date, the relevant Fair Deal Eligible Employees will be eligible for membership of a pension scheme under which the benefits are Broadly Comparable to those provided under the relevant Statutory Scheme at the date of cessation of participation in the relevant Statutory Scheme, and then on such terms as may be decided by the Buyer.</w:t>
      </w:r>
    </w:p>
    <w:p w14:paraId="02E3D1AB" w14:textId="77777777" w:rsidR="00F35F39" w:rsidRDefault="0076537D">
      <w:pPr>
        <w:keepNext/>
        <w:numPr>
          <w:ilvl w:val="1"/>
          <w:numId w:val="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Such Broadly Comparable pension scheme must be:  </w:t>
      </w:r>
    </w:p>
    <w:p w14:paraId="78EF4743" w14:textId="77777777" w:rsidR="00F35F39" w:rsidRDefault="0076537D">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established by the date of cessation of participation in the Statutory Scheme</w:t>
      </w:r>
      <w:r>
        <w:rPr>
          <w:rFonts w:ascii="Arial" w:eastAsia="Arial" w:hAnsi="Arial"/>
          <w:color w:val="000000"/>
          <w:sz w:val="24"/>
          <w:szCs w:val="24"/>
          <w:vertAlign w:val="superscript"/>
        </w:rPr>
        <w:footnoteReference w:id="4"/>
      </w:r>
      <w:r>
        <w:rPr>
          <w:rFonts w:ascii="Arial" w:eastAsia="Arial" w:hAnsi="Arial"/>
          <w:color w:val="000000"/>
          <w:sz w:val="24"/>
          <w:szCs w:val="24"/>
        </w:rPr>
        <w:t xml:space="preserve">; </w:t>
      </w:r>
    </w:p>
    <w:p w14:paraId="0E8DD3C0" w14:textId="77777777" w:rsidR="00F35F39" w:rsidRDefault="0076537D">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 registered pension scheme for the purposes of Part 4 of the Finance Act 2004; </w:t>
      </w:r>
    </w:p>
    <w:p w14:paraId="72012146" w14:textId="77777777" w:rsidR="00F35F39" w:rsidRDefault="0076537D">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capable of receiving a bulk transfer payment from the relevant Statutory Scheme (where instructed to do so by the Buyer); </w:t>
      </w:r>
    </w:p>
    <w:p w14:paraId="306660EF" w14:textId="77777777" w:rsidR="00F35F39" w:rsidRDefault="0076537D">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lastRenderedPageBreak/>
        <w:t xml:space="preserve">capable of paying a bulk transfer payment to the Replacement Supplier’s Broadly Comparable pension scheme (or the relevant Statutory Scheme if applicable) (unless otherwise instructed by the Buyer); and </w:t>
      </w:r>
    </w:p>
    <w:p w14:paraId="62A176E1" w14:textId="77777777" w:rsidR="00F35F39" w:rsidRDefault="0076537D">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maintained until such bulk transfer payments have been received or paid (unless otherwise instructed by the Buyer).  </w:t>
      </w:r>
    </w:p>
    <w:p w14:paraId="675A8F92" w14:textId="77777777" w:rsidR="00F35F39" w:rsidRDefault="0076537D">
      <w:pPr>
        <w:keepNext/>
        <w:numPr>
          <w:ilvl w:val="1"/>
          <w:numId w:val="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Where the Supplier has provided a Broadly Comparable pension scheme  pursuant to the provisions of this paragraph 11, the Supplier shall (and shall procure that any of its Subcontractors shall):</w:t>
      </w:r>
    </w:p>
    <w:p w14:paraId="1842BB38" w14:textId="77777777" w:rsidR="00F35F39" w:rsidRDefault="0076537D">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supply to the Buyer  details of its (or its Subcontractor’s) Broadly Comparable pension scheme and provide a full copy of the valid certificate of broad comparability (which remains valid as at the date of cessation of participation in the Statutory Scheme) covering all relevant Fair Deal Eligible Employees, as soon as it is able to do so before the cessation of participation in the Statutory Scheme (where possible) and in any event no later than seven (7) days after receipt of the certificate;</w:t>
      </w:r>
    </w:p>
    <w:p w14:paraId="53150B64" w14:textId="77777777" w:rsidR="00F35F39" w:rsidRDefault="0076537D">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be fully responsible for all costs, contributions, payments and other amounts relating to the setting up, certification of, ongoing participation in and/or withdrawal and exit from the Broadly Comparable pension scheme, including for the avoidance of doubt any debts arising under section 75 or 75A of the Pensions Act 1995;   </w:t>
      </w:r>
    </w:p>
    <w:p w14:paraId="6962D012" w14:textId="77777777" w:rsidR="00F35F39" w:rsidRDefault="0076537D">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where required to do so by the Buyer, instruct any such Broadly Comparable pension scheme’s Actuary to provide all such co-operation and assistance in agreeing a bulk transfer process with the Actuary to the relevant Statutory Scheme and to provide all such co-operation and assistance with any other Actuary appointed by the Buyer (where applicable). The Supplier must ensure that day for day and/or pound for pound (as applicable) (or actuarially equivalent where there are benefit differences between the two schemes) credits in the Broadly Comparable pension scheme are provided in respect of any Fair Deal Employee who consents to such a transfer from the Statutory Scheme and the Supplier shall be fully responsible for any costs of providing those credits in excess of the bulk transfer payment received by the Broadly Comparable pension scheme</w:t>
      </w:r>
      <w:r>
        <w:rPr>
          <w:rFonts w:ascii="Arial" w:eastAsia="Arial" w:hAnsi="Arial"/>
          <w:color w:val="000000"/>
          <w:sz w:val="24"/>
          <w:szCs w:val="24"/>
          <w:vertAlign w:val="superscript"/>
        </w:rPr>
        <w:footnoteReference w:id="5"/>
      </w:r>
      <w:r>
        <w:rPr>
          <w:rFonts w:ascii="Arial" w:eastAsia="Arial" w:hAnsi="Arial"/>
          <w:color w:val="000000"/>
          <w:sz w:val="24"/>
          <w:szCs w:val="24"/>
        </w:rPr>
        <w:t xml:space="preserve">; and  </w:t>
      </w:r>
    </w:p>
    <w:p w14:paraId="0ED52D17" w14:textId="77777777" w:rsidR="00F35F39" w:rsidRDefault="0076537D">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provide a replacement Broadly Comparable pension scheme in accordance with this paragraph 11 with immediate effect for those Fair Deal Eligible Employees who are still employed by the Supplier and/or relevant Subcontractor and are still eligible for New Fair Deal protection in the event that the Supplier and/or Subcontractor's Broadly Comparable pension scheme is closed </w:t>
      </w:r>
      <w:r>
        <w:rPr>
          <w:rFonts w:ascii="Arial" w:eastAsia="Arial" w:hAnsi="Arial"/>
          <w:color w:val="000000"/>
          <w:sz w:val="24"/>
          <w:szCs w:val="24"/>
        </w:rPr>
        <w:lastRenderedPageBreak/>
        <w:t xml:space="preserve">to future accrual and/or terminated. 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 </w:t>
      </w:r>
    </w:p>
    <w:p w14:paraId="232F8A13" w14:textId="77777777" w:rsidR="00F35F39" w:rsidRDefault="0076537D">
      <w:pPr>
        <w:keepNext/>
        <w:numPr>
          <w:ilvl w:val="1"/>
          <w:numId w:val="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Where the Supplier has provided a Broadly Comparable pension scheme pursuant to the provisions of this paragraph 11, the Supplier shall (and shall procure that any of its Subcontractors shall) prior to the termination of the relevant Contract 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Supplier’s Broadly Comparable pension scheme (or relevant Statutory Scheme if applicable). The bulk transfer terms provided shall be sufficient to secure day for day and/or pound for pound credits (as applicable) (or actuarially equivalent where there are benefit differences between the two schemes) in the Replacement Supplier’s Broadly Comparable pension scheme (or relevant Statutory Scheme if applicable). For the avoidance of doubt, should the amount offered by the Broadly Comparable pension scheme be less than the amount required by the Replacement Supplier’s Broadly Comparable pension scheme (or the relevant Statutory Scheme if applicable) to fund the required credits (“</w:t>
      </w:r>
      <w:r>
        <w:rPr>
          <w:rFonts w:ascii="Arial" w:eastAsia="Arial" w:hAnsi="Arial"/>
          <w:b/>
          <w:color w:val="000000"/>
          <w:sz w:val="24"/>
          <w:szCs w:val="24"/>
        </w:rPr>
        <w:t>the Shortfall</w:t>
      </w:r>
      <w:r>
        <w:rPr>
          <w:rFonts w:ascii="Arial" w:eastAsia="Arial" w:hAnsi="Arial"/>
          <w:color w:val="000000"/>
          <w:sz w:val="24"/>
          <w:szCs w:val="24"/>
        </w:rPr>
        <w:t xml:space="preserve">”), the Supplier or the Subcontractor (as agreed between them) must pay the Replacement Supplier’s Broadly Comparable pension scheme (or relevant Statutory Scheme if applicable) the Shortfall as required, provided that in the absence of any agreement between the Supplier and any Subcontractor, the Shortfall shall be paid by the Supplier. The Supplier shall indemnify the Buyer or the Replacement Supplier’s Broadly Comparable pension scheme (or the relevant Statutory Scheme if applicable) (as the Buyer directs) for any failure to pay the Shortfall under this paragraph. </w:t>
      </w:r>
    </w:p>
    <w:p w14:paraId="71D0AFA6" w14:textId="77777777" w:rsidR="00F35F39" w:rsidRDefault="0076537D">
      <w:pPr>
        <w:keepNext/>
        <w:numPr>
          <w:ilvl w:val="0"/>
          <w:numId w:val="2"/>
        </w:numPr>
        <w:pBdr>
          <w:top w:val="nil"/>
          <w:left w:val="nil"/>
          <w:bottom w:val="nil"/>
          <w:right w:val="nil"/>
          <w:between w:val="nil"/>
        </w:pBdr>
        <w:spacing w:before="120"/>
        <w:ind w:left="357" w:hanging="357"/>
        <w:rPr>
          <w:rFonts w:ascii="Arial" w:eastAsia="Arial" w:hAnsi="Arial"/>
          <w:b/>
          <w:color w:val="000000"/>
          <w:sz w:val="24"/>
          <w:szCs w:val="24"/>
        </w:rPr>
      </w:pPr>
      <w:r>
        <w:rPr>
          <w:rFonts w:ascii="Arial" w:eastAsia="Arial" w:hAnsi="Arial"/>
          <w:b/>
          <w:color w:val="000000"/>
          <w:sz w:val="24"/>
          <w:szCs w:val="24"/>
        </w:rPr>
        <w:t>Right of Set-off</w:t>
      </w:r>
    </w:p>
    <w:p w14:paraId="6DEF6EB6" w14:textId="77777777" w:rsidR="00F35F39" w:rsidRDefault="0076537D">
      <w:pPr>
        <w:keepNext/>
        <w:numPr>
          <w:ilvl w:val="1"/>
          <w:numId w:val="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The Buyer shall have a right to set off against any payments due to the Supplier under the relevant Contract an amount equal to: </w:t>
      </w:r>
    </w:p>
    <w:p w14:paraId="15771C41" w14:textId="77777777" w:rsidR="00F35F39" w:rsidRDefault="0076537D">
      <w:pPr>
        <w:numPr>
          <w:ilvl w:val="2"/>
          <w:numId w:val="2"/>
        </w:numPr>
        <w:pBdr>
          <w:top w:val="nil"/>
          <w:left w:val="nil"/>
          <w:bottom w:val="nil"/>
          <w:right w:val="nil"/>
          <w:between w:val="nil"/>
        </w:pBdr>
        <w:spacing w:before="120" w:after="120"/>
        <w:rPr>
          <w:rFonts w:ascii="Arial" w:eastAsia="Arial" w:hAnsi="Arial"/>
          <w:color w:val="000000"/>
          <w:sz w:val="24"/>
          <w:szCs w:val="24"/>
        </w:rPr>
      </w:pPr>
      <w:bookmarkStart w:id="41" w:name="_heading=h.1v1yuxt" w:colFirst="0" w:colLast="0"/>
      <w:bookmarkEnd w:id="41"/>
      <w:r>
        <w:rPr>
          <w:rFonts w:ascii="Arial" w:eastAsia="Arial" w:hAnsi="Arial"/>
          <w:color w:val="000000"/>
          <w:sz w:val="24"/>
          <w:szCs w:val="24"/>
        </w:rPr>
        <w:t>any unpaid employer’s contributions or employee’s contributions or any other financial obligations under the CSPS or any CSPS Admission Agreement in respect of the CSPS Eligible Employees whether due from the Supplier or from any relevant Subcontractor or due from any third party under any indemnity, bond or guarantee;</w:t>
      </w:r>
    </w:p>
    <w:p w14:paraId="15839EE4" w14:textId="77777777" w:rsidR="00F35F39" w:rsidRDefault="0076537D">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unpaid employer’s contributions or employee’s contributions or any other financial obligations under the NHSPS or any Direction Letter/Determination in respect of the NHSPS Eligible Employees whether due from the Supplier or from any relevant Subcontractor or due from any third party under any indemnity, bond or guarantee; or</w:t>
      </w:r>
    </w:p>
    <w:p w14:paraId="757349EC" w14:textId="77777777" w:rsidR="00F35F39" w:rsidRDefault="0076537D">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lastRenderedPageBreak/>
        <w:t>any unpaid employer’s contributions or employee’s contributions or any other financial obligations under the LGPS or any LGPS Admission Agreement in respect of the LGPS Eligible Employees whether due from the Supplier or from any relevant Subcontractor or due from any third party under any indemnity, bond or guarantee;</w:t>
      </w:r>
    </w:p>
    <w:p w14:paraId="62E7CC4E" w14:textId="77777777" w:rsidR="00F35F39" w:rsidRDefault="0076537D">
      <w:pPr>
        <w:pStyle w:val="Heading4"/>
        <w:ind w:left="709"/>
        <w:rPr>
          <w:rFonts w:ascii="Arial" w:eastAsia="Arial" w:hAnsi="Arial"/>
          <w:sz w:val="24"/>
          <w:szCs w:val="24"/>
        </w:rPr>
      </w:pPr>
      <w:bookmarkStart w:id="42" w:name="_heading=h.4f1mdlm" w:colFirst="0" w:colLast="0"/>
      <w:bookmarkEnd w:id="42"/>
      <w:r>
        <w:rPr>
          <w:rFonts w:ascii="Arial" w:eastAsia="Arial" w:hAnsi="Arial"/>
          <w:sz w:val="24"/>
          <w:szCs w:val="24"/>
        </w:rPr>
        <w:t xml:space="preserve">and shall pay such set off amount to the relevant Statutory Scheme. </w:t>
      </w:r>
    </w:p>
    <w:p w14:paraId="7195C9FD" w14:textId="77777777" w:rsidR="00F35F39" w:rsidRDefault="0076537D">
      <w:pPr>
        <w:keepNext/>
        <w:numPr>
          <w:ilvl w:val="1"/>
          <w:numId w:val="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Buyer shall also have a right to set off against any payments due to the Supplier  under the relevant Contract all reasonable costs and expenses incurred by the Buyer as result of Paragraphs 12.1 above.</w:t>
      </w:r>
    </w:p>
    <w:p w14:paraId="1A72E034" w14:textId="77777777" w:rsidR="00F35F39" w:rsidRPr="0076537D" w:rsidRDefault="0076537D">
      <w:pPr>
        <w:rPr>
          <w:rFonts w:ascii="Arial Bold" w:eastAsia="Arial Bold" w:hAnsi="Arial Bold" w:cs="Arial Bold"/>
          <w:b/>
          <w:sz w:val="36"/>
          <w:szCs w:val="36"/>
          <w:lang w:val="fr-FR"/>
        </w:rPr>
      </w:pPr>
      <w:r w:rsidRPr="00544F2B">
        <w:rPr>
          <w:lang w:val="fr-FR"/>
        </w:rPr>
        <w:br w:type="page"/>
      </w:r>
      <w:r w:rsidRPr="0076537D">
        <w:rPr>
          <w:rFonts w:ascii="Arial Bold" w:eastAsia="Arial Bold" w:hAnsi="Arial Bold" w:cs="Arial Bold"/>
          <w:b/>
          <w:sz w:val="36"/>
          <w:szCs w:val="36"/>
          <w:lang w:val="fr-FR"/>
        </w:rPr>
        <w:lastRenderedPageBreak/>
        <w:t xml:space="preserve">Annex D1: </w:t>
      </w:r>
    </w:p>
    <w:p w14:paraId="440FF6F1" w14:textId="77777777" w:rsidR="00F35F39" w:rsidRPr="0076537D" w:rsidRDefault="0076537D">
      <w:pPr>
        <w:rPr>
          <w:rFonts w:ascii="Arial Bold" w:eastAsia="Arial Bold" w:hAnsi="Arial Bold" w:cs="Arial Bold"/>
          <w:sz w:val="36"/>
          <w:szCs w:val="36"/>
          <w:lang w:val="fr-FR"/>
        </w:rPr>
      </w:pPr>
      <w:r w:rsidRPr="0076537D">
        <w:rPr>
          <w:rFonts w:ascii="Arial Bold" w:eastAsia="Arial Bold" w:hAnsi="Arial Bold" w:cs="Arial Bold"/>
          <w:b/>
          <w:sz w:val="36"/>
          <w:szCs w:val="36"/>
          <w:lang w:val="fr-FR"/>
        </w:rPr>
        <w:t>Civil Service Pensions Schemes (CSPS)</w:t>
      </w:r>
    </w:p>
    <w:p w14:paraId="33816367" w14:textId="77777777" w:rsidR="00F35F39" w:rsidRDefault="0076537D">
      <w:pPr>
        <w:keepNext/>
        <w:numPr>
          <w:ilvl w:val="0"/>
          <w:numId w:val="6"/>
        </w:numPr>
        <w:pBdr>
          <w:top w:val="nil"/>
          <w:left w:val="nil"/>
          <w:bottom w:val="nil"/>
          <w:right w:val="nil"/>
          <w:between w:val="nil"/>
        </w:pBdr>
        <w:spacing w:before="120"/>
        <w:ind w:left="357" w:hanging="357"/>
        <w:rPr>
          <w:rFonts w:ascii="Arial" w:eastAsia="Arial" w:hAnsi="Arial"/>
          <w:b/>
          <w:smallCaps/>
          <w:color w:val="000000"/>
          <w:sz w:val="24"/>
          <w:szCs w:val="24"/>
        </w:rPr>
      </w:pPr>
      <w:r>
        <w:rPr>
          <w:rFonts w:ascii="Arial" w:eastAsia="Arial" w:hAnsi="Arial"/>
          <w:b/>
          <w:smallCaps/>
          <w:color w:val="000000"/>
          <w:sz w:val="24"/>
          <w:szCs w:val="24"/>
        </w:rPr>
        <w:t>D</w:t>
      </w:r>
      <w:r>
        <w:rPr>
          <w:rFonts w:ascii="Arial Bold" w:eastAsia="Arial Bold" w:hAnsi="Arial Bold" w:cs="Arial Bold"/>
          <w:b/>
          <w:color w:val="000000"/>
          <w:sz w:val="24"/>
          <w:szCs w:val="24"/>
        </w:rPr>
        <w:t>efinitions</w:t>
      </w:r>
    </w:p>
    <w:p w14:paraId="05CF36D2" w14:textId="77777777" w:rsidR="00F35F39" w:rsidRDefault="0076537D">
      <w:pPr>
        <w:keepNext/>
        <w:ind w:left="368" w:hanging="11"/>
        <w:rPr>
          <w:rFonts w:ascii="Arial" w:eastAsia="Arial" w:hAnsi="Arial"/>
          <w:sz w:val="24"/>
          <w:szCs w:val="24"/>
        </w:rPr>
      </w:pPr>
      <w:r>
        <w:rPr>
          <w:rFonts w:ascii="Arial" w:eastAsia="Arial" w:hAnsi="Arial"/>
          <w:sz w:val="24"/>
          <w:szCs w:val="24"/>
        </w:rPr>
        <w:t>In this Annex D1: CSPS to Part D: Pensions, the following words have the following meanings and they shall supplement Joint Schedule 1 (Definitions):</w:t>
      </w:r>
    </w:p>
    <w:tbl>
      <w:tblPr>
        <w:tblStyle w:val="a1"/>
        <w:tblW w:w="9378" w:type="dxa"/>
        <w:tblInd w:w="-115" w:type="dxa"/>
        <w:tblLayout w:type="fixed"/>
        <w:tblLook w:val="0400" w:firstRow="0" w:lastRow="0" w:firstColumn="0" w:lastColumn="0" w:noHBand="0" w:noVBand="1"/>
      </w:tblPr>
      <w:tblGrid>
        <w:gridCol w:w="2835"/>
        <w:gridCol w:w="6543"/>
      </w:tblGrid>
      <w:tr w:rsidR="00F35F39" w14:paraId="4C43936A" w14:textId="77777777">
        <w:tc>
          <w:tcPr>
            <w:tcW w:w="2835" w:type="dxa"/>
          </w:tcPr>
          <w:p w14:paraId="7976C5F1" w14:textId="77777777" w:rsidR="00F35F39" w:rsidRDefault="0076537D">
            <w:pPr>
              <w:spacing w:before="120" w:after="120"/>
              <w:ind w:left="709"/>
              <w:rPr>
                <w:rFonts w:ascii="Arial" w:eastAsia="Arial" w:hAnsi="Arial"/>
                <w:b/>
                <w:color w:val="000000"/>
                <w:sz w:val="24"/>
                <w:szCs w:val="24"/>
              </w:rPr>
            </w:pPr>
            <w:r>
              <w:rPr>
                <w:rFonts w:ascii="Arial" w:eastAsia="Arial" w:hAnsi="Arial"/>
                <w:b/>
                <w:color w:val="000000"/>
                <w:sz w:val="24"/>
                <w:szCs w:val="24"/>
              </w:rPr>
              <w:t>"CSPS Admission Agreement"</w:t>
            </w:r>
          </w:p>
        </w:tc>
        <w:tc>
          <w:tcPr>
            <w:tcW w:w="6543" w:type="dxa"/>
          </w:tcPr>
          <w:p w14:paraId="5C949C78" w14:textId="77777777" w:rsidR="00F35F39" w:rsidRDefault="0076537D">
            <w:pPr>
              <w:tabs>
                <w:tab w:val="left" w:pos="235"/>
              </w:tabs>
              <w:spacing w:before="120" w:after="120"/>
              <w:rPr>
                <w:rFonts w:ascii="Arial" w:eastAsia="Arial" w:hAnsi="Arial"/>
                <w:color w:val="000000"/>
                <w:sz w:val="24"/>
                <w:szCs w:val="24"/>
              </w:rPr>
            </w:pPr>
            <w:r>
              <w:rPr>
                <w:rFonts w:ascii="Arial" w:eastAsia="Arial" w:hAnsi="Arial"/>
                <w:color w:val="000000"/>
                <w:sz w:val="24"/>
                <w:szCs w:val="24"/>
              </w:rPr>
              <w:t>an admission agreement in the form available on the Civil Service Pensions website immediately prior to the Relevant Transfer Date to be entered into for the CSPS in respect of the Services;</w:t>
            </w:r>
          </w:p>
        </w:tc>
      </w:tr>
      <w:tr w:rsidR="00F35F39" w14:paraId="0AA5AB70" w14:textId="77777777">
        <w:tc>
          <w:tcPr>
            <w:tcW w:w="2835" w:type="dxa"/>
          </w:tcPr>
          <w:p w14:paraId="577B31F5" w14:textId="77777777" w:rsidR="00F35F39" w:rsidRDefault="0076537D">
            <w:pPr>
              <w:spacing w:before="120" w:after="120"/>
              <w:ind w:left="709"/>
              <w:rPr>
                <w:rFonts w:ascii="Arial" w:eastAsia="Arial" w:hAnsi="Arial"/>
                <w:b/>
                <w:color w:val="000000"/>
                <w:sz w:val="24"/>
                <w:szCs w:val="24"/>
              </w:rPr>
            </w:pPr>
            <w:r>
              <w:rPr>
                <w:rFonts w:ascii="Arial" w:eastAsia="Arial" w:hAnsi="Arial"/>
                <w:b/>
                <w:color w:val="000000"/>
                <w:sz w:val="24"/>
                <w:szCs w:val="24"/>
              </w:rPr>
              <w:t>"CSPS Eligible Employee"</w:t>
            </w:r>
          </w:p>
        </w:tc>
        <w:tc>
          <w:tcPr>
            <w:tcW w:w="6543" w:type="dxa"/>
          </w:tcPr>
          <w:p w14:paraId="2C3865C9" w14:textId="77777777" w:rsidR="00F35F39" w:rsidRDefault="0076537D">
            <w:pPr>
              <w:tabs>
                <w:tab w:val="left" w:pos="235"/>
              </w:tabs>
              <w:spacing w:before="120" w:after="120"/>
              <w:rPr>
                <w:rFonts w:ascii="Arial" w:eastAsia="Arial" w:hAnsi="Arial"/>
                <w:color w:val="000000"/>
                <w:sz w:val="24"/>
                <w:szCs w:val="24"/>
              </w:rPr>
            </w:pPr>
            <w:r>
              <w:rPr>
                <w:rFonts w:ascii="Arial" w:eastAsia="Arial" w:hAnsi="Arial"/>
                <w:color w:val="000000"/>
                <w:sz w:val="24"/>
                <w:szCs w:val="24"/>
              </w:rPr>
              <w:t>any CSPS Fair Deal Employee who at the relevant time is an active member or eligible to participate in the CSPS under a CSPS Admission Agreement;</w:t>
            </w:r>
          </w:p>
        </w:tc>
      </w:tr>
      <w:tr w:rsidR="00F35F39" w14:paraId="0DB40129" w14:textId="77777777">
        <w:tc>
          <w:tcPr>
            <w:tcW w:w="2835" w:type="dxa"/>
          </w:tcPr>
          <w:p w14:paraId="10AE8BE2" w14:textId="77777777" w:rsidR="00F35F39" w:rsidRDefault="0076537D">
            <w:pPr>
              <w:spacing w:before="120" w:after="120"/>
              <w:ind w:left="709"/>
              <w:rPr>
                <w:rFonts w:ascii="Arial" w:eastAsia="Arial" w:hAnsi="Arial"/>
                <w:b/>
                <w:color w:val="000000"/>
                <w:sz w:val="24"/>
                <w:szCs w:val="24"/>
              </w:rPr>
            </w:pPr>
            <w:r>
              <w:rPr>
                <w:rFonts w:ascii="Arial" w:eastAsia="Arial" w:hAnsi="Arial"/>
                <w:b/>
                <w:color w:val="000000"/>
                <w:sz w:val="24"/>
                <w:szCs w:val="24"/>
              </w:rPr>
              <w:t>“CSPS Fair Deal Employee”</w:t>
            </w:r>
          </w:p>
        </w:tc>
        <w:tc>
          <w:tcPr>
            <w:tcW w:w="6543" w:type="dxa"/>
          </w:tcPr>
          <w:p w14:paraId="13390651" w14:textId="77777777" w:rsidR="00F35F39" w:rsidRDefault="0076537D">
            <w:pPr>
              <w:tabs>
                <w:tab w:val="left" w:pos="235"/>
              </w:tabs>
              <w:spacing w:before="120" w:after="120"/>
              <w:rPr>
                <w:rFonts w:ascii="Arial" w:eastAsia="Arial" w:hAnsi="Arial"/>
                <w:color w:val="000000"/>
                <w:sz w:val="24"/>
                <w:szCs w:val="24"/>
              </w:rPr>
            </w:pPr>
            <w:r>
              <w:rPr>
                <w:rFonts w:ascii="Arial" w:eastAsia="Arial" w:hAnsi="Arial"/>
                <w:color w:val="000000"/>
                <w:sz w:val="24"/>
                <w:szCs w:val="24"/>
              </w:rPr>
              <w:t xml:space="preserve">a Fair Deal Employee who at the Relevant Transfer Date is or becomes entitled to protection in respect of the CSPS in accordance with the provisions of New Fair Deal; </w:t>
            </w:r>
          </w:p>
        </w:tc>
      </w:tr>
      <w:tr w:rsidR="00F35F39" w14:paraId="780321F8" w14:textId="77777777">
        <w:tc>
          <w:tcPr>
            <w:tcW w:w="2835" w:type="dxa"/>
          </w:tcPr>
          <w:p w14:paraId="4D9D2A0E" w14:textId="77777777" w:rsidR="00F35F39" w:rsidRDefault="0076537D">
            <w:pPr>
              <w:spacing w:after="120"/>
              <w:ind w:left="709"/>
              <w:rPr>
                <w:rFonts w:ascii="Arial" w:eastAsia="Arial" w:hAnsi="Arial"/>
                <w:sz w:val="24"/>
                <w:szCs w:val="24"/>
              </w:rPr>
            </w:pPr>
            <w:r>
              <w:rPr>
                <w:rFonts w:ascii="Arial" w:eastAsia="Arial" w:hAnsi="Arial"/>
                <w:b/>
                <w:color w:val="000000"/>
                <w:sz w:val="24"/>
                <w:szCs w:val="24"/>
              </w:rPr>
              <w:t>"CSPS"</w:t>
            </w:r>
          </w:p>
        </w:tc>
        <w:tc>
          <w:tcPr>
            <w:tcW w:w="6543" w:type="dxa"/>
          </w:tcPr>
          <w:p w14:paraId="216342B7" w14:textId="77777777" w:rsidR="00F35F39" w:rsidRDefault="0076537D">
            <w:pPr>
              <w:spacing w:after="120"/>
              <w:rPr>
                <w:rFonts w:ascii="Arial" w:eastAsia="Arial" w:hAnsi="Arial"/>
                <w:sz w:val="24"/>
                <w:szCs w:val="24"/>
              </w:rPr>
            </w:pPr>
            <w:r>
              <w:rPr>
                <w:rFonts w:ascii="Arial" w:eastAsia="Arial" w:hAnsi="Arial"/>
                <w:color w:val="222222"/>
                <w:sz w:val="24"/>
                <w:szCs w:val="24"/>
                <w:highlight w:val="white"/>
              </w:rPr>
              <w:t>the Principal Civil Service Pension Scheme available to Civil Servants and employees of bodies under Schedule 1 of the Superannuation Act 1972 (and eligible employees of other bodies admitted to participate under a determination under section 25 of the Public Service Pensions Act 2013), as governed by rules adopted by Parliament; the Partnership Pension Account and its (</w:t>
            </w:r>
            <w:proofErr w:type="spellStart"/>
            <w:r>
              <w:rPr>
                <w:rFonts w:ascii="Arial" w:eastAsia="Arial" w:hAnsi="Arial"/>
                <w:color w:val="222222"/>
                <w:sz w:val="24"/>
                <w:szCs w:val="24"/>
                <w:highlight w:val="white"/>
              </w:rPr>
              <w:t>i</w:t>
            </w:r>
            <w:proofErr w:type="spellEnd"/>
            <w:r>
              <w:rPr>
                <w:rFonts w:ascii="Arial" w:eastAsia="Arial" w:hAnsi="Arial"/>
                <w:color w:val="222222"/>
                <w:sz w:val="24"/>
                <w:szCs w:val="24"/>
                <w:highlight w:val="white"/>
              </w:rPr>
              <w:t>) Ill health Benefits Arrangements and (ii) Death Benefits Arrangements; the Civil Service Additional Voluntary Contribution Scheme; and "alpha" introduced under The Public Service (Civil Servants and Others) Pensions Regulations 2014.</w:t>
            </w:r>
          </w:p>
        </w:tc>
      </w:tr>
    </w:tbl>
    <w:p w14:paraId="2B3B2FD7" w14:textId="77777777" w:rsidR="00F35F39" w:rsidRDefault="0076537D">
      <w:pPr>
        <w:keepNext/>
        <w:numPr>
          <w:ilvl w:val="0"/>
          <w:numId w:val="6"/>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Access to equivalent pension schemes after transfer</w:t>
      </w:r>
    </w:p>
    <w:p w14:paraId="18A7119E" w14:textId="77777777" w:rsidR="00F35F39" w:rsidRDefault="0076537D">
      <w:pPr>
        <w:numPr>
          <w:ilvl w:val="1"/>
          <w:numId w:val="6"/>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In accordance with New Fair Deal, the Supplier and/or any of its Subcontractors to which the employment of any CSPS Fair Deal Employee compulsorily transfers as a result of either the award of the relevant Contract or a Relevant Transfer, if not an employer which participates automatically in the CSPS, shall each secure a CSPS Admission Agreement to ensure that CSPS Fair Deal Employees or CSPS Eligible Employees as appropriate shall be either admitted into, or offered continued membership of, the relevant section of the CSPS that they currently contribute to, or were eligible to join immediately prior to the Relevant Transfer Date  or became eligible to join on the Relevant Transfer Date. The Supplier and/or any of its Subcontractors shall procure that the CSPS Fair Deal Employees continue to accrue benefits in the CSPS in accordance with the provisions governing the relevant section of the CSPS for service from (and including) the Relevant Transfer Date. </w:t>
      </w:r>
    </w:p>
    <w:p w14:paraId="5C5B8AF3" w14:textId="77777777" w:rsidR="00F35F39" w:rsidRDefault="0076537D">
      <w:pPr>
        <w:numPr>
          <w:ilvl w:val="1"/>
          <w:numId w:val="6"/>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43" w:name="_heading=h.2u6wntf" w:colFirst="0" w:colLast="0"/>
      <w:bookmarkEnd w:id="43"/>
      <w:r>
        <w:rPr>
          <w:rFonts w:ascii="Arial" w:eastAsia="Arial" w:hAnsi="Arial"/>
          <w:color w:val="000000"/>
          <w:sz w:val="24"/>
          <w:szCs w:val="24"/>
        </w:rPr>
        <w:lastRenderedPageBreak/>
        <w:t xml:space="preserve">If the Supplier and/or any of its Subcontractors enters into a CSPS Admission Agreement in accordance with paragraph 2.1 but the CSPS Admission Agreement is terminated during the term of the relevant Contract for any reason at a time when the Supplier or Subcontractor still employs any CSPS Eligible Employees, the Supplier shall (and procure that its Subcontractors shall) at no extra cost to the Buyer, offer the remaining CSPS Eligible Employees membership of a pension scheme which is Broadly Comparable to the CSPS on the date those CSPS Eligible Employees ceased to participate in the CSPS in accordance with the provisions of paragraph 11 of Part D. </w:t>
      </w:r>
    </w:p>
    <w:p w14:paraId="3EEE8117" w14:textId="77777777" w:rsidR="00F35F39" w:rsidRDefault="00F35F39">
      <w:pPr>
        <w:rPr>
          <w:rFonts w:ascii="Arial" w:eastAsia="Arial" w:hAnsi="Arial"/>
          <w:sz w:val="24"/>
          <w:szCs w:val="24"/>
        </w:rPr>
      </w:pPr>
    </w:p>
    <w:p w14:paraId="5EDB3003" w14:textId="77777777" w:rsidR="00F35F39" w:rsidRDefault="0076537D">
      <w:pPr>
        <w:rPr>
          <w:rFonts w:ascii="Arial Bold" w:eastAsia="Arial Bold" w:hAnsi="Arial Bold" w:cs="Arial Bold"/>
          <w:sz w:val="36"/>
          <w:szCs w:val="36"/>
        </w:rPr>
      </w:pPr>
      <w:r>
        <w:br w:type="page"/>
      </w:r>
      <w:r>
        <w:rPr>
          <w:rFonts w:ascii="Arial Bold" w:eastAsia="Arial Bold" w:hAnsi="Arial Bold" w:cs="Arial Bold"/>
          <w:b/>
          <w:sz w:val="36"/>
          <w:szCs w:val="36"/>
        </w:rPr>
        <w:lastRenderedPageBreak/>
        <w:t>Annex D2: NHS Pension Schemes</w:t>
      </w:r>
    </w:p>
    <w:p w14:paraId="19CDC912" w14:textId="77777777" w:rsidR="00F35F39" w:rsidRDefault="0076537D">
      <w:pPr>
        <w:keepNext/>
        <w:numPr>
          <w:ilvl w:val="0"/>
          <w:numId w:val="7"/>
        </w:numPr>
        <w:pBdr>
          <w:top w:val="nil"/>
          <w:left w:val="nil"/>
          <w:bottom w:val="nil"/>
          <w:right w:val="nil"/>
          <w:between w:val="nil"/>
        </w:pBdr>
        <w:spacing w:before="120"/>
        <w:ind w:left="357" w:hanging="357"/>
        <w:rPr>
          <w:rFonts w:ascii="Arial" w:eastAsia="Arial" w:hAnsi="Arial"/>
          <w:b/>
          <w:smallCaps/>
          <w:color w:val="000000"/>
          <w:sz w:val="24"/>
          <w:szCs w:val="24"/>
        </w:rPr>
      </w:pPr>
      <w:r>
        <w:rPr>
          <w:rFonts w:ascii="Arial" w:eastAsia="Arial" w:hAnsi="Arial"/>
          <w:b/>
          <w:smallCaps/>
          <w:color w:val="000000"/>
          <w:sz w:val="24"/>
          <w:szCs w:val="24"/>
        </w:rPr>
        <w:t>D</w:t>
      </w:r>
      <w:r>
        <w:rPr>
          <w:rFonts w:ascii="Arial Bold" w:eastAsia="Arial Bold" w:hAnsi="Arial Bold" w:cs="Arial Bold"/>
          <w:b/>
          <w:color w:val="000000"/>
          <w:sz w:val="24"/>
          <w:szCs w:val="24"/>
        </w:rPr>
        <w:t>efinitions</w:t>
      </w:r>
    </w:p>
    <w:p w14:paraId="06A77330" w14:textId="77777777" w:rsidR="00F35F39" w:rsidRDefault="0076537D">
      <w:pPr>
        <w:keepNext/>
        <w:ind w:left="368" w:hanging="11"/>
        <w:rPr>
          <w:rFonts w:ascii="Arial" w:eastAsia="Arial" w:hAnsi="Arial"/>
          <w:sz w:val="24"/>
          <w:szCs w:val="24"/>
        </w:rPr>
      </w:pPr>
      <w:r>
        <w:rPr>
          <w:rFonts w:ascii="Arial" w:eastAsia="Arial" w:hAnsi="Arial"/>
          <w:sz w:val="24"/>
          <w:szCs w:val="24"/>
        </w:rPr>
        <w:t>In this Annex D2: NHSPS to Part D: Pensions, the following words have the following meanings and they shall supplement Joint Schedule 1 (Definitions):</w:t>
      </w:r>
    </w:p>
    <w:tbl>
      <w:tblPr>
        <w:tblStyle w:val="a2"/>
        <w:tblW w:w="9026" w:type="dxa"/>
        <w:tblInd w:w="-115" w:type="dxa"/>
        <w:tblLayout w:type="fixed"/>
        <w:tblLook w:val="0400" w:firstRow="0" w:lastRow="0" w:firstColumn="0" w:lastColumn="0" w:noHBand="0" w:noVBand="1"/>
      </w:tblPr>
      <w:tblGrid>
        <w:gridCol w:w="3397"/>
        <w:gridCol w:w="5629"/>
      </w:tblGrid>
      <w:tr w:rsidR="00F35F39" w14:paraId="0ED798C8" w14:textId="77777777">
        <w:tc>
          <w:tcPr>
            <w:tcW w:w="3397" w:type="dxa"/>
          </w:tcPr>
          <w:p w14:paraId="60FA9C07" w14:textId="77777777" w:rsidR="00F35F39" w:rsidRDefault="0076537D">
            <w:pPr>
              <w:spacing w:before="120" w:after="120"/>
              <w:ind w:left="720"/>
              <w:rPr>
                <w:rFonts w:ascii="Arial" w:eastAsia="Arial" w:hAnsi="Arial"/>
                <w:b/>
                <w:sz w:val="24"/>
                <w:szCs w:val="24"/>
              </w:rPr>
            </w:pPr>
            <w:r>
              <w:rPr>
                <w:rFonts w:ascii="Arial" w:eastAsia="Arial" w:hAnsi="Arial"/>
                <w:b/>
                <w:sz w:val="24"/>
                <w:szCs w:val="24"/>
              </w:rPr>
              <w:t>"Direction Letter/Determination"</w:t>
            </w:r>
          </w:p>
        </w:tc>
        <w:tc>
          <w:tcPr>
            <w:tcW w:w="5629" w:type="dxa"/>
          </w:tcPr>
          <w:p w14:paraId="09409D1A" w14:textId="77777777" w:rsidR="00F35F39" w:rsidRDefault="0076537D">
            <w:pPr>
              <w:tabs>
                <w:tab w:val="left" w:pos="235"/>
              </w:tabs>
              <w:spacing w:before="120" w:after="120"/>
              <w:rPr>
                <w:rFonts w:ascii="Arial" w:eastAsia="Arial" w:hAnsi="Arial"/>
                <w:color w:val="000000"/>
                <w:sz w:val="24"/>
                <w:szCs w:val="24"/>
              </w:rPr>
            </w:pPr>
            <w:r>
              <w:rPr>
                <w:rFonts w:ascii="Arial" w:eastAsia="Arial" w:hAnsi="Arial"/>
                <w:color w:val="000000"/>
                <w:sz w:val="24"/>
                <w:szCs w:val="24"/>
              </w:rPr>
              <w:t>an NHS Pensions Direction or Determination (as appropriate) issued by the Secretary of State in exercise of the powers conferred by section 7 of the Superannuation (Miscellaneous Provisions) Act 1967 or by section 25 of the Public Service Pensions Act 2013 (as appropriate) and issued to the Supplier or a Subcontractor of the Supplier (as appropriate) relating to the terms of participation of the Supplier or Subcontractor in the NHSPS in respect of the NHSPS Fair Deal Employees;</w:t>
            </w:r>
          </w:p>
        </w:tc>
      </w:tr>
      <w:tr w:rsidR="00F35F39" w14:paraId="5BCAE800" w14:textId="77777777">
        <w:tc>
          <w:tcPr>
            <w:tcW w:w="3397" w:type="dxa"/>
          </w:tcPr>
          <w:p w14:paraId="000CFC30" w14:textId="77777777" w:rsidR="00F35F39" w:rsidRDefault="0076537D">
            <w:pPr>
              <w:spacing w:before="120" w:after="120"/>
              <w:ind w:left="720"/>
              <w:rPr>
                <w:rFonts w:ascii="Arial" w:eastAsia="Arial" w:hAnsi="Arial"/>
                <w:b/>
                <w:sz w:val="24"/>
                <w:szCs w:val="24"/>
              </w:rPr>
            </w:pPr>
            <w:r>
              <w:rPr>
                <w:rFonts w:ascii="Arial" w:eastAsia="Arial" w:hAnsi="Arial"/>
                <w:b/>
                <w:sz w:val="24"/>
                <w:szCs w:val="24"/>
              </w:rPr>
              <w:t>“NHS Broadly Comparable Employees”</w:t>
            </w:r>
          </w:p>
        </w:tc>
        <w:tc>
          <w:tcPr>
            <w:tcW w:w="5629" w:type="dxa"/>
          </w:tcPr>
          <w:p w14:paraId="0D337483" w14:textId="77777777" w:rsidR="00F35F39" w:rsidRDefault="0076537D">
            <w:pPr>
              <w:tabs>
                <w:tab w:val="left" w:pos="235"/>
              </w:tabs>
              <w:rPr>
                <w:rFonts w:ascii="Arial" w:eastAsia="Arial" w:hAnsi="Arial"/>
                <w:color w:val="000000"/>
                <w:sz w:val="24"/>
                <w:szCs w:val="24"/>
              </w:rPr>
            </w:pPr>
            <w:r>
              <w:rPr>
                <w:rFonts w:ascii="Arial" w:eastAsia="Arial" w:hAnsi="Arial"/>
                <w:color w:val="000000"/>
                <w:sz w:val="24"/>
                <w:szCs w:val="24"/>
              </w:rPr>
              <w:t>each of the Fair Deal Employees who at a Relevant Transfer Date was a member of, or was entitled to become a member of, or but for their compulsory transfer of employment would have been entitled to be or become a member of, the NHSPS as a result of either:</w:t>
            </w:r>
          </w:p>
          <w:p w14:paraId="0A098C7A" w14:textId="77777777" w:rsidR="00F35F39" w:rsidRDefault="0076537D">
            <w:pPr>
              <w:tabs>
                <w:tab w:val="left" w:pos="743"/>
              </w:tabs>
              <w:ind w:left="720" w:hanging="720"/>
              <w:rPr>
                <w:rFonts w:ascii="Arial" w:eastAsia="Arial" w:hAnsi="Arial"/>
                <w:color w:val="000000"/>
                <w:sz w:val="24"/>
                <w:szCs w:val="24"/>
              </w:rPr>
            </w:pPr>
            <w:r>
              <w:rPr>
                <w:rFonts w:ascii="Arial" w:eastAsia="Arial" w:hAnsi="Arial"/>
                <w:color w:val="000000"/>
                <w:sz w:val="24"/>
                <w:szCs w:val="24"/>
              </w:rPr>
              <w:t>(a)     their employment with the Buyer</w:t>
            </w:r>
            <w:r>
              <w:rPr>
                <w:rFonts w:ascii="Arial" w:eastAsia="Arial" w:hAnsi="Arial"/>
                <w:i/>
                <w:color w:val="000000"/>
                <w:sz w:val="24"/>
                <w:szCs w:val="24"/>
              </w:rPr>
              <w:t>,</w:t>
            </w:r>
            <w:r>
              <w:rPr>
                <w:rFonts w:ascii="Arial" w:eastAsia="Arial" w:hAnsi="Arial"/>
                <w:color w:val="000000"/>
                <w:sz w:val="24"/>
                <w:szCs w:val="24"/>
              </w:rPr>
              <w:t xml:space="preserve"> an NHS Body or other employer which participates automatically in the NHSPS; or</w:t>
            </w:r>
          </w:p>
          <w:p w14:paraId="2B5EDF02" w14:textId="77777777" w:rsidR="00F35F39" w:rsidRDefault="0076537D">
            <w:pPr>
              <w:tabs>
                <w:tab w:val="left" w:pos="743"/>
              </w:tabs>
              <w:ind w:left="720" w:hanging="720"/>
              <w:rPr>
                <w:rFonts w:ascii="Arial" w:eastAsia="Arial" w:hAnsi="Arial"/>
                <w:color w:val="000000"/>
                <w:sz w:val="24"/>
                <w:szCs w:val="24"/>
              </w:rPr>
            </w:pPr>
            <w:r>
              <w:rPr>
                <w:rFonts w:ascii="Arial" w:eastAsia="Arial" w:hAnsi="Arial"/>
                <w:color w:val="000000"/>
                <w:sz w:val="24"/>
                <w:szCs w:val="24"/>
              </w:rPr>
              <w:t>(b)      their employment with a Former Supplier who provides access to either the NHSPS pursuant to a  Direction Letter/Determination or to a Broadly Comparable pension scheme in respect of their employment with that Former Supplier (on the basis that they are entitled to protection under New Fair Deal (or previous guidance), having been formerly in employment with the Buyer, an NHS Body or other employer who participated automatically in the NHSPS in connection with the Services, prior to being employed by the Former Supplier),</w:t>
            </w:r>
          </w:p>
          <w:p w14:paraId="719E2A55" w14:textId="77777777" w:rsidR="00F35F39" w:rsidRDefault="0076537D">
            <w:pPr>
              <w:tabs>
                <w:tab w:val="left" w:pos="235"/>
              </w:tabs>
              <w:spacing w:before="120" w:after="120"/>
              <w:rPr>
                <w:rFonts w:ascii="Arial" w:eastAsia="Arial" w:hAnsi="Arial"/>
                <w:color w:val="000000"/>
                <w:sz w:val="24"/>
                <w:szCs w:val="24"/>
              </w:rPr>
            </w:pPr>
            <w:r>
              <w:rPr>
                <w:rFonts w:ascii="Arial" w:eastAsia="Arial" w:hAnsi="Arial"/>
                <w:sz w:val="24"/>
                <w:szCs w:val="24"/>
              </w:rPr>
              <w:t xml:space="preserve">but who is now ineligible to participate in the NHSPS under the rules of the NHSPS and in respect of whom the Buyer has agreed are to be provided with a Broadly Comparable pension scheme to provide Pension Benefits that are </w:t>
            </w:r>
            <w:r>
              <w:rPr>
                <w:rFonts w:ascii="Arial" w:eastAsia="Arial" w:hAnsi="Arial"/>
                <w:sz w:val="24"/>
                <w:szCs w:val="24"/>
              </w:rPr>
              <w:lastRenderedPageBreak/>
              <w:t>Broadly Comparable to those provided under the NHSPS.</w:t>
            </w:r>
          </w:p>
        </w:tc>
      </w:tr>
      <w:tr w:rsidR="00F35F39" w14:paraId="69318A72" w14:textId="77777777">
        <w:tc>
          <w:tcPr>
            <w:tcW w:w="3397" w:type="dxa"/>
          </w:tcPr>
          <w:p w14:paraId="12334236" w14:textId="77777777" w:rsidR="00F35F39" w:rsidRDefault="0076537D">
            <w:pPr>
              <w:spacing w:before="120" w:after="120"/>
              <w:ind w:left="720"/>
              <w:rPr>
                <w:rFonts w:ascii="Arial" w:eastAsia="Arial" w:hAnsi="Arial"/>
                <w:b/>
                <w:sz w:val="24"/>
                <w:szCs w:val="24"/>
              </w:rPr>
            </w:pPr>
            <w:r>
              <w:rPr>
                <w:rFonts w:ascii="Arial" w:eastAsia="Arial" w:hAnsi="Arial"/>
                <w:b/>
                <w:sz w:val="24"/>
                <w:szCs w:val="24"/>
              </w:rPr>
              <w:lastRenderedPageBreak/>
              <w:t>"NHSPS Eligible Employees"</w:t>
            </w:r>
          </w:p>
        </w:tc>
        <w:tc>
          <w:tcPr>
            <w:tcW w:w="5629" w:type="dxa"/>
          </w:tcPr>
          <w:p w14:paraId="537FCEE8" w14:textId="77777777" w:rsidR="00F35F39" w:rsidRDefault="0076537D">
            <w:pPr>
              <w:tabs>
                <w:tab w:val="left" w:pos="235"/>
              </w:tabs>
              <w:spacing w:before="120" w:after="120"/>
              <w:rPr>
                <w:rFonts w:ascii="Arial" w:eastAsia="Arial" w:hAnsi="Arial"/>
                <w:color w:val="000000"/>
                <w:sz w:val="24"/>
                <w:szCs w:val="24"/>
              </w:rPr>
            </w:pPr>
            <w:r>
              <w:rPr>
                <w:rFonts w:ascii="Arial" w:eastAsia="Arial" w:hAnsi="Arial"/>
                <w:color w:val="000000"/>
                <w:sz w:val="24"/>
                <w:szCs w:val="24"/>
              </w:rPr>
              <w:t>any NHSPS Fair Deal Employee  who at the relevant time is an active member or eligible to participate in the NHSPS under a Direction Letter/Determination Letter.</w:t>
            </w:r>
          </w:p>
        </w:tc>
      </w:tr>
      <w:tr w:rsidR="00F35F39" w14:paraId="073F14A2" w14:textId="77777777">
        <w:tc>
          <w:tcPr>
            <w:tcW w:w="3397" w:type="dxa"/>
          </w:tcPr>
          <w:p w14:paraId="2C993465" w14:textId="77777777" w:rsidR="00F35F39" w:rsidRDefault="0076537D">
            <w:pPr>
              <w:spacing w:before="120" w:after="120"/>
              <w:ind w:left="720"/>
              <w:rPr>
                <w:rFonts w:ascii="Arial" w:eastAsia="Arial" w:hAnsi="Arial"/>
                <w:b/>
                <w:sz w:val="24"/>
                <w:szCs w:val="24"/>
              </w:rPr>
            </w:pPr>
            <w:r>
              <w:rPr>
                <w:rFonts w:ascii="Arial" w:eastAsia="Arial" w:hAnsi="Arial"/>
                <w:b/>
                <w:sz w:val="24"/>
                <w:szCs w:val="24"/>
              </w:rPr>
              <w:t>"NHSPS Fair Deal  Employees"</w:t>
            </w:r>
          </w:p>
        </w:tc>
        <w:tc>
          <w:tcPr>
            <w:tcW w:w="5629" w:type="dxa"/>
          </w:tcPr>
          <w:p w14:paraId="0C7BDFA2" w14:textId="77777777" w:rsidR="00F35F39" w:rsidRDefault="0076537D">
            <w:pPr>
              <w:tabs>
                <w:tab w:val="left" w:pos="235"/>
              </w:tabs>
              <w:spacing w:before="120" w:after="120"/>
              <w:rPr>
                <w:rFonts w:ascii="Arial" w:eastAsia="Arial" w:hAnsi="Arial"/>
                <w:color w:val="000000"/>
                <w:sz w:val="24"/>
                <w:szCs w:val="24"/>
              </w:rPr>
            </w:pPr>
            <w:r>
              <w:rPr>
                <w:rFonts w:ascii="Arial" w:eastAsia="Arial" w:hAnsi="Arial"/>
                <w:color w:val="000000"/>
                <w:sz w:val="24"/>
                <w:szCs w:val="24"/>
              </w:rPr>
              <w:t xml:space="preserve">other than the NHS Broadly Comparable Employees, each of the Fair Deal Employees who at a Relevant Transfer Date was a member of, or was entitled to become a member of, or but for their compulsory transfer of employment would have been entitled to be or become a member of, the NHSPS as a result of either: </w:t>
            </w:r>
          </w:p>
        </w:tc>
      </w:tr>
      <w:tr w:rsidR="00F35F39" w14:paraId="6E433D4C" w14:textId="77777777">
        <w:tc>
          <w:tcPr>
            <w:tcW w:w="3397" w:type="dxa"/>
          </w:tcPr>
          <w:p w14:paraId="1A0748F8" w14:textId="77777777" w:rsidR="00F35F39" w:rsidRDefault="00F35F39">
            <w:pPr>
              <w:spacing w:before="120" w:after="120"/>
              <w:ind w:left="720"/>
              <w:rPr>
                <w:rFonts w:ascii="Arial" w:eastAsia="Arial" w:hAnsi="Arial"/>
                <w:b/>
                <w:sz w:val="24"/>
                <w:szCs w:val="24"/>
              </w:rPr>
            </w:pPr>
          </w:p>
        </w:tc>
        <w:tc>
          <w:tcPr>
            <w:tcW w:w="5629" w:type="dxa"/>
          </w:tcPr>
          <w:p w14:paraId="24871BD3" w14:textId="77777777" w:rsidR="00F35F39" w:rsidRDefault="0076537D">
            <w:pPr>
              <w:widowControl w:val="0"/>
              <w:numPr>
                <w:ilvl w:val="0"/>
                <w:numId w:val="9"/>
              </w:numPr>
              <w:tabs>
                <w:tab w:val="left" w:pos="695"/>
              </w:tabs>
              <w:spacing w:before="120" w:after="120"/>
              <w:ind w:left="743" w:hanging="709"/>
              <w:rPr>
                <w:rFonts w:ascii="Arial" w:eastAsia="Arial" w:hAnsi="Arial"/>
                <w:color w:val="000000"/>
                <w:sz w:val="24"/>
                <w:szCs w:val="24"/>
              </w:rPr>
            </w:pPr>
            <w:r>
              <w:rPr>
                <w:rFonts w:ascii="Arial" w:eastAsia="Arial" w:hAnsi="Arial"/>
                <w:color w:val="000000"/>
                <w:sz w:val="24"/>
                <w:szCs w:val="24"/>
              </w:rPr>
              <w:t>their employment with the Buyer</w:t>
            </w:r>
            <w:r>
              <w:rPr>
                <w:rFonts w:ascii="Arial" w:eastAsia="Arial" w:hAnsi="Arial"/>
                <w:i/>
                <w:color w:val="000000"/>
                <w:sz w:val="24"/>
                <w:szCs w:val="24"/>
              </w:rPr>
              <w:t>,</w:t>
            </w:r>
            <w:r>
              <w:rPr>
                <w:rFonts w:ascii="Arial" w:eastAsia="Arial" w:hAnsi="Arial"/>
                <w:color w:val="000000"/>
                <w:sz w:val="24"/>
                <w:szCs w:val="24"/>
              </w:rPr>
              <w:t xml:space="preserve"> an NHS Body or other employer which participates automatically in the NHSPS; or</w:t>
            </w:r>
          </w:p>
        </w:tc>
      </w:tr>
      <w:tr w:rsidR="00F35F39" w14:paraId="21AD353A" w14:textId="77777777">
        <w:tc>
          <w:tcPr>
            <w:tcW w:w="3397" w:type="dxa"/>
          </w:tcPr>
          <w:p w14:paraId="24939009" w14:textId="77777777" w:rsidR="00F35F39" w:rsidRDefault="00F35F39">
            <w:pPr>
              <w:spacing w:before="120" w:after="120"/>
              <w:ind w:left="720"/>
              <w:rPr>
                <w:rFonts w:ascii="Arial" w:eastAsia="Arial" w:hAnsi="Arial"/>
                <w:b/>
                <w:sz w:val="24"/>
                <w:szCs w:val="24"/>
              </w:rPr>
            </w:pPr>
          </w:p>
        </w:tc>
        <w:tc>
          <w:tcPr>
            <w:tcW w:w="5629" w:type="dxa"/>
          </w:tcPr>
          <w:p w14:paraId="4C0973D3" w14:textId="77777777" w:rsidR="00F35F39" w:rsidRDefault="0076537D">
            <w:pPr>
              <w:widowControl w:val="0"/>
              <w:numPr>
                <w:ilvl w:val="0"/>
                <w:numId w:val="9"/>
              </w:numPr>
              <w:tabs>
                <w:tab w:val="left" w:pos="695"/>
              </w:tabs>
              <w:spacing w:before="120" w:after="120"/>
              <w:ind w:left="695" w:hanging="646"/>
              <w:rPr>
                <w:rFonts w:ascii="Arial" w:eastAsia="Arial" w:hAnsi="Arial"/>
                <w:color w:val="000000"/>
                <w:sz w:val="24"/>
                <w:szCs w:val="24"/>
              </w:rPr>
            </w:pPr>
            <w:r>
              <w:rPr>
                <w:rFonts w:ascii="Arial" w:eastAsia="Arial" w:hAnsi="Arial"/>
                <w:color w:val="000000"/>
                <w:sz w:val="24"/>
                <w:szCs w:val="24"/>
              </w:rPr>
              <w:t xml:space="preserve">their employment with a Former Supplier who provides access to the NHSPS pursuant to a Direction Letter/Determination  or to a Broadly Comparable pension scheme in respect of their employment with that Former Supplier (on the basis that they are </w:t>
            </w:r>
            <w:r>
              <w:rPr>
                <w:rFonts w:ascii="Arial" w:eastAsia="Arial" w:hAnsi="Arial"/>
                <w:sz w:val="24"/>
                <w:szCs w:val="24"/>
              </w:rPr>
              <w:t>entitled</w:t>
            </w:r>
            <w:r>
              <w:rPr>
                <w:rFonts w:ascii="Arial" w:eastAsia="Arial" w:hAnsi="Arial"/>
                <w:color w:val="000000"/>
                <w:sz w:val="24"/>
                <w:szCs w:val="24"/>
              </w:rPr>
              <w:t xml:space="preserve"> to protection under New Fair Deal  (or previous guidance), having been formerly in employment with the Buyer, an NHS Body or other employer who participated automatically in the NHSPS in connection with the Services, prior to being employed by the Former Supplier),</w:t>
            </w:r>
          </w:p>
        </w:tc>
      </w:tr>
      <w:tr w:rsidR="00F35F39" w14:paraId="512CFD48" w14:textId="77777777">
        <w:tc>
          <w:tcPr>
            <w:tcW w:w="3397" w:type="dxa"/>
          </w:tcPr>
          <w:p w14:paraId="0CDFC82B" w14:textId="77777777" w:rsidR="00F35F39" w:rsidRDefault="00F35F39">
            <w:pPr>
              <w:spacing w:before="120" w:after="120"/>
              <w:ind w:left="720"/>
              <w:rPr>
                <w:rFonts w:ascii="Arial" w:eastAsia="Arial" w:hAnsi="Arial"/>
                <w:b/>
                <w:sz w:val="24"/>
                <w:szCs w:val="24"/>
              </w:rPr>
            </w:pPr>
          </w:p>
        </w:tc>
        <w:tc>
          <w:tcPr>
            <w:tcW w:w="5629" w:type="dxa"/>
          </w:tcPr>
          <w:p w14:paraId="000EC1C9" w14:textId="77777777" w:rsidR="00F35F39" w:rsidRDefault="0076537D">
            <w:pPr>
              <w:tabs>
                <w:tab w:val="left" w:pos="235"/>
              </w:tabs>
              <w:spacing w:before="120" w:after="120"/>
              <w:rPr>
                <w:rFonts w:ascii="Arial" w:eastAsia="Arial" w:hAnsi="Arial"/>
                <w:color w:val="000000"/>
                <w:sz w:val="24"/>
                <w:szCs w:val="24"/>
              </w:rPr>
            </w:pPr>
            <w:r>
              <w:rPr>
                <w:rFonts w:ascii="Arial" w:eastAsia="Arial" w:hAnsi="Arial"/>
                <w:color w:val="000000"/>
                <w:sz w:val="24"/>
                <w:szCs w:val="24"/>
              </w:rPr>
              <w:t>and, in each case, being continuously engaged for more than fifty per cent (50%) of their employed time in the delivery of services (the same as or similar to the Services).</w:t>
            </w:r>
          </w:p>
        </w:tc>
      </w:tr>
      <w:tr w:rsidR="00F35F39" w14:paraId="41BAEEDA" w14:textId="77777777">
        <w:tc>
          <w:tcPr>
            <w:tcW w:w="3397" w:type="dxa"/>
          </w:tcPr>
          <w:p w14:paraId="45FD9504" w14:textId="77777777" w:rsidR="00F35F39" w:rsidRDefault="00F35F39">
            <w:pPr>
              <w:spacing w:before="120" w:after="120"/>
              <w:ind w:left="720"/>
              <w:rPr>
                <w:rFonts w:ascii="Arial" w:eastAsia="Arial" w:hAnsi="Arial"/>
                <w:b/>
                <w:sz w:val="24"/>
                <w:szCs w:val="24"/>
              </w:rPr>
            </w:pPr>
          </w:p>
        </w:tc>
        <w:tc>
          <w:tcPr>
            <w:tcW w:w="5629" w:type="dxa"/>
          </w:tcPr>
          <w:p w14:paraId="2C4A841C" w14:textId="77777777" w:rsidR="00F35F39" w:rsidRDefault="0076537D">
            <w:pPr>
              <w:tabs>
                <w:tab w:val="left" w:pos="235"/>
              </w:tabs>
              <w:spacing w:before="120" w:after="120"/>
              <w:rPr>
                <w:rFonts w:ascii="Arial" w:eastAsia="Arial" w:hAnsi="Arial"/>
                <w:color w:val="000000"/>
                <w:sz w:val="24"/>
                <w:szCs w:val="24"/>
              </w:rPr>
            </w:pPr>
            <w:r>
              <w:rPr>
                <w:rFonts w:ascii="Arial" w:eastAsia="Arial" w:hAnsi="Arial"/>
                <w:color w:val="000000"/>
                <w:sz w:val="24"/>
                <w:szCs w:val="24"/>
              </w:rPr>
              <w:t xml:space="preserve">For the avoidance of doubt, an individual who is in or entitled to become a member of the NHSPS as a result of being engaged in the Services and being covered by an "open" Direction Letter/ Determination or other NHSPS "access" facility but who has never been employed directly by the Buyer, an NHS Body (or other body which participates automatically in the NHSPS) is not an NHSPS Fair Deal Employee;  </w:t>
            </w:r>
          </w:p>
        </w:tc>
      </w:tr>
      <w:tr w:rsidR="00F35F39" w14:paraId="6A0BD539" w14:textId="77777777">
        <w:tc>
          <w:tcPr>
            <w:tcW w:w="3397" w:type="dxa"/>
          </w:tcPr>
          <w:p w14:paraId="3B6A0261" w14:textId="77777777" w:rsidR="00F35F39" w:rsidRDefault="0076537D">
            <w:pPr>
              <w:spacing w:before="120" w:after="120"/>
              <w:ind w:left="993"/>
              <w:rPr>
                <w:rFonts w:ascii="Arial" w:eastAsia="Arial" w:hAnsi="Arial"/>
                <w:b/>
                <w:sz w:val="24"/>
                <w:szCs w:val="24"/>
              </w:rPr>
            </w:pPr>
            <w:r>
              <w:rPr>
                <w:rFonts w:ascii="Arial" w:eastAsia="Arial" w:hAnsi="Arial"/>
                <w:b/>
                <w:sz w:val="24"/>
                <w:szCs w:val="24"/>
              </w:rPr>
              <w:lastRenderedPageBreak/>
              <w:t>"NHS Body"</w:t>
            </w:r>
          </w:p>
        </w:tc>
        <w:tc>
          <w:tcPr>
            <w:tcW w:w="5629" w:type="dxa"/>
          </w:tcPr>
          <w:p w14:paraId="6CEA0D44" w14:textId="77777777" w:rsidR="00F35F39" w:rsidRDefault="0076537D">
            <w:pPr>
              <w:tabs>
                <w:tab w:val="left" w:pos="235"/>
              </w:tabs>
              <w:spacing w:before="120" w:after="120"/>
              <w:rPr>
                <w:rFonts w:ascii="Arial" w:eastAsia="Arial" w:hAnsi="Arial"/>
                <w:color w:val="000000"/>
                <w:sz w:val="24"/>
                <w:szCs w:val="24"/>
              </w:rPr>
            </w:pPr>
            <w:r>
              <w:rPr>
                <w:rFonts w:ascii="Arial" w:eastAsia="Arial" w:hAnsi="Arial"/>
                <w:color w:val="000000"/>
                <w:sz w:val="24"/>
                <w:szCs w:val="24"/>
              </w:rPr>
              <w:t xml:space="preserve">has the meaning given to it in section 275 of the National Health Service Act 2006 as amended by section 138(2)(c) of Schedule 4 to the Health and Social Care Act 2012; </w:t>
            </w:r>
          </w:p>
        </w:tc>
      </w:tr>
      <w:tr w:rsidR="00F35F39" w14:paraId="415DFF0F" w14:textId="77777777">
        <w:tc>
          <w:tcPr>
            <w:tcW w:w="3397" w:type="dxa"/>
          </w:tcPr>
          <w:p w14:paraId="62FFDEB8" w14:textId="77777777" w:rsidR="00F35F39" w:rsidRDefault="0076537D">
            <w:pPr>
              <w:spacing w:before="120" w:after="120"/>
              <w:ind w:left="993"/>
              <w:rPr>
                <w:rFonts w:ascii="Arial" w:eastAsia="Arial" w:hAnsi="Arial"/>
                <w:b/>
                <w:sz w:val="24"/>
                <w:szCs w:val="24"/>
              </w:rPr>
            </w:pPr>
            <w:r>
              <w:rPr>
                <w:rFonts w:ascii="Arial" w:eastAsia="Arial" w:hAnsi="Arial"/>
                <w:b/>
                <w:sz w:val="24"/>
                <w:szCs w:val="24"/>
              </w:rPr>
              <w:t>"NHS Pensions"</w:t>
            </w:r>
          </w:p>
        </w:tc>
        <w:tc>
          <w:tcPr>
            <w:tcW w:w="5629" w:type="dxa"/>
          </w:tcPr>
          <w:p w14:paraId="0D103215" w14:textId="77777777" w:rsidR="00F35F39" w:rsidRDefault="0076537D">
            <w:pPr>
              <w:tabs>
                <w:tab w:val="left" w:pos="235"/>
              </w:tabs>
              <w:spacing w:before="120" w:after="120"/>
              <w:rPr>
                <w:rFonts w:ascii="Arial" w:eastAsia="Arial" w:hAnsi="Arial"/>
                <w:color w:val="000000"/>
                <w:sz w:val="24"/>
                <w:szCs w:val="24"/>
              </w:rPr>
            </w:pPr>
            <w:r>
              <w:rPr>
                <w:rFonts w:ascii="Arial" w:eastAsia="Arial" w:hAnsi="Arial"/>
                <w:color w:val="000000"/>
                <w:sz w:val="24"/>
                <w:szCs w:val="24"/>
              </w:rPr>
              <w:t>NHS Pensions as the administrators of the NHSPS or such other body as may from time to time be responsible for relevant administrative functions of the NHSPS;</w:t>
            </w:r>
          </w:p>
        </w:tc>
      </w:tr>
      <w:tr w:rsidR="00F35F39" w14:paraId="3098782E" w14:textId="77777777">
        <w:tc>
          <w:tcPr>
            <w:tcW w:w="3397" w:type="dxa"/>
          </w:tcPr>
          <w:p w14:paraId="4E0EBB77" w14:textId="77777777" w:rsidR="00F35F39" w:rsidRDefault="0076537D">
            <w:pPr>
              <w:spacing w:before="120" w:after="120"/>
              <w:ind w:left="993"/>
              <w:rPr>
                <w:rFonts w:ascii="Arial" w:eastAsia="Arial" w:hAnsi="Arial"/>
                <w:b/>
                <w:sz w:val="24"/>
                <w:szCs w:val="24"/>
              </w:rPr>
            </w:pPr>
            <w:r>
              <w:rPr>
                <w:rFonts w:ascii="Arial" w:eastAsia="Arial" w:hAnsi="Arial"/>
                <w:b/>
                <w:sz w:val="24"/>
                <w:szCs w:val="24"/>
              </w:rPr>
              <w:t>"NHSPS"</w:t>
            </w:r>
          </w:p>
        </w:tc>
        <w:tc>
          <w:tcPr>
            <w:tcW w:w="5629" w:type="dxa"/>
          </w:tcPr>
          <w:p w14:paraId="263A95FB" w14:textId="77777777" w:rsidR="00F35F39" w:rsidRDefault="0076537D">
            <w:pPr>
              <w:tabs>
                <w:tab w:val="left" w:pos="235"/>
              </w:tabs>
              <w:spacing w:before="120" w:after="120"/>
              <w:rPr>
                <w:rFonts w:ascii="Arial" w:eastAsia="Arial" w:hAnsi="Arial"/>
                <w:color w:val="000000"/>
                <w:sz w:val="24"/>
                <w:szCs w:val="24"/>
              </w:rPr>
            </w:pPr>
            <w:r>
              <w:rPr>
                <w:rFonts w:ascii="Arial" w:eastAsia="Arial" w:hAnsi="Arial"/>
                <w:color w:val="000000"/>
                <w:sz w:val="24"/>
                <w:szCs w:val="24"/>
              </w:rPr>
              <w:t>the National Health Service Pension Scheme for England and Wales, established pursuant to the Superannuation Act 1972 and the Public Service Pensions Act 2013 governed by subsequent regulations under those Acts including the NHS Pension Scheme Regulations;</w:t>
            </w:r>
          </w:p>
        </w:tc>
      </w:tr>
      <w:tr w:rsidR="00F35F39" w14:paraId="1B2DBD8B" w14:textId="77777777">
        <w:tc>
          <w:tcPr>
            <w:tcW w:w="3397" w:type="dxa"/>
          </w:tcPr>
          <w:p w14:paraId="644746D0" w14:textId="77777777" w:rsidR="00F35F39" w:rsidRDefault="00F35F39">
            <w:pPr>
              <w:spacing w:before="120" w:after="120"/>
              <w:ind w:left="993"/>
              <w:rPr>
                <w:rFonts w:ascii="Arial" w:eastAsia="Arial" w:hAnsi="Arial"/>
                <w:b/>
                <w:sz w:val="24"/>
                <w:szCs w:val="24"/>
              </w:rPr>
            </w:pPr>
          </w:p>
        </w:tc>
        <w:tc>
          <w:tcPr>
            <w:tcW w:w="5629" w:type="dxa"/>
          </w:tcPr>
          <w:p w14:paraId="1D748C0E" w14:textId="77777777" w:rsidR="00F35F39" w:rsidRDefault="00F35F39">
            <w:pPr>
              <w:tabs>
                <w:tab w:val="left" w:pos="235"/>
              </w:tabs>
              <w:spacing w:before="120" w:after="120"/>
              <w:rPr>
                <w:rFonts w:ascii="Arial" w:eastAsia="Arial" w:hAnsi="Arial"/>
                <w:color w:val="000000"/>
                <w:sz w:val="24"/>
                <w:szCs w:val="24"/>
              </w:rPr>
            </w:pPr>
          </w:p>
        </w:tc>
      </w:tr>
      <w:tr w:rsidR="00F35F39" w14:paraId="53E9BF30" w14:textId="77777777">
        <w:tc>
          <w:tcPr>
            <w:tcW w:w="3397" w:type="dxa"/>
          </w:tcPr>
          <w:p w14:paraId="44CD49C6" w14:textId="77777777" w:rsidR="00F35F39" w:rsidRDefault="0076537D">
            <w:pPr>
              <w:spacing w:before="120" w:after="120"/>
              <w:ind w:left="993"/>
              <w:rPr>
                <w:rFonts w:ascii="Arial" w:eastAsia="Arial" w:hAnsi="Arial"/>
                <w:b/>
                <w:sz w:val="24"/>
                <w:szCs w:val="24"/>
              </w:rPr>
            </w:pPr>
            <w:r>
              <w:rPr>
                <w:rFonts w:ascii="Arial" w:eastAsia="Arial" w:hAnsi="Arial"/>
                <w:b/>
                <w:sz w:val="24"/>
                <w:szCs w:val="24"/>
              </w:rPr>
              <w:t>"NHS Pension Scheme Regulations"</w:t>
            </w:r>
          </w:p>
        </w:tc>
        <w:tc>
          <w:tcPr>
            <w:tcW w:w="5629" w:type="dxa"/>
          </w:tcPr>
          <w:p w14:paraId="12940753" w14:textId="77777777" w:rsidR="00F35F39" w:rsidRDefault="0076537D">
            <w:pPr>
              <w:tabs>
                <w:tab w:val="left" w:pos="235"/>
              </w:tabs>
              <w:spacing w:before="120" w:after="120"/>
              <w:rPr>
                <w:rFonts w:ascii="Arial" w:eastAsia="Arial" w:hAnsi="Arial"/>
                <w:color w:val="000000"/>
                <w:sz w:val="24"/>
                <w:szCs w:val="24"/>
              </w:rPr>
            </w:pPr>
            <w:r>
              <w:rPr>
                <w:rFonts w:ascii="Arial" w:eastAsia="Arial" w:hAnsi="Arial"/>
                <w:color w:val="000000"/>
                <w:sz w:val="24"/>
                <w:szCs w:val="24"/>
              </w:rPr>
              <w:t>as appropriate, any or all of the National Health Service Pension Scheme Regulations 1995 (SI 1995/300), the National Health Service Pension Scheme Regulations 2008 (SI 2008/653), the National Health Service Pension Scheme Regulations 2015 (2015/94) and any subsequent regulations made in respect of the NHSPS, each as amended from time to time;</w:t>
            </w:r>
          </w:p>
        </w:tc>
      </w:tr>
      <w:tr w:rsidR="00F35F39" w14:paraId="5DBFA98E" w14:textId="77777777">
        <w:tc>
          <w:tcPr>
            <w:tcW w:w="3397" w:type="dxa"/>
          </w:tcPr>
          <w:p w14:paraId="49586B94" w14:textId="77777777" w:rsidR="00F35F39" w:rsidRDefault="0076537D">
            <w:pPr>
              <w:spacing w:before="120" w:after="120"/>
              <w:ind w:left="993"/>
              <w:rPr>
                <w:rFonts w:ascii="Arial" w:eastAsia="Arial" w:hAnsi="Arial"/>
                <w:b/>
                <w:sz w:val="24"/>
                <w:szCs w:val="24"/>
              </w:rPr>
            </w:pPr>
            <w:r>
              <w:rPr>
                <w:rFonts w:ascii="Arial" w:eastAsia="Arial" w:hAnsi="Arial"/>
                <w:b/>
                <w:sz w:val="24"/>
                <w:szCs w:val="24"/>
              </w:rPr>
              <w:t>"NHS Premature Retirement Rights"</w:t>
            </w:r>
          </w:p>
        </w:tc>
        <w:tc>
          <w:tcPr>
            <w:tcW w:w="5629" w:type="dxa"/>
          </w:tcPr>
          <w:p w14:paraId="6023F01E" w14:textId="77777777" w:rsidR="00F35F39" w:rsidRDefault="0076537D">
            <w:pPr>
              <w:tabs>
                <w:tab w:val="left" w:pos="235"/>
              </w:tabs>
              <w:spacing w:before="120" w:after="120"/>
              <w:rPr>
                <w:rFonts w:ascii="Arial" w:eastAsia="Arial" w:hAnsi="Arial"/>
                <w:color w:val="000000"/>
                <w:sz w:val="24"/>
                <w:szCs w:val="24"/>
              </w:rPr>
            </w:pPr>
            <w:r>
              <w:rPr>
                <w:rFonts w:ascii="Arial" w:eastAsia="Arial" w:hAnsi="Arial"/>
                <w:color w:val="000000"/>
                <w:sz w:val="24"/>
                <w:szCs w:val="24"/>
              </w:rPr>
              <w:t xml:space="preserve">rights to which any NHS Fair Deal Employee (had they remained in the employment of the Buyer, an NHS Body or other employer which participates automatically in the NHSPS) would have been or is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 </w:t>
            </w:r>
          </w:p>
        </w:tc>
      </w:tr>
      <w:tr w:rsidR="00F35F39" w14:paraId="0216C81B" w14:textId="77777777">
        <w:tc>
          <w:tcPr>
            <w:tcW w:w="3397" w:type="dxa"/>
          </w:tcPr>
          <w:p w14:paraId="1CD893B1" w14:textId="77777777" w:rsidR="00F35F39" w:rsidRDefault="0076537D">
            <w:pPr>
              <w:spacing w:before="120" w:after="120"/>
              <w:ind w:left="993"/>
              <w:rPr>
                <w:rFonts w:ascii="Arial" w:eastAsia="Arial" w:hAnsi="Arial"/>
                <w:b/>
                <w:sz w:val="24"/>
                <w:szCs w:val="24"/>
              </w:rPr>
            </w:pPr>
            <w:r>
              <w:rPr>
                <w:rFonts w:ascii="Arial" w:eastAsia="Arial" w:hAnsi="Arial"/>
                <w:b/>
                <w:sz w:val="24"/>
                <w:szCs w:val="24"/>
              </w:rPr>
              <w:t>"Pension Benefits"</w:t>
            </w:r>
          </w:p>
        </w:tc>
        <w:tc>
          <w:tcPr>
            <w:tcW w:w="5629" w:type="dxa"/>
          </w:tcPr>
          <w:p w14:paraId="3BA69E61" w14:textId="77777777" w:rsidR="00F35F39" w:rsidRDefault="0076537D">
            <w:pPr>
              <w:tabs>
                <w:tab w:val="left" w:pos="235"/>
              </w:tabs>
              <w:spacing w:before="120" w:after="120"/>
              <w:rPr>
                <w:rFonts w:ascii="Arial" w:eastAsia="Arial" w:hAnsi="Arial"/>
                <w:color w:val="000000"/>
                <w:sz w:val="24"/>
                <w:szCs w:val="24"/>
              </w:rPr>
            </w:pPr>
            <w:r>
              <w:rPr>
                <w:rFonts w:ascii="Arial" w:eastAsia="Arial" w:hAnsi="Arial"/>
                <w:color w:val="000000"/>
                <w:sz w:val="24"/>
                <w:szCs w:val="24"/>
              </w:rPr>
              <w:t xml:space="preserve">any benefits payable in respect of an individual (including but not limited to pensions related allowances and lump sums) relating to old age, invalidity or survivor’s benefits provided under an occupational pension scheme. </w:t>
            </w:r>
          </w:p>
        </w:tc>
      </w:tr>
      <w:tr w:rsidR="00F35F39" w14:paraId="2E52CD5C" w14:textId="77777777">
        <w:tc>
          <w:tcPr>
            <w:tcW w:w="3397" w:type="dxa"/>
          </w:tcPr>
          <w:p w14:paraId="3F07779E" w14:textId="77777777" w:rsidR="00F35F39" w:rsidRDefault="00F35F39">
            <w:pPr>
              <w:spacing w:before="120" w:after="120"/>
              <w:ind w:left="993"/>
              <w:rPr>
                <w:rFonts w:ascii="Arial" w:eastAsia="Arial" w:hAnsi="Arial"/>
                <w:b/>
                <w:sz w:val="24"/>
                <w:szCs w:val="24"/>
              </w:rPr>
            </w:pPr>
          </w:p>
        </w:tc>
        <w:tc>
          <w:tcPr>
            <w:tcW w:w="5629" w:type="dxa"/>
          </w:tcPr>
          <w:p w14:paraId="1C84D101" w14:textId="77777777" w:rsidR="00F35F39" w:rsidRDefault="00F35F39">
            <w:pPr>
              <w:tabs>
                <w:tab w:val="left" w:pos="235"/>
              </w:tabs>
              <w:spacing w:before="120" w:after="120"/>
              <w:rPr>
                <w:rFonts w:ascii="Arial" w:eastAsia="Arial" w:hAnsi="Arial"/>
                <w:sz w:val="24"/>
                <w:szCs w:val="24"/>
              </w:rPr>
            </w:pPr>
          </w:p>
        </w:tc>
      </w:tr>
    </w:tbl>
    <w:p w14:paraId="399D0C87" w14:textId="77777777" w:rsidR="00F35F39" w:rsidRDefault="0076537D">
      <w:pPr>
        <w:keepNext/>
        <w:numPr>
          <w:ilvl w:val="0"/>
          <w:numId w:val="7"/>
        </w:numPr>
        <w:pBdr>
          <w:top w:val="nil"/>
          <w:left w:val="nil"/>
          <w:bottom w:val="nil"/>
          <w:right w:val="nil"/>
          <w:between w:val="nil"/>
        </w:pBdr>
        <w:spacing w:before="120"/>
        <w:rPr>
          <w:rFonts w:ascii="Arial" w:eastAsia="Arial" w:hAnsi="Arial"/>
          <w:b/>
          <w:smallCaps/>
          <w:color w:val="000000"/>
          <w:sz w:val="24"/>
          <w:szCs w:val="24"/>
        </w:rPr>
      </w:pPr>
      <w:bookmarkStart w:id="44" w:name="_heading=h.19c6y18" w:colFirst="0" w:colLast="0"/>
      <w:bookmarkEnd w:id="44"/>
      <w:r>
        <w:rPr>
          <w:rFonts w:ascii="Arial Bold" w:eastAsia="Arial Bold" w:hAnsi="Arial Bold" w:cs="Arial Bold"/>
          <w:b/>
          <w:color w:val="000000"/>
          <w:sz w:val="24"/>
          <w:szCs w:val="24"/>
        </w:rPr>
        <w:lastRenderedPageBreak/>
        <w:t>Membership of the NHS Pension Scheme</w:t>
      </w:r>
    </w:p>
    <w:p w14:paraId="58F6632B" w14:textId="77777777" w:rsidR="00F35F39" w:rsidRDefault="0076537D">
      <w:pPr>
        <w:numPr>
          <w:ilvl w:val="1"/>
          <w:numId w:val="7"/>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45" w:name="_heading=h.3tbugp1" w:colFirst="0" w:colLast="0"/>
      <w:bookmarkEnd w:id="45"/>
      <w:r>
        <w:rPr>
          <w:rFonts w:ascii="Arial" w:eastAsia="Arial" w:hAnsi="Arial"/>
          <w:color w:val="000000"/>
          <w:sz w:val="24"/>
          <w:szCs w:val="24"/>
        </w:rPr>
        <w:t xml:space="preserve">In accordance with New Fair Deal, the Supplier and/or any of its Subcontractors to which the employment of any NHSPS Fair Deal Employee compulsorily transfers as a result of either the award of this Contract or a Relevant Transfer, if not an NHS Body or other employer which participates automatically in the NHSPS, shall each secure a Direction Letter/Determination to enable the NHSPS Fair Deal Employees to retain either continuous active membership of or eligibility for the NHSPS for so long as they remain employed in connection with the delivery of the Services under the relevant Contract. </w:t>
      </w:r>
    </w:p>
    <w:p w14:paraId="7F475770" w14:textId="77777777" w:rsidR="00F35F39" w:rsidRDefault="0076537D">
      <w:pPr>
        <w:numPr>
          <w:ilvl w:val="1"/>
          <w:numId w:val="7"/>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Where it is not possible for the Supplier and/or any of its Subcontractors to secure a Direction Letter/Determination on or before the Relevant Transfer Date, the Supplier must secure a Direction Letter/Determination as soon as possible after the Relevant Transfer Date, and in the period between the Relevant Transfer Date and the date the Direction Letter/Determination is secure, the Supplier must ensure that:</w:t>
      </w:r>
    </w:p>
    <w:p w14:paraId="6EF25653" w14:textId="77777777" w:rsidR="00F35F39" w:rsidRDefault="0076537D">
      <w:pPr>
        <w:pStyle w:val="Heading4"/>
        <w:numPr>
          <w:ilvl w:val="3"/>
          <w:numId w:val="18"/>
        </w:numPr>
        <w:rPr>
          <w:rFonts w:ascii="Arial" w:eastAsia="Arial" w:hAnsi="Arial"/>
          <w:sz w:val="24"/>
          <w:szCs w:val="24"/>
        </w:rPr>
      </w:pPr>
      <w:r>
        <w:rPr>
          <w:rFonts w:ascii="Arial" w:eastAsia="Arial" w:hAnsi="Arial"/>
          <w:sz w:val="24"/>
          <w:szCs w:val="24"/>
        </w:rPr>
        <w:t>all employer's and NHSPS Fair Deal Employees' contributions intended to go to the NHSPS are kept in a separate bank account; and</w:t>
      </w:r>
    </w:p>
    <w:p w14:paraId="61E6AB0E" w14:textId="77777777" w:rsidR="00F35F39" w:rsidRDefault="0076537D">
      <w:pPr>
        <w:pStyle w:val="Heading4"/>
        <w:numPr>
          <w:ilvl w:val="3"/>
          <w:numId w:val="18"/>
        </w:numPr>
        <w:rPr>
          <w:rFonts w:ascii="Arial" w:eastAsia="Arial" w:hAnsi="Arial"/>
          <w:sz w:val="24"/>
          <w:szCs w:val="24"/>
        </w:rPr>
      </w:pPr>
      <w:r>
        <w:rPr>
          <w:rFonts w:ascii="Arial" w:eastAsia="Arial" w:hAnsi="Arial"/>
          <w:sz w:val="24"/>
          <w:szCs w:val="24"/>
        </w:rPr>
        <w:t>the Pension Benefits and Premature Retirement Rights of NHSPS Fair Deal Employees are not adversely affected.</w:t>
      </w:r>
    </w:p>
    <w:p w14:paraId="693D307E" w14:textId="77777777" w:rsidR="00F35F39" w:rsidRDefault="0076537D">
      <w:pPr>
        <w:numPr>
          <w:ilvl w:val="1"/>
          <w:numId w:val="7"/>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46" w:name="_heading=h.28h4qwu" w:colFirst="0" w:colLast="0"/>
      <w:bookmarkEnd w:id="46"/>
      <w:r>
        <w:rPr>
          <w:rFonts w:ascii="Arial" w:eastAsia="Arial" w:hAnsi="Arial"/>
          <w:color w:val="000000"/>
          <w:sz w:val="24"/>
          <w:szCs w:val="24"/>
        </w:rPr>
        <w:t>The Supplier must supply to the Buyer</w:t>
      </w:r>
      <w:r>
        <w:rPr>
          <w:rFonts w:ascii="Arial" w:eastAsia="Arial" w:hAnsi="Arial"/>
          <w:i/>
          <w:color w:val="000000"/>
          <w:sz w:val="24"/>
          <w:szCs w:val="24"/>
        </w:rPr>
        <w:t xml:space="preserve"> </w:t>
      </w:r>
      <w:r>
        <w:rPr>
          <w:rFonts w:ascii="Arial" w:eastAsia="Arial" w:hAnsi="Arial"/>
          <w:color w:val="000000"/>
          <w:sz w:val="24"/>
          <w:szCs w:val="24"/>
        </w:rPr>
        <w:t>a complete copy of each Direction Letter/ Determination within 5 Working Days of receipt of the Direction Letter/Determination.</w:t>
      </w:r>
    </w:p>
    <w:p w14:paraId="6B7A4E01" w14:textId="77777777" w:rsidR="00F35F39" w:rsidRDefault="0076537D">
      <w:pPr>
        <w:numPr>
          <w:ilvl w:val="1"/>
          <w:numId w:val="7"/>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47" w:name="_heading=h.nmf14n" w:colFirst="0" w:colLast="0"/>
      <w:bookmarkEnd w:id="47"/>
      <w:r>
        <w:rPr>
          <w:rFonts w:ascii="Arial" w:eastAsia="Arial" w:hAnsi="Arial"/>
          <w:color w:val="000000"/>
          <w:sz w:val="24"/>
          <w:szCs w:val="24"/>
        </w:rPr>
        <w:t>The Supplier must ensure (and procure that each of its Sub-Contracts (if any) ensures) that all of its NHSPS Fair Deal Employees have a contractual right to continuous active membership of or eligibility for the NHSPS for so long as they have a right to membership or eligibility of that scheme under the terms of the Direction Letter/Determination.</w:t>
      </w:r>
    </w:p>
    <w:p w14:paraId="4E0F5C59" w14:textId="77777777" w:rsidR="00F35F39" w:rsidRDefault="0076537D">
      <w:pPr>
        <w:numPr>
          <w:ilvl w:val="1"/>
          <w:numId w:val="7"/>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48" w:name="_heading=h.37m2jsg" w:colFirst="0" w:colLast="0"/>
      <w:bookmarkEnd w:id="48"/>
      <w:r>
        <w:rPr>
          <w:rFonts w:ascii="Arial" w:eastAsia="Arial" w:hAnsi="Arial"/>
          <w:color w:val="000000"/>
          <w:sz w:val="24"/>
          <w:szCs w:val="24"/>
        </w:rPr>
        <w:t xml:space="preserve">The Supplier will (and will procure that its Subcontractors (if any) will) comply with the terms of the Direction Letter/Determination, the NHS Pension Scheme Regulations (including any terms which change as a result of changes in Law) and any relevant policy issued by the Department of Health and Social Care in respect of the NHSPS Fair Deal Employees for so long as it remains bound by the terms of any such Direction Letter/Determination. </w:t>
      </w:r>
    </w:p>
    <w:p w14:paraId="3E569008" w14:textId="77777777" w:rsidR="00F35F39" w:rsidRDefault="0076537D">
      <w:pPr>
        <w:numPr>
          <w:ilvl w:val="1"/>
          <w:numId w:val="7"/>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49" w:name="_heading=h.1mrcu09" w:colFirst="0" w:colLast="0"/>
      <w:bookmarkEnd w:id="49"/>
      <w:r>
        <w:rPr>
          <w:rFonts w:ascii="Arial" w:eastAsia="Arial" w:hAnsi="Arial"/>
          <w:color w:val="000000"/>
          <w:sz w:val="24"/>
          <w:szCs w:val="24"/>
        </w:rPr>
        <w:t>Where any employee omitted from the Direction Letter/Determination supplied in accordance with Paragraph 2 of this Annex are subsequently found to be an NHSPS Fair Deal Employee, the Supplier will (and will procure that its Subcontractors (if any) will) treat that person as if they had been an NHSPS Fair Deal Employee from the Relevant Transfer Date so that their Pension Benefits and NHS Premature Retirement Rights are not adversely affected.</w:t>
      </w:r>
    </w:p>
    <w:p w14:paraId="19E06A9C" w14:textId="77777777" w:rsidR="00F35F39" w:rsidRDefault="0076537D">
      <w:pPr>
        <w:numPr>
          <w:ilvl w:val="1"/>
          <w:numId w:val="7"/>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50" w:name="_heading=h.46r0co2" w:colFirst="0" w:colLast="0"/>
      <w:bookmarkEnd w:id="50"/>
      <w:r>
        <w:rPr>
          <w:rFonts w:ascii="Arial" w:eastAsia="Arial" w:hAnsi="Arial"/>
          <w:color w:val="000000"/>
          <w:sz w:val="24"/>
          <w:szCs w:val="24"/>
        </w:rPr>
        <w:t>The Supplier will (and will procure that its Subcontractors (if any) will) Subcontractor provide any guarantee, bond or indemnity required by NHS Pensions in relation to a Direction Letter/Determination.</w:t>
      </w:r>
    </w:p>
    <w:p w14:paraId="5166A522" w14:textId="77777777" w:rsidR="00F35F39" w:rsidRDefault="0076537D">
      <w:pPr>
        <w:keepNext/>
        <w:numPr>
          <w:ilvl w:val="0"/>
          <w:numId w:val="7"/>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lastRenderedPageBreak/>
        <w:t>Continuation of early retirement rights after transfer</w:t>
      </w:r>
    </w:p>
    <w:p w14:paraId="69D9E79C" w14:textId="77777777" w:rsidR="00F35F39" w:rsidRDefault="0076537D">
      <w:pPr>
        <w:numPr>
          <w:ilvl w:val="1"/>
          <w:numId w:val="7"/>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51" w:name="_heading=h.2lwamvv" w:colFirst="0" w:colLast="0"/>
      <w:bookmarkEnd w:id="51"/>
      <w:r>
        <w:rPr>
          <w:rFonts w:ascii="Arial" w:eastAsia="Arial" w:hAnsi="Arial"/>
          <w:color w:val="000000"/>
          <w:sz w:val="24"/>
          <w:szCs w:val="24"/>
        </w:rPr>
        <w:t xml:space="preserve">From the Relevant Transfer Date until the Service Transfer Date, the Supplier must provide (and/or must ensure that its Subcontractors (if any) provide) NHS Premature Retirement Rights in respect of the NHSPS Fair Deal Employees that are identical to the benefits they would have received had they remained employees of the Buyer, an NHS Body or other employer which participates automatically in the NHSPS. </w:t>
      </w:r>
    </w:p>
    <w:p w14:paraId="679738D7" w14:textId="77777777" w:rsidR="00F35F39" w:rsidRDefault="0076537D">
      <w:pPr>
        <w:keepNext/>
        <w:numPr>
          <w:ilvl w:val="0"/>
          <w:numId w:val="7"/>
        </w:numPr>
        <w:pBdr>
          <w:top w:val="nil"/>
          <w:left w:val="nil"/>
          <w:bottom w:val="nil"/>
          <w:right w:val="nil"/>
          <w:between w:val="nil"/>
        </w:pBdr>
        <w:spacing w:before="120"/>
        <w:rPr>
          <w:rFonts w:ascii="Arial" w:eastAsia="Arial" w:hAnsi="Arial"/>
          <w:b/>
          <w:smallCaps/>
          <w:color w:val="000000"/>
          <w:sz w:val="24"/>
          <w:szCs w:val="24"/>
        </w:rPr>
      </w:pPr>
      <w:r>
        <w:rPr>
          <w:rFonts w:ascii="Arial" w:eastAsia="Arial" w:hAnsi="Arial"/>
          <w:b/>
          <w:color w:val="000000"/>
          <w:sz w:val="24"/>
          <w:szCs w:val="24"/>
        </w:rPr>
        <w:t>NHS Broadly Comparable Employees</w:t>
      </w:r>
    </w:p>
    <w:p w14:paraId="2F6C82E6" w14:textId="77777777" w:rsidR="00F35F39" w:rsidRDefault="0076537D">
      <w:pPr>
        <w:numPr>
          <w:ilvl w:val="1"/>
          <w:numId w:val="7"/>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The Supplier shall (and procure that its Subcontractors shall), with effect from the Relevant Transfer Date, offer the NHSPS Broadly Comparable Employees membership of a pension scheme which is  Broadly Comparable to NHSPS on the Relevant Transfer Date in accordance with paragraph 10 of Part D. For the avoidance of doubt, this requirement is separate from any requirement to offer a Broadly Comparable pension scheme in accordance with paragraph 5.2 below.  </w:t>
      </w:r>
    </w:p>
    <w:p w14:paraId="70E66F85" w14:textId="77777777" w:rsidR="00F35F39" w:rsidRDefault="00F35F39">
      <w:pPr>
        <w:ind w:left="357"/>
        <w:rPr>
          <w:rFonts w:ascii="Arial" w:eastAsia="Arial" w:hAnsi="Arial"/>
          <w:sz w:val="24"/>
          <w:szCs w:val="24"/>
        </w:rPr>
      </w:pPr>
    </w:p>
    <w:p w14:paraId="53512379" w14:textId="77777777" w:rsidR="00F35F39" w:rsidRDefault="0076537D">
      <w:pPr>
        <w:keepNext/>
        <w:numPr>
          <w:ilvl w:val="0"/>
          <w:numId w:val="7"/>
        </w:numPr>
        <w:pBdr>
          <w:top w:val="nil"/>
          <w:left w:val="nil"/>
          <w:bottom w:val="nil"/>
          <w:right w:val="nil"/>
          <w:between w:val="nil"/>
        </w:pBdr>
        <w:spacing w:before="120"/>
        <w:rPr>
          <w:rFonts w:ascii="Arial" w:eastAsia="Arial" w:hAnsi="Arial"/>
          <w:b/>
          <w:smallCaps/>
          <w:color w:val="000000"/>
          <w:sz w:val="24"/>
          <w:szCs w:val="24"/>
        </w:rPr>
      </w:pPr>
      <w:bookmarkStart w:id="52" w:name="_heading=h.111kx3o" w:colFirst="0" w:colLast="0"/>
      <w:bookmarkEnd w:id="52"/>
      <w:r>
        <w:rPr>
          <w:rFonts w:ascii="Arial" w:eastAsia="Arial" w:hAnsi="Arial"/>
          <w:b/>
          <w:smallCaps/>
          <w:color w:val="000000"/>
          <w:sz w:val="24"/>
          <w:szCs w:val="24"/>
        </w:rPr>
        <w:t>W</w:t>
      </w:r>
      <w:r>
        <w:rPr>
          <w:rFonts w:ascii="Arial Bold" w:eastAsia="Arial Bold" w:hAnsi="Arial Bold" w:cs="Arial Bold"/>
          <w:b/>
          <w:color w:val="000000"/>
          <w:sz w:val="24"/>
          <w:szCs w:val="24"/>
        </w:rPr>
        <w:t>hat the buyer can do if the Supplier breaches its pension obligations</w:t>
      </w:r>
    </w:p>
    <w:p w14:paraId="6ACAB0FF" w14:textId="77777777" w:rsidR="00F35F39" w:rsidRDefault="0076537D">
      <w:pPr>
        <w:numPr>
          <w:ilvl w:val="1"/>
          <w:numId w:val="7"/>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53" w:name="_heading=h.3l18frh" w:colFirst="0" w:colLast="0"/>
      <w:bookmarkEnd w:id="53"/>
      <w:r>
        <w:rPr>
          <w:rFonts w:ascii="Arial" w:eastAsia="Arial" w:hAnsi="Arial"/>
          <w:color w:val="000000"/>
          <w:sz w:val="24"/>
          <w:szCs w:val="24"/>
        </w:rPr>
        <w:t>The Supplier agrees that the Buyer is entitled to make arrangements with NHS Pensions for the Buyer to be notified if the Supplier (or its Subcontractor) breaches the terms of its Direction Letter/Determination. Notwithstanding the provisions of the foregoing, the Supplier shall notify the Buyer in the event that it (or its Subcontractor) breaches the terms of its Direction Letter/Determination.</w:t>
      </w:r>
    </w:p>
    <w:p w14:paraId="7CF510E2" w14:textId="77777777" w:rsidR="00F35F39" w:rsidRDefault="0076537D">
      <w:pPr>
        <w:numPr>
          <w:ilvl w:val="1"/>
          <w:numId w:val="7"/>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54" w:name="_heading=h.206ipza" w:colFirst="0" w:colLast="0"/>
      <w:bookmarkEnd w:id="54"/>
      <w:r>
        <w:rPr>
          <w:rFonts w:ascii="Arial" w:eastAsia="Arial" w:hAnsi="Arial"/>
          <w:color w:val="000000"/>
          <w:sz w:val="24"/>
          <w:szCs w:val="24"/>
        </w:rPr>
        <w:t>If the Supplier (or its Subcontractors, if relevant) ceases to participate in the NHSPS for whatever reason, the</w:t>
      </w:r>
      <w:r>
        <w:rPr>
          <w:rFonts w:ascii="Arial" w:eastAsia="Arial" w:hAnsi="Arial"/>
          <w:i/>
          <w:color w:val="000000"/>
          <w:sz w:val="24"/>
          <w:szCs w:val="24"/>
        </w:rPr>
        <w:t xml:space="preserve"> </w:t>
      </w:r>
      <w:r>
        <w:rPr>
          <w:rFonts w:ascii="Arial" w:eastAsia="Arial" w:hAnsi="Arial"/>
          <w:color w:val="000000"/>
          <w:sz w:val="24"/>
          <w:szCs w:val="24"/>
        </w:rPr>
        <w:t>Supplier (or any such Subcontractor, as appropriate) shall offer to offer the NHSPS Eligible Employees membership of a pension scheme which is Broadly Comparable to the NHSPS on the date the NHSPS Eligible Employees ceased to participate in the NHSPS in accordance with the provisions of paragraph 11 of Part D. Subcontractor.</w:t>
      </w:r>
    </w:p>
    <w:p w14:paraId="60959DD1" w14:textId="77777777" w:rsidR="00F35F39" w:rsidRDefault="0076537D">
      <w:pPr>
        <w:keepNext/>
        <w:numPr>
          <w:ilvl w:val="0"/>
          <w:numId w:val="7"/>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Compensation when pension scheme access can’t be provided</w:t>
      </w:r>
    </w:p>
    <w:p w14:paraId="66D45488" w14:textId="77777777" w:rsidR="00F35F39" w:rsidRDefault="0076537D">
      <w:pPr>
        <w:keepNext/>
        <w:numPr>
          <w:ilvl w:val="1"/>
          <w:numId w:val="7"/>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55" w:name="_heading=h.4k668n3" w:colFirst="0" w:colLast="0"/>
      <w:bookmarkEnd w:id="55"/>
      <w:r>
        <w:rPr>
          <w:rFonts w:ascii="Arial" w:eastAsia="Arial" w:hAnsi="Arial"/>
          <w:color w:val="000000"/>
          <w:sz w:val="24"/>
          <w:szCs w:val="24"/>
        </w:rPr>
        <w:t xml:space="preserve">If the Supplier (or its Subcontractor, if relevant) is unable to provide the NHSPS Fair Deal Employees with either membership of: </w:t>
      </w:r>
    </w:p>
    <w:p w14:paraId="7ABBDE0A" w14:textId="77777777" w:rsidR="00F35F39" w:rsidRDefault="0076537D">
      <w:pPr>
        <w:numPr>
          <w:ilvl w:val="2"/>
          <w:numId w:val="7"/>
        </w:numPr>
        <w:pBdr>
          <w:top w:val="nil"/>
          <w:left w:val="nil"/>
          <w:bottom w:val="nil"/>
          <w:right w:val="nil"/>
          <w:between w:val="nil"/>
        </w:pBdr>
        <w:spacing w:before="120" w:after="120"/>
        <w:rPr>
          <w:rFonts w:ascii="Arial" w:eastAsia="Arial" w:hAnsi="Arial"/>
          <w:color w:val="000000"/>
          <w:sz w:val="24"/>
          <w:szCs w:val="24"/>
        </w:rPr>
      </w:pPr>
      <w:bookmarkStart w:id="56" w:name="_heading=h.2zbgiuw" w:colFirst="0" w:colLast="0"/>
      <w:bookmarkEnd w:id="56"/>
      <w:r>
        <w:rPr>
          <w:rFonts w:ascii="Arial" w:eastAsia="Arial" w:hAnsi="Arial"/>
          <w:color w:val="000000"/>
          <w:sz w:val="24"/>
          <w:szCs w:val="24"/>
        </w:rPr>
        <w:t xml:space="preserve">the NHSPS (having used its best endeavours to secure a Direction Letter/Determination); or </w:t>
      </w:r>
    </w:p>
    <w:p w14:paraId="14421069" w14:textId="77777777" w:rsidR="00F35F39" w:rsidRDefault="0076537D">
      <w:pPr>
        <w:numPr>
          <w:ilvl w:val="2"/>
          <w:numId w:val="7"/>
        </w:numPr>
        <w:pBdr>
          <w:top w:val="nil"/>
          <w:left w:val="nil"/>
          <w:bottom w:val="nil"/>
          <w:right w:val="nil"/>
          <w:between w:val="nil"/>
        </w:pBdr>
        <w:spacing w:before="120" w:after="120"/>
        <w:rPr>
          <w:rFonts w:ascii="Arial" w:eastAsia="Arial" w:hAnsi="Arial"/>
          <w:color w:val="000000"/>
          <w:sz w:val="24"/>
          <w:szCs w:val="24"/>
        </w:rPr>
      </w:pPr>
      <w:bookmarkStart w:id="57" w:name="_heading=h.1egqt2p" w:colFirst="0" w:colLast="0"/>
      <w:bookmarkEnd w:id="57"/>
      <w:r>
        <w:rPr>
          <w:rFonts w:ascii="Arial" w:eastAsia="Arial" w:hAnsi="Arial"/>
          <w:color w:val="000000"/>
          <w:sz w:val="24"/>
          <w:szCs w:val="24"/>
        </w:rPr>
        <w:t xml:space="preserve">a Broadly Comparable pension scheme, </w:t>
      </w:r>
    </w:p>
    <w:p w14:paraId="457C397A" w14:textId="77777777" w:rsidR="00F35F39" w:rsidRDefault="0076537D">
      <w:pPr>
        <w:tabs>
          <w:tab w:val="left" w:pos="709"/>
        </w:tabs>
        <w:spacing w:before="120" w:after="120"/>
        <w:ind w:left="993"/>
        <w:rPr>
          <w:rFonts w:ascii="Arial" w:eastAsia="Arial" w:hAnsi="Arial"/>
          <w:sz w:val="24"/>
          <w:szCs w:val="24"/>
        </w:rPr>
      </w:pPr>
      <w:r>
        <w:rPr>
          <w:rFonts w:ascii="Arial" w:eastAsia="Arial" w:hAnsi="Arial"/>
          <w:sz w:val="24"/>
          <w:szCs w:val="24"/>
        </w:rPr>
        <w:t>the Buyer</w:t>
      </w:r>
      <w:r>
        <w:rPr>
          <w:rFonts w:ascii="Arial" w:eastAsia="Arial" w:hAnsi="Arial"/>
          <w:i/>
          <w:sz w:val="24"/>
          <w:szCs w:val="24"/>
        </w:rPr>
        <w:t xml:space="preserve"> </w:t>
      </w:r>
      <w:r>
        <w:rPr>
          <w:rFonts w:ascii="Arial" w:eastAsia="Arial" w:hAnsi="Arial"/>
          <w:sz w:val="24"/>
          <w:szCs w:val="24"/>
        </w:rPr>
        <w:t>may in its sole discretion permit the Supplier (or any of its Subcontractors) to compensate the NHSPS Fair Deal Employees in a manner that is Broadly Comparable or equivalent in cash terms, the Supplier (or Subcontractor as relevant) having consulted with a view to reaching agreement with any recognised trade union or, in the absence of such body, the NHSPS Fair Deal Employees.  The Supplier must meet (or must procure that the relevant Subcontractor meets) the costs of the Buyer</w:t>
      </w:r>
      <w:r>
        <w:rPr>
          <w:rFonts w:ascii="Arial" w:eastAsia="Arial" w:hAnsi="Arial"/>
          <w:i/>
          <w:sz w:val="24"/>
          <w:szCs w:val="24"/>
        </w:rPr>
        <w:t xml:space="preserve"> </w:t>
      </w:r>
      <w:r>
        <w:rPr>
          <w:rFonts w:ascii="Arial" w:eastAsia="Arial" w:hAnsi="Arial"/>
          <w:sz w:val="24"/>
          <w:szCs w:val="24"/>
        </w:rPr>
        <w:t xml:space="preserve">determining </w:t>
      </w:r>
      <w:r>
        <w:rPr>
          <w:rFonts w:ascii="Arial" w:eastAsia="Arial" w:hAnsi="Arial"/>
          <w:sz w:val="24"/>
          <w:szCs w:val="24"/>
        </w:rPr>
        <w:lastRenderedPageBreak/>
        <w:t xml:space="preserve">whether the level of compensation offered is reasonable in the circumstances.  </w:t>
      </w:r>
    </w:p>
    <w:p w14:paraId="49B5D30A" w14:textId="77777777" w:rsidR="00F35F39" w:rsidRDefault="0076537D">
      <w:pPr>
        <w:numPr>
          <w:ilvl w:val="1"/>
          <w:numId w:val="7"/>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58" w:name="_heading=h.3ygebqi" w:colFirst="0" w:colLast="0"/>
      <w:bookmarkEnd w:id="58"/>
      <w:r>
        <w:rPr>
          <w:rFonts w:ascii="Arial" w:eastAsia="Arial" w:hAnsi="Arial"/>
          <w:color w:val="000000"/>
          <w:sz w:val="24"/>
          <w:szCs w:val="24"/>
        </w:rPr>
        <w:t>This flexibility for the Buyer to allow compensation in place of Pension Benefits is in addition to and not instead of the Buyer’s right to terminate the Contract.</w:t>
      </w:r>
    </w:p>
    <w:p w14:paraId="5F6DF8AD" w14:textId="77777777" w:rsidR="00F35F39" w:rsidRDefault="0076537D">
      <w:pPr>
        <w:keepNext/>
        <w:numPr>
          <w:ilvl w:val="0"/>
          <w:numId w:val="7"/>
        </w:numPr>
        <w:pBdr>
          <w:top w:val="nil"/>
          <w:left w:val="nil"/>
          <w:bottom w:val="nil"/>
          <w:right w:val="nil"/>
          <w:between w:val="nil"/>
        </w:pBdr>
        <w:spacing w:before="120"/>
        <w:rPr>
          <w:rFonts w:ascii="Arial Bold" w:eastAsia="Arial Bold" w:hAnsi="Arial Bold" w:cs="Arial Bold"/>
          <w:b/>
          <w:color w:val="000000"/>
          <w:sz w:val="24"/>
          <w:szCs w:val="24"/>
        </w:rPr>
      </w:pPr>
      <w:r>
        <w:rPr>
          <w:rFonts w:ascii="Arial Bold" w:eastAsia="Arial Bold" w:hAnsi="Arial Bold" w:cs="Arial Bold"/>
          <w:b/>
          <w:color w:val="000000"/>
          <w:sz w:val="24"/>
          <w:szCs w:val="24"/>
        </w:rPr>
        <w:t>Indemnities that a Supplier must give</w:t>
      </w:r>
    </w:p>
    <w:p w14:paraId="18EA0115" w14:textId="77777777" w:rsidR="00F35F39" w:rsidRDefault="0076537D">
      <w:pPr>
        <w:numPr>
          <w:ilvl w:val="1"/>
          <w:numId w:val="7"/>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59" w:name="_heading=h.2dlolyb" w:colFirst="0" w:colLast="0"/>
      <w:bookmarkEnd w:id="59"/>
      <w:r>
        <w:rPr>
          <w:rFonts w:ascii="Arial" w:eastAsia="Arial" w:hAnsi="Arial"/>
          <w:color w:val="000000"/>
          <w:sz w:val="24"/>
          <w:szCs w:val="24"/>
        </w:rPr>
        <w:t>The Supplier must indemnify and keep indemnified the CCS, the Buyer and any Replacement Supplier against all Losses arising out of any claim by any NHSPS Fair Deal Employee or any NHS Broadly Comparable Employees that the provision of (or failure to provide) Pension Benefits and NHS Premature Retirement Rights from the Relevant Transfer Date, or the level of such benefit provided, constitutes a breach of his or her employment rights.</w:t>
      </w:r>
    </w:p>
    <w:p w14:paraId="64383C3F" w14:textId="77777777" w:rsidR="00F35F39" w:rsidRDefault="0076537D">
      <w:pPr>
        <w:spacing w:after="120"/>
        <w:rPr>
          <w:rFonts w:ascii="Arial Bold" w:eastAsia="Arial Bold" w:hAnsi="Arial Bold" w:cs="Arial Bold"/>
          <w:b/>
          <w:sz w:val="36"/>
          <w:szCs w:val="36"/>
        </w:rPr>
      </w:pPr>
      <w:r>
        <w:br w:type="page"/>
      </w:r>
      <w:r>
        <w:rPr>
          <w:rFonts w:ascii="Arial Bold" w:eastAsia="Arial Bold" w:hAnsi="Arial Bold" w:cs="Arial Bold"/>
          <w:b/>
          <w:sz w:val="36"/>
          <w:szCs w:val="36"/>
        </w:rPr>
        <w:lastRenderedPageBreak/>
        <w:t xml:space="preserve">Annex D3: </w:t>
      </w:r>
    </w:p>
    <w:p w14:paraId="5C6C30E0" w14:textId="77777777" w:rsidR="00F35F39" w:rsidRDefault="0076537D">
      <w:pPr>
        <w:spacing w:after="120"/>
        <w:rPr>
          <w:rFonts w:ascii="Arial Bold" w:eastAsia="Arial Bold" w:hAnsi="Arial Bold" w:cs="Arial Bold"/>
          <w:b/>
          <w:sz w:val="36"/>
          <w:szCs w:val="36"/>
        </w:rPr>
      </w:pPr>
      <w:r>
        <w:rPr>
          <w:rFonts w:ascii="Arial Bold" w:eastAsia="Arial Bold" w:hAnsi="Arial Bold" w:cs="Arial Bold"/>
          <w:b/>
          <w:sz w:val="36"/>
          <w:szCs w:val="36"/>
        </w:rPr>
        <w:t>Local Government Pension Schemes (LGPS)</w:t>
      </w:r>
    </w:p>
    <w:p w14:paraId="3D9BE21C" w14:textId="77777777" w:rsidR="00F35F39" w:rsidRDefault="0076537D">
      <w:pPr>
        <w:rPr>
          <w:rFonts w:ascii="Arial" w:eastAsia="Arial" w:hAnsi="Arial"/>
          <w:b/>
          <w:sz w:val="24"/>
          <w:szCs w:val="24"/>
          <w:highlight w:val="yellow"/>
        </w:rPr>
      </w:pPr>
      <w:r>
        <w:rPr>
          <w:rFonts w:ascii="Arial" w:eastAsia="Arial" w:hAnsi="Arial"/>
          <w:b/>
          <w:sz w:val="24"/>
          <w:szCs w:val="24"/>
          <w:highlight w:val="yellow"/>
        </w:rPr>
        <w:t xml:space="preserve">[Guidance: You should take specific legal advice on this Annex D3 and in particular the risk apportionment provisions contained herein. </w:t>
      </w:r>
    </w:p>
    <w:p w14:paraId="203E12C2" w14:textId="77777777" w:rsidR="00F35F39" w:rsidRDefault="0076537D">
      <w:pPr>
        <w:rPr>
          <w:b/>
          <w:sz w:val="24"/>
          <w:szCs w:val="24"/>
        </w:rPr>
      </w:pPr>
      <w:r>
        <w:rPr>
          <w:rFonts w:ascii="Arial" w:eastAsia="Arial" w:hAnsi="Arial"/>
          <w:b/>
          <w:sz w:val="24"/>
          <w:szCs w:val="24"/>
          <w:highlight w:val="yellow"/>
        </w:rPr>
        <w:t>Please note that this Part D is drafted to reflect the requirements of New Fair Deal. Accordingly, where a contracting authority is a local authority (or other type of best value authority) then it will be subject to the requirements of the Best Value Authorities Staff Transfers (Pensions) Direction 2007 (or the Welsh Authorities Staff Transfers (Pensions) Direction 2012 if appropriate) and should take further specific legal advice to ensure compliance with those Directions.</w:t>
      </w:r>
      <w:r>
        <w:rPr>
          <w:b/>
          <w:sz w:val="24"/>
          <w:szCs w:val="24"/>
          <w:highlight w:val="yellow"/>
        </w:rPr>
        <w:t xml:space="preserve">  </w:t>
      </w:r>
    </w:p>
    <w:p w14:paraId="08625401" w14:textId="77777777" w:rsidR="00F35F39" w:rsidRDefault="0076537D">
      <w:pPr>
        <w:rPr>
          <w:rFonts w:ascii="Arial" w:eastAsia="Arial" w:hAnsi="Arial"/>
          <w:sz w:val="24"/>
          <w:szCs w:val="24"/>
        </w:rPr>
      </w:pPr>
      <w:r>
        <w:rPr>
          <w:rFonts w:ascii="Arial" w:eastAsia="Arial" w:hAnsi="Arial"/>
          <w:sz w:val="24"/>
          <w:szCs w:val="24"/>
        </w:rPr>
        <w:t>Note the LGPS unlike the CSPS &amp; NHSPS is a funded scheme which has associated cost implications as follows:</w:t>
      </w:r>
    </w:p>
    <w:p w14:paraId="3F3D4E54" w14:textId="77777777" w:rsidR="00F35F39" w:rsidRDefault="0076537D">
      <w:pPr>
        <w:rPr>
          <w:rFonts w:ascii="Arial" w:eastAsia="Arial" w:hAnsi="Arial"/>
          <w:sz w:val="24"/>
          <w:szCs w:val="24"/>
        </w:rPr>
      </w:pPr>
      <w:r>
        <w:rPr>
          <w:rFonts w:ascii="Arial" w:eastAsia="Arial" w:hAnsi="Arial"/>
          <w:sz w:val="24"/>
          <w:szCs w:val="24"/>
        </w:rPr>
        <w:t>There is not 1 LGPS but approx. 90 different Funds, each with their own separate Scheme Employer and Administering Buyer, it is important to identify the correct one(s) and amend the definition of "Fund" accordingly.</w:t>
      </w:r>
    </w:p>
    <w:p w14:paraId="2DF2CD8D" w14:textId="77777777" w:rsidR="00F35F39" w:rsidRDefault="0076537D">
      <w:pPr>
        <w:rPr>
          <w:rFonts w:ascii="Arial" w:eastAsia="Arial" w:hAnsi="Arial"/>
          <w:sz w:val="24"/>
          <w:szCs w:val="24"/>
        </w:rPr>
      </w:pPr>
      <w:r>
        <w:rPr>
          <w:rFonts w:ascii="Arial" w:eastAsia="Arial" w:hAnsi="Arial"/>
          <w:sz w:val="24"/>
          <w:szCs w:val="24"/>
        </w:rPr>
        <w:t xml:space="preserve">It is important to check whether CCS and or the Buyer can actually participate in the LGPS. Where a government department is taking on services which were formerly the responsibility of a Local Authority it may be necessary to obtain secretary of state approval for participation in the LGPS, this is because the services are being provided to Gov. Dept. and not to a Local Authority. </w:t>
      </w:r>
    </w:p>
    <w:p w14:paraId="56C45650" w14:textId="77777777" w:rsidR="00F35F39" w:rsidRDefault="0076537D">
      <w:pPr>
        <w:rPr>
          <w:rFonts w:ascii="Arial" w:eastAsia="Arial" w:hAnsi="Arial"/>
          <w:sz w:val="24"/>
          <w:szCs w:val="24"/>
        </w:rPr>
      </w:pPr>
      <w:r>
        <w:rPr>
          <w:rFonts w:ascii="Arial" w:eastAsia="Arial" w:hAnsi="Arial"/>
          <w:sz w:val="24"/>
          <w:szCs w:val="24"/>
        </w:rPr>
        <w:t>Unlike New Fair Deal the 2007 Best Value pension direction does not provide a right to bulk transfer past service.  Whilst typically before the 2007 direction LA did provide such a right, it is a significant additional cost and therefore bulk transfer wording has been excluded.  If required take legal advice due to the exceptionally high costs which can result from a requirement to provide bulk transfers.]</w:t>
      </w:r>
    </w:p>
    <w:p w14:paraId="45302ED4" w14:textId="77777777" w:rsidR="00F35F39" w:rsidRDefault="0076537D">
      <w:pPr>
        <w:keepNext/>
        <w:numPr>
          <w:ilvl w:val="0"/>
          <w:numId w:val="10"/>
        </w:numPr>
        <w:pBdr>
          <w:top w:val="nil"/>
          <w:left w:val="nil"/>
          <w:bottom w:val="nil"/>
          <w:right w:val="nil"/>
          <w:between w:val="nil"/>
        </w:pBdr>
        <w:spacing w:before="120"/>
        <w:ind w:left="357" w:hanging="357"/>
        <w:rPr>
          <w:rFonts w:ascii="Arial" w:eastAsia="Arial" w:hAnsi="Arial"/>
          <w:b/>
          <w:smallCaps/>
          <w:color w:val="000000"/>
          <w:sz w:val="24"/>
          <w:szCs w:val="24"/>
        </w:rPr>
      </w:pPr>
      <w:r>
        <w:rPr>
          <w:rFonts w:ascii="Arial Bold" w:eastAsia="Arial Bold" w:hAnsi="Arial Bold" w:cs="Arial Bold"/>
          <w:b/>
          <w:color w:val="000000"/>
          <w:sz w:val="24"/>
          <w:szCs w:val="24"/>
        </w:rPr>
        <w:t>Definitions</w:t>
      </w:r>
    </w:p>
    <w:p w14:paraId="648146D7" w14:textId="77777777" w:rsidR="00F35F39" w:rsidRDefault="0076537D">
      <w:pPr>
        <w:keepNext/>
        <w:pBdr>
          <w:top w:val="nil"/>
          <w:left w:val="nil"/>
          <w:bottom w:val="nil"/>
          <w:right w:val="nil"/>
          <w:between w:val="nil"/>
        </w:pBdr>
        <w:tabs>
          <w:tab w:val="left" w:pos="993"/>
        </w:tabs>
        <w:spacing w:before="120" w:after="120"/>
        <w:ind w:left="720" w:hanging="720"/>
        <w:rPr>
          <w:rFonts w:ascii="Arial" w:eastAsia="Arial" w:hAnsi="Arial"/>
          <w:color w:val="000000"/>
          <w:sz w:val="24"/>
          <w:szCs w:val="24"/>
        </w:rPr>
      </w:pPr>
      <w:r>
        <w:rPr>
          <w:rFonts w:ascii="Arial" w:eastAsia="Arial" w:hAnsi="Arial"/>
          <w:color w:val="000000"/>
          <w:sz w:val="24"/>
          <w:szCs w:val="24"/>
        </w:rPr>
        <w:t>In this Annex D3: LGPS to Part D: Pensions, the following words have the following meanings and they shall supplement Joint Schedule 1 (Definitions):</w:t>
      </w:r>
    </w:p>
    <w:tbl>
      <w:tblPr>
        <w:tblStyle w:val="a3"/>
        <w:tblW w:w="9026" w:type="dxa"/>
        <w:tblInd w:w="-115" w:type="dxa"/>
        <w:tblLayout w:type="fixed"/>
        <w:tblLook w:val="0000" w:firstRow="0" w:lastRow="0" w:firstColumn="0" w:lastColumn="0" w:noHBand="0" w:noVBand="0"/>
      </w:tblPr>
      <w:tblGrid>
        <w:gridCol w:w="2635"/>
        <w:gridCol w:w="6391"/>
      </w:tblGrid>
      <w:tr w:rsidR="00F35F39" w14:paraId="22C165F6" w14:textId="77777777">
        <w:trPr>
          <w:trHeight w:val="653"/>
        </w:trPr>
        <w:tc>
          <w:tcPr>
            <w:tcW w:w="2635" w:type="dxa"/>
            <w:shd w:val="clear" w:color="auto" w:fill="auto"/>
          </w:tcPr>
          <w:p w14:paraId="4E879F6A" w14:textId="77777777" w:rsidR="00F35F39" w:rsidRDefault="0076537D">
            <w:pPr>
              <w:ind w:left="720"/>
              <w:rPr>
                <w:rFonts w:ascii="Arial" w:eastAsia="Arial" w:hAnsi="Arial"/>
                <w:b/>
                <w:sz w:val="24"/>
                <w:szCs w:val="24"/>
              </w:rPr>
            </w:pPr>
            <w:r>
              <w:rPr>
                <w:rFonts w:ascii="Arial" w:eastAsia="Arial" w:hAnsi="Arial"/>
                <w:b/>
                <w:sz w:val="24"/>
                <w:szCs w:val="24"/>
              </w:rPr>
              <w:t>“2013 Regulations”</w:t>
            </w:r>
          </w:p>
        </w:tc>
        <w:tc>
          <w:tcPr>
            <w:tcW w:w="6391" w:type="dxa"/>
            <w:shd w:val="clear" w:color="auto" w:fill="auto"/>
          </w:tcPr>
          <w:p w14:paraId="43FB8245" w14:textId="77777777" w:rsidR="00F35F39" w:rsidRDefault="0076537D">
            <w:pPr>
              <w:rPr>
                <w:rFonts w:ascii="Arial" w:eastAsia="Arial" w:hAnsi="Arial"/>
                <w:sz w:val="24"/>
                <w:szCs w:val="24"/>
              </w:rPr>
            </w:pPr>
            <w:r>
              <w:rPr>
                <w:rFonts w:ascii="Arial" w:eastAsia="Arial" w:hAnsi="Arial"/>
                <w:sz w:val="24"/>
                <w:szCs w:val="24"/>
              </w:rPr>
              <w:t>the Local Government Pension Scheme Regulations 2013 (SI 2013/2356) (as amended from time to time);</w:t>
            </w:r>
          </w:p>
        </w:tc>
      </w:tr>
      <w:tr w:rsidR="00F35F39" w14:paraId="4304E4D3" w14:textId="77777777">
        <w:trPr>
          <w:trHeight w:val="653"/>
        </w:trPr>
        <w:tc>
          <w:tcPr>
            <w:tcW w:w="2635" w:type="dxa"/>
            <w:shd w:val="clear" w:color="auto" w:fill="auto"/>
          </w:tcPr>
          <w:p w14:paraId="7071607C" w14:textId="77777777" w:rsidR="00F35F39" w:rsidRDefault="0076537D">
            <w:pPr>
              <w:ind w:left="720"/>
              <w:rPr>
                <w:rFonts w:ascii="Arial" w:eastAsia="Arial" w:hAnsi="Arial"/>
                <w:sz w:val="24"/>
                <w:szCs w:val="24"/>
              </w:rPr>
            </w:pPr>
            <w:r>
              <w:rPr>
                <w:rFonts w:ascii="Arial" w:eastAsia="Arial" w:hAnsi="Arial"/>
                <w:sz w:val="24"/>
                <w:szCs w:val="24"/>
              </w:rPr>
              <w:t>"</w:t>
            </w:r>
            <w:r>
              <w:rPr>
                <w:rFonts w:ascii="Arial" w:eastAsia="Arial" w:hAnsi="Arial"/>
                <w:b/>
                <w:sz w:val="24"/>
                <w:szCs w:val="24"/>
              </w:rPr>
              <w:t>Administering Buyer</w:t>
            </w:r>
            <w:r>
              <w:rPr>
                <w:rFonts w:ascii="Arial" w:eastAsia="Arial" w:hAnsi="Arial"/>
                <w:sz w:val="24"/>
                <w:szCs w:val="24"/>
              </w:rPr>
              <w:t>"</w:t>
            </w:r>
          </w:p>
        </w:tc>
        <w:tc>
          <w:tcPr>
            <w:tcW w:w="6391" w:type="dxa"/>
            <w:shd w:val="clear" w:color="auto" w:fill="auto"/>
          </w:tcPr>
          <w:p w14:paraId="488F783F" w14:textId="77777777" w:rsidR="00F35F39" w:rsidRDefault="0076537D">
            <w:pPr>
              <w:rPr>
                <w:rFonts w:ascii="Arial" w:eastAsia="Arial" w:hAnsi="Arial"/>
                <w:sz w:val="24"/>
                <w:szCs w:val="24"/>
              </w:rPr>
            </w:pPr>
            <w:r>
              <w:rPr>
                <w:rFonts w:ascii="Arial" w:eastAsia="Arial" w:hAnsi="Arial"/>
                <w:sz w:val="24"/>
                <w:szCs w:val="24"/>
              </w:rPr>
              <w:t xml:space="preserve">in relation to </w:t>
            </w:r>
            <w:r>
              <w:rPr>
                <w:rFonts w:ascii="Arial" w:eastAsia="Arial" w:hAnsi="Arial"/>
                <w:b/>
                <w:sz w:val="24"/>
                <w:szCs w:val="24"/>
                <w:highlight w:val="yellow"/>
              </w:rPr>
              <w:t>the Fund [insert name],</w:t>
            </w:r>
            <w:r>
              <w:rPr>
                <w:rFonts w:ascii="Arial" w:eastAsia="Arial" w:hAnsi="Arial"/>
                <w:sz w:val="24"/>
                <w:szCs w:val="24"/>
              </w:rPr>
              <w:t>the relevant Administering Buyer of that Fund for the purposes of the 2013 Regulations;</w:t>
            </w:r>
          </w:p>
        </w:tc>
      </w:tr>
      <w:tr w:rsidR="00F35F39" w14:paraId="6A0DBEE8" w14:textId="77777777">
        <w:trPr>
          <w:trHeight w:val="653"/>
        </w:trPr>
        <w:tc>
          <w:tcPr>
            <w:tcW w:w="2635" w:type="dxa"/>
            <w:shd w:val="clear" w:color="auto" w:fill="auto"/>
          </w:tcPr>
          <w:p w14:paraId="2DCB479F" w14:textId="77777777" w:rsidR="00F35F39" w:rsidRDefault="0076537D">
            <w:pPr>
              <w:ind w:left="720"/>
              <w:rPr>
                <w:rFonts w:ascii="Arial" w:eastAsia="Arial" w:hAnsi="Arial"/>
                <w:sz w:val="24"/>
                <w:szCs w:val="24"/>
              </w:rPr>
            </w:pPr>
            <w:r>
              <w:rPr>
                <w:rFonts w:ascii="Arial" w:eastAsia="Arial" w:hAnsi="Arial"/>
                <w:sz w:val="24"/>
                <w:szCs w:val="24"/>
              </w:rPr>
              <w:t>"</w:t>
            </w:r>
            <w:r>
              <w:rPr>
                <w:rFonts w:ascii="Arial" w:eastAsia="Arial" w:hAnsi="Arial"/>
                <w:b/>
                <w:sz w:val="24"/>
                <w:szCs w:val="24"/>
              </w:rPr>
              <w:t>Fund Actuary</w:t>
            </w:r>
            <w:r>
              <w:rPr>
                <w:rFonts w:ascii="Arial" w:eastAsia="Arial" w:hAnsi="Arial"/>
                <w:sz w:val="24"/>
                <w:szCs w:val="24"/>
              </w:rPr>
              <w:t>"</w:t>
            </w:r>
          </w:p>
        </w:tc>
        <w:tc>
          <w:tcPr>
            <w:tcW w:w="6391" w:type="dxa"/>
            <w:shd w:val="clear" w:color="auto" w:fill="auto"/>
          </w:tcPr>
          <w:p w14:paraId="6A8777D9" w14:textId="77777777" w:rsidR="00F35F39" w:rsidRDefault="0076537D">
            <w:pPr>
              <w:rPr>
                <w:rFonts w:ascii="Arial" w:eastAsia="Arial" w:hAnsi="Arial"/>
                <w:sz w:val="24"/>
                <w:szCs w:val="24"/>
              </w:rPr>
            </w:pPr>
            <w:r>
              <w:rPr>
                <w:rFonts w:ascii="Arial" w:eastAsia="Arial" w:hAnsi="Arial"/>
                <w:sz w:val="24"/>
                <w:szCs w:val="24"/>
              </w:rPr>
              <w:t>the actuary to a Fund appointed by the Administering Buyer of that Fund;</w:t>
            </w:r>
          </w:p>
        </w:tc>
      </w:tr>
      <w:tr w:rsidR="00F35F39" w14:paraId="286B50BC" w14:textId="77777777">
        <w:trPr>
          <w:trHeight w:val="337"/>
        </w:trPr>
        <w:tc>
          <w:tcPr>
            <w:tcW w:w="2635" w:type="dxa"/>
            <w:shd w:val="clear" w:color="auto" w:fill="auto"/>
          </w:tcPr>
          <w:p w14:paraId="2C61CCE2" w14:textId="77777777" w:rsidR="00F35F39" w:rsidRDefault="0076537D">
            <w:pPr>
              <w:ind w:left="720"/>
              <w:rPr>
                <w:rFonts w:ascii="Arial" w:eastAsia="Arial" w:hAnsi="Arial"/>
                <w:sz w:val="24"/>
                <w:szCs w:val="24"/>
              </w:rPr>
            </w:pPr>
            <w:r>
              <w:rPr>
                <w:rFonts w:ascii="Arial" w:eastAsia="Arial" w:hAnsi="Arial"/>
                <w:sz w:val="24"/>
                <w:szCs w:val="24"/>
              </w:rPr>
              <w:t>"</w:t>
            </w:r>
            <w:r>
              <w:rPr>
                <w:rFonts w:ascii="Arial" w:eastAsia="Arial" w:hAnsi="Arial"/>
                <w:b/>
                <w:sz w:val="24"/>
                <w:szCs w:val="24"/>
              </w:rPr>
              <w:t>Fund</w:t>
            </w:r>
            <w:r>
              <w:rPr>
                <w:rFonts w:ascii="Arial" w:eastAsia="Arial" w:hAnsi="Arial"/>
                <w:sz w:val="24"/>
                <w:szCs w:val="24"/>
              </w:rPr>
              <w:t>"</w:t>
            </w:r>
          </w:p>
        </w:tc>
        <w:tc>
          <w:tcPr>
            <w:tcW w:w="6391" w:type="dxa"/>
            <w:shd w:val="clear" w:color="auto" w:fill="auto"/>
          </w:tcPr>
          <w:p w14:paraId="3EFDC495" w14:textId="77777777" w:rsidR="00F35F39" w:rsidRDefault="0076537D">
            <w:pPr>
              <w:rPr>
                <w:rFonts w:ascii="Arial" w:eastAsia="Arial" w:hAnsi="Arial"/>
                <w:b/>
                <w:sz w:val="24"/>
                <w:szCs w:val="24"/>
              </w:rPr>
            </w:pPr>
            <w:r>
              <w:rPr>
                <w:rFonts w:ascii="Arial" w:eastAsia="Arial" w:hAnsi="Arial"/>
                <w:b/>
                <w:sz w:val="24"/>
                <w:szCs w:val="24"/>
                <w:highlight w:val="yellow"/>
              </w:rPr>
              <w:t>[insert name], a pension fund within the LGPS;</w:t>
            </w:r>
          </w:p>
        </w:tc>
      </w:tr>
      <w:tr w:rsidR="00F35F39" w14:paraId="6DA7D6CE" w14:textId="77777777">
        <w:trPr>
          <w:trHeight w:val="337"/>
        </w:trPr>
        <w:tc>
          <w:tcPr>
            <w:tcW w:w="2635" w:type="dxa"/>
            <w:shd w:val="clear" w:color="auto" w:fill="auto"/>
          </w:tcPr>
          <w:p w14:paraId="38051683" w14:textId="77777777" w:rsidR="00F35F39" w:rsidRDefault="0076537D">
            <w:pPr>
              <w:ind w:left="720"/>
              <w:rPr>
                <w:rFonts w:ascii="Arial" w:eastAsia="Arial" w:hAnsi="Arial"/>
                <w:sz w:val="24"/>
                <w:szCs w:val="24"/>
              </w:rPr>
            </w:pPr>
            <w:r>
              <w:rPr>
                <w:rFonts w:ascii="Arial" w:eastAsia="Arial" w:hAnsi="Arial"/>
                <w:b/>
                <w:sz w:val="24"/>
                <w:szCs w:val="24"/>
              </w:rPr>
              <w:lastRenderedPageBreak/>
              <w:t>[“Initial Contribution Rate”</w:t>
            </w:r>
            <w:r>
              <w:rPr>
                <w:rFonts w:ascii="Arial" w:eastAsia="Arial" w:hAnsi="Arial"/>
                <w:b/>
                <w:sz w:val="24"/>
                <w:szCs w:val="24"/>
                <w:vertAlign w:val="superscript"/>
              </w:rPr>
              <w:footnoteReference w:id="6"/>
            </w:r>
            <w:r>
              <w:rPr>
                <w:rFonts w:ascii="Arial" w:eastAsia="Arial" w:hAnsi="Arial"/>
                <w:b/>
                <w:sz w:val="24"/>
                <w:szCs w:val="24"/>
              </w:rPr>
              <w:t>]</w:t>
            </w:r>
          </w:p>
        </w:tc>
        <w:tc>
          <w:tcPr>
            <w:tcW w:w="6391" w:type="dxa"/>
            <w:shd w:val="clear" w:color="auto" w:fill="auto"/>
          </w:tcPr>
          <w:p w14:paraId="363D6DBE" w14:textId="77777777" w:rsidR="00F35F39" w:rsidRDefault="0076537D">
            <w:pPr>
              <w:rPr>
                <w:rFonts w:ascii="Arial" w:eastAsia="Arial" w:hAnsi="Arial"/>
                <w:b/>
                <w:sz w:val="24"/>
                <w:szCs w:val="24"/>
                <w:highlight w:val="yellow"/>
              </w:rPr>
            </w:pPr>
            <w:r>
              <w:rPr>
                <w:rFonts w:ascii="Arial" w:eastAsia="Arial" w:hAnsi="Arial"/>
                <w:sz w:val="24"/>
                <w:szCs w:val="24"/>
              </w:rPr>
              <w:t xml:space="preserve">[XX %] of pensionable pay (as defined in the 2013  Regulations);] </w:t>
            </w:r>
          </w:p>
        </w:tc>
      </w:tr>
      <w:tr w:rsidR="00F35F39" w14:paraId="4F1F55CF" w14:textId="77777777">
        <w:trPr>
          <w:trHeight w:val="1269"/>
        </w:trPr>
        <w:tc>
          <w:tcPr>
            <w:tcW w:w="2635" w:type="dxa"/>
            <w:shd w:val="clear" w:color="auto" w:fill="auto"/>
          </w:tcPr>
          <w:p w14:paraId="5AE8934C" w14:textId="77777777" w:rsidR="00F35F39" w:rsidRDefault="0076537D">
            <w:pPr>
              <w:ind w:left="720"/>
              <w:rPr>
                <w:rFonts w:ascii="Arial" w:eastAsia="Arial" w:hAnsi="Arial"/>
                <w:sz w:val="24"/>
                <w:szCs w:val="24"/>
              </w:rPr>
            </w:pPr>
            <w:r>
              <w:rPr>
                <w:rFonts w:ascii="Arial" w:eastAsia="Arial" w:hAnsi="Arial"/>
                <w:sz w:val="24"/>
                <w:szCs w:val="24"/>
              </w:rPr>
              <w:t>"</w:t>
            </w:r>
            <w:r>
              <w:rPr>
                <w:rFonts w:ascii="Arial" w:eastAsia="Arial" w:hAnsi="Arial"/>
                <w:b/>
                <w:sz w:val="24"/>
                <w:szCs w:val="24"/>
              </w:rPr>
              <w:t>LGPS</w:t>
            </w:r>
            <w:r>
              <w:rPr>
                <w:rFonts w:ascii="Arial" w:eastAsia="Arial" w:hAnsi="Arial"/>
                <w:sz w:val="24"/>
                <w:szCs w:val="24"/>
              </w:rPr>
              <w:t>"</w:t>
            </w:r>
          </w:p>
        </w:tc>
        <w:tc>
          <w:tcPr>
            <w:tcW w:w="6391" w:type="dxa"/>
            <w:shd w:val="clear" w:color="auto" w:fill="auto"/>
          </w:tcPr>
          <w:p w14:paraId="2767AB32" w14:textId="77777777" w:rsidR="00F35F39" w:rsidRDefault="0076537D">
            <w:pPr>
              <w:rPr>
                <w:rFonts w:ascii="Arial" w:eastAsia="Arial" w:hAnsi="Arial"/>
                <w:sz w:val="24"/>
                <w:szCs w:val="24"/>
              </w:rPr>
            </w:pPr>
            <w:r>
              <w:rPr>
                <w:rFonts w:ascii="Arial" w:eastAsia="Arial" w:hAnsi="Arial"/>
                <w:sz w:val="24"/>
                <w:szCs w:val="24"/>
              </w:rPr>
              <w:t>the Local Government Pension Scheme as governed by the LGPS Regulations, and any other regulations (in each case as amended from time to time) which are from time  to time applicable to the Local Government Pension Scheme;</w:t>
            </w:r>
          </w:p>
        </w:tc>
      </w:tr>
      <w:tr w:rsidR="00F35F39" w14:paraId="63878CCB" w14:textId="77777777">
        <w:trPr>
          <w:trHeight w:val="990"/>
        </w:trPr>
        <w:tc>
          <w:tcPr>
            <w:tcW w:w="2635" w:type="dxa"/>
            <w:shd w:val="clear" w:color="auto" w:fill="auto"/>
          </w:tcPr>
          <w:p w14:paraId="002BCC55" w14:textId="77777777" w:rsidR="00F35F39" w:rsidRDefault="0076537D">
            <w:pPr>
              <w:ind w:left="720"/>
              <w:rPr>
                <w:rFonts w:ascii="Arial" w:eastAsia="Arial" w:hAnsi="Arial"/>
                <w:sz w:val="24"/>
                <w:szCs w:val="24"/>
              </w:rPr>
            </w:pPr>
            <w:r>
              <w:rPr>
                <w:rFonts w:ascii="Arial" w:eastAsia="Arial" w:hAnsi="Arial"/>
                <w:sz w:val="24"/>
                <w:szCs w:val="24"/>
              </w:rPr>
              <w:t>"</w:t>
            </w:r>
            <w:r>
              <w:rPr>
                <w:rFonts w:ascii="Arial" w:eastAsia="Arial" w:hAnsi="Arial"/>
                <w:b/>
                <w:sz w:val="24"/>
                <w:szCs w:val="24"/>
              </w:rPr>
              <w:t>LGPS Admission Agreement</w:t>
            </w:r>
            <w:r>
              <w:rPr>
                <w:rFonts w:ascii="Arial" w:eastAsia="Arial" w:hAnsi="Arial"/>
                <w:sz w:val="24"/>
                <w:szCs w:val="24"/>
              </w:rPr>
              <w:t>"</w:t>
            </w:r>
          </w:p>
        </w:tc>
        <w:tc>
          <w:tcPr>
            <w:tcW w:w="6391" w:type="dxa"/>
            <w:shd w:val="clear" w:color="auto" w:fill="auto"/>
          </w:tcPr>
          <w:p w14:paraId="2B4A7C19" w14:textId="77777777" w:rsidR="00F35F39" w:rsidRDefault="0076537D">
            <w:pPr>
              <w:rPr>
                <w:rFonts w:ascii="Arial" w:eastAsia="Arial" w:hAnsi="Arial"/>
                <w:sz w:val="24"/>
                <w:szCs w:val="24"/>
              </w:rPr>
            </w:pPr>
            <w:r>
              <w:rPr>
                <w:rFonts w:ascii="Arial" w:eastAsia="Arial" w:hAnsi="Arial"/>
                <w:sz w:val="24"/>
                <w:szCs w:val="24"/>
              </w:rPr>
              <w:t>an admission agreement within the meaning  in Schedule 1 of the  2013 Regulations;</w:t>
            </w:r>
          </w:p>
        </w:tc>
      </w:tr>
      <w:tr w:rsidR="00F35F39" w14:paraId="4E025DED" w14:textId="77777777">
        <w:trPr>
          <w:trHeight w:val="900"/>
        </w:trPr>
        <w:tc>
          <w:tcPr>
            <w:tcW w:w="2635" w:type="dxa"/>
            <w:shd w:val="clear" w:color="auto" w:fill="auto"/>
          </w:tcPr>
          <w:p w14:paraId="62313B6F" w14:textId="77777777" w:rsidR="00F35F39" w:rsidRDefault="0076537D">
            <w:pPr>
              <w:ind w:left="720"/>
              <w:rPr>
                <w:rFonts w:ascii="Arial" w:eastAsia="Arial" w:hAnsi="Arial"/>
                <w:sz w:val="24"/>
                <w:szCs w:val="24"/>
              </w:rPr>
            </w:pPr>
            <w:r>
              <w:rPr>
                <w:rFonts w:ascii="Arial" w:eastAsia="Arial" w:hAnsi="Arial"/>
                <w:sz w:val="24"/>
                <w:szCs w:val="24"/>
              </w:rPr>
              <w:t>"</w:t>
            </w:r>
            <w:r>
              <w:rPr>
                <w:rFonts w:ascii="Arial" w:eastAsia="Arial" w:hAnsi="Arial"/>
                <w:b/>
                <w:sz w:val="24"/>
                <w:szCs w:val="24"/>
              </w:rPr>
              <w:t>LGPS Admission Body</w:t>
            </w:r>
            <w:r>
              <w:rPr>
                <w:rFonts w:ascii="Arial" w:eastAsia="Arial" w:hAnsi="Arial"/>
                <w:sz w:val="24"/>
                <w:szCs w:val="24"/>
              </w:rPr>
              <w:t>"</w:t>
            </w:r>
          </w:p>
        </w:tc>
        <w:tc>
          <w:tcPr>
            <w:tcW w:w="6391" w:type="dxa"/>
            <w:shd w:val="clear" w:color="auto" w:fill="auto"/>
          </w:tcPr>
          <w:p w14:paraId="15C1FC8D" w14:textId="77777777" w:rsidR="00F35F39" w:rsidRDefault="0076537D">
            <w:pPr>
              <w:rPr>
                <w:rFonts w:ascii="Arial" w:eastAsia="Arial" w:hAnsi="Arial"/>
                <w:sz w:val="24"/>
                <w:szCs w:val="24"/>
              </w:rPr>
            </w:pPr>
            <w:r>
              <w:rPr>
                <w:rFonts w:ascii="Arial" w:eastAsia="Arial" w:hAnsi="Arial"/>
                <w:sz w:val="24"/>
                <w:szCs w:val="24"/>
              </w:rPr>
              <w:t>an admission body (within the meaning of Part 3 of Schedule 2 of the 2013 Regulations);</w:t>
            </w:r>
          </w:p>
        </w:tc>
      </w:tr>
      <w:tr w:rsidR="00F35F39" w14:paraId="55465F98" w14:textId="77777777">
        <w:trPr>
          <w:trHeight w:val="900"/>
        </w:trPr>
        <w:tc>
          <w:tcPr>
            <w:tcW w:w="2635" w:type="dxa"/>
            <w:shd w:val="clear" w:color="auto" w:fill="auto"/>
          </w:tcPr>
          <w:p w14:paraId="4BDA297C" w14:textId="77777777" w:rsidR="00F35F39" w:rsidRDefault="0076537D">
            <w:pPr>
              <w:ind w:left="720"/>
              <w:rPr>
                <w:rFonts w:ascii="Arial" w:eastAsia="Arial" w:hAnsi="Arial"/>
                <w:sz w:val="24"/>
                <w:szCs w:val="24"/>
              </w:rPr>
            </w:pPr>
            <w:r>
              <w:rPr>
                <w:rFonts w:ascii="Arial" w:eastAsia="Arial" w:hAnsi="Arial"/>
                <w:sz w:val="24"/>
                <w:szCs w:val="24"/>
              </w:rPr>
              <w:t>"</w:t>
            </w:r>
            <w:r>
              <w:rPr>
                <w:rFonts w:ascii="Arial" w:eastAsia="Arial" w:hAnsi="Arial"/>
                <w:b/>
                <w:sz w:val="24"/>
                <w:szCs w:val="24"/>
              </w:rPr>
              <w:t>LGPS Eligible Employees</w:t>
            </w:r>
            <w:r>
              <w:rPr>
                <w:rFonts w:ascii="Arial" w:eastAsia="Arial" w:hAnsi="Arial"/>
                <w:sz w:val="24"/>
                <w:szCs w:val="24"/>
              </w:rPr>
              <w:t>"</w:t>
            </w:r>
          </w:p>
        </w:tc>
        <w:tc>
          <w:tcPr>
            <w:tcW w:w="6391" w:type="dxa"/>
            <w:shd w:val="clear" w:color="auto" w:fill="auto"/>
          </w:tcPr>
          <w:p w14:paraId="0B765277" w14:textId="77777777" w:rsidR="00F35F39" w:rsidRDefault="0076537D">
            <w:pPr>
              <w:rPr>
                <w:rFonts w:ascii="Arial" w:eastAsia="Arial" w:hAnsi="Arial"/>
                <w:sz w:val="24"/>
                <w:szCs w:val="24"/>
              </w:rPr>
            </w:pPr>
            <w:r>
              <w:rPr>
                <w:rFonts w:ascii="Arial" w:eastAsia="Arial" w:hAnsi="Arial"/>
                <w:sz w:val="24"/>
                <w:szCs w:val="24"/>
              </w:rPr>
              <w:t>any LGPS Fair Deal Employee who at the relevant time is an active member or eligible to participate in the LGPS under an LGPS Admission Agreement;</w:t>
            </w:r>
          </w:p>
        </w:tc>
      </w:tr>
      <w:tr w:rsidR="00F35F39" w14:paraId="4F9F2403" w14:textId="77777777">
        <w:trPr>
          <w:trHeight w:val="900"/>
        </w:trPr>
        <w:tc>
          <w:tcPr>
            <w:tcW w:w="2635" w:type="dxa"/>
            <w:shd w:val="clear" w:color="auto" w:fill="auto"/>
          </w:tcPr>
          <w:p w14:paraId="07CE252F" w14:textId="77777777" w:rsidR="00F35F39" w:rsidRDefault="0076537D">
            <w:pPr>
              <w:ind w:left="720"/>
              <w:rPr>
                <w:rFonts w:ascii="Arial" w:eastAsia="Arial" w:hAnsi="Arial"/>
                <w:sz w:val="24"/>
                <w:szCs w:val="24"/>
              </w:rPr>
            </w:pPr>
            <w:r>
              <w:rPr>
                <w:rFonts w:ascii="Arial" w:eastAsia="Arial" w:hAnsi="Arial"/>
                <w:sz w:val="24"/>
                <w:szCs w:val="24"/>
              </w:rPr>
              <w:t>"</w:t>
            </w:r>
            <w:r>
              <w:rPr>
                <w:rFonts w:ascii="Arial" w:eastAsia="Arial" w:hAnsi="Arial"/>
                <w:b/>
                <w:sz w:val="24"/>
                <w:szCs w:val="24"/>
              </w:rPr>
              <w:t>LGPS Fair Deal Employees</w:t>
            </w:r>
            <w:r>
              <w:rPr>
                <w:rFonts w:ascii="Arial" w:eastAsia="Arial" w:hAnsi="Arial"/>
                <w:sz w:val="24"/>
                <w:szCs w:val="24"/>
              </w:rPr>
              <w:t>"</w:t>
            </w:r>
          </w:p>
        </w:tc>
        <w:tc>
          <w:tcPr>
            <w:tcW w:w="6391" w:type="dxa"/>
            <w:shd w:val="clear" w:color="auto" w:fill="auto"/>
          </w:tcPr>
          <w:p w14:paraId="0A75432F" w14:textId="77777777" w:rsidR="00F35F39" w:rsidRDefault="0076537D">
            <w:pPr>
              <w:rPr>
                <w:rFonts w:ascii="Arial" w:eastAsia="Arial" w:hAnsi="Arial"/>
                <w:sz w:val="24"/>
                <w:szCs w:val="24"/>
              </w:rPr>
            </w:pPr>
            <w:r>
              <w:rPr>
                <w:rFonts w:ascii="Arial" w:eastAsia="Arial" w:hAnsi="Arial"/>
                <w:sz w:val="24"/>
                <w:szCs w:val="24"/>
              </w:rPr>
              <w:t xml:space="preserve">any Fair Deal Employee who at the Relevant Transfer Date is or becomes entitled to protection in respect of the LGPS or a pension scheme that is Broadly Comparable to the LGPS in accordance with the provisions in accordance with the provisions of New Fair Deal and/or the Best Value Direction; ; </w:t>
            </w:r>
          </w:p>
        </w:tc>
      </w:tr>
      <w:tr w:rsidR="00F35F39" w14:paraId="08DE467E" w14:textId="77777777">
        <w:trPr>
          <w:trHeight w:val="1665"/>
        </w:trPr>
        <w:tc>
          <w:tcPr>
            <w:tcW w:w="2635" w:type="dxa"/>
            <w:shd w:val="clear" w:color="auto" w:fill="auto"/>
          </w:tcPr>
          <w:p w14:paraId="27355AF0" w14:textId="77777777" w:rsidR="00F35F39" w:rsidRDefault="0076537D">
            <w:pPr>
              <w:spacing w:after="0"/>
              <w:ind w:left="720"/>
              <w:rPr>
                <w:rFonts w:ascii="Arial" w:eastAsia="Arial" w:hAnsi="Arial"/>
                <w:sz w:val="24"/>
                <w:szCs w:val="24"/>
              </w:rPr>
            </w:pPr>
            <w:r>
              <w:rPr>
                <w:rFonts w:ascii="Arial" w:eastAsia="Arial" w:hAnsi="Arial"/>
                <w:sz w:val="24"/>
                <w:szCs w:val="24"/>
              </w:rPr>
              <w:t>"</w:t>
            </w:r>
            <w:r>
              <w:rPr>
                <w:rFonts w:ascii="Arial" w:eastAsia="Arial" w:hAnsi="Arial"/>
                <w:b/>
                <w:sz w:val="24"/>
                <w:szCs w:val="24"/>
              </w:rPr>
              <w:t>LGPS Regulations</w:t>
            </w:r>
            <w:r>
              <w:rPr>
                <w:rFonts w:ascii="Arial" w:eastAsia="Arial" w:hAnsi="Arial"/>
                <w:sz w:val="24"/>
                <w:szCs w:val="24"/>
              </w:rPr>
              <w:t>"</w:t>
            </w:r>
          </w:p>
        </w:tc>
        <w:tc>
          <w:tcPr>
            <w:tcW w:w="6391" w:type="dxa"/>
            <w:shd w:val="clear" w:color="auto" w:fill="auto"/>
          </w:tcPr>
          <w:p w14:paraId="44EE667B" w14:textId="77777777" w:rsidR="00F35F39" w:rsidRDefault="0076537D">
            <w:pPr>
              <w:spacing w:after="0"/>
              <w:rPr>
                <w:rFonts w:ascii="Arial" w:eastAsia="Arial" w:hAnsi="Arial"/>
                <w:sz w:val="24"/>
                <w:szCs w:val="24"/>
              </w:rPr>
            </w:pPr>
            <w:r>
              <w:rPr>
                <w:rFonts w:ascii="Arial" w:eastAsia="Arial" w:hAnsi="Arial"/>
                <w:sz w:val="24"/>
                <w:szCs w:val="24"/>
              </w:rPr>
              <w:t>the 2013 Regulations and The Local Government Pension Scheme (Transitional Provisions, Savings and Amendment) Regulations 2014 (SI 2014/525), and any other regulations (in each case as amended from time to time) which are from time to time applicable to the LGPS.</w:t>
            </w:r>
          </w:p>
        </w:tc>
      </w:tr>
    </w:tbl>
    <w:p w14:paraId="52430007" w14:textId="77777777" w:rsidR="00F35F39" w:rsidRDefault="00F35F39">
      <w:pPr>
        <w:pStyle w:val="Heading2"/>
        <w:rPr>
          <w:rFonts w:ascii="Arial" w:eastAsia="Arial" w:hAnsi="Arial"/>
          <w:sz w:val="24"/>
          <w:szCs w:val="24"/>
        </w:rPr>
      </w:pPr>
    </w:p>
    <w:p w14:paraId="6F64E57B" w14:textId="77777777" w:rsidR="00F35F39" w:rsidRDefault="0076537D">
      <w:pPr>
        <w:keepNext/>
        <w:numPr>
          <w:ilvl w:val="0"/>
          <w:numId w:val="10"/>
        </w:numPr>
        <w:pBdr>
          <w:top w:val="nil"/>
          <w:left w:val="nil"/>
          <w:bottom w:val="nil"/>
          <w:right w:val="nil"/>
          <w:between w:val="nil"/>
        </w:pBdr>
        <w:spacing w:before="120"/>
        <w:ind w:left="357" w:hanging="357"/>
        <w:rPr>
          <w:rFonts w:ascii="Arial Bold" w:eastAsia="Arial Bold" w:hAnsi="Arial Bold" w:cs="Arial Bold"/>
          <w:b/>
          <w:color w:val="000000"/>
          <w:sz w:val="24"/>
          <w:szCs w:val="24"/>
        </w:rPr>
      </w:pPr>
      <w:r>
        <w:rPr>
          <w:rFonts w:ascii="Arial Bold" w:eastAsia="Arial Bold" w:hAnsi="Arial Bold" w:cs="Arial Bold"/>
          <w:b/>
          <w:color w:val="000000"/>
          <w:sz w:val="24"/>
          <w:szCs w:val="24"/>
        </w:rPr>
        <w:t>Supplier to become an LGPS Admission Body</w:t>
      </w:r>
    </w:p>
    <w:p w14:paraId="0CC490D4" w14:textId="77777777" w:rsidR="00F35F39" w:rsidRDefault="0076537D">
      <w:pPr>
        <w:numPr>
          <w:ilvl w:val="1"/>
          <w:numId w:val="1"/>
        </w:numPr>
        <w:tabs>
          <w:tab w:val="left" w:pos="720"/>
        </w:tabs>
        <w:ind w:left="708" w:hanging="708"/>
        <w:rPr>
          <w:rFonts w:ascii="Arial" w:eastAsia="Arial" w:hAnsi="Arial"/>
          <w:sz w:val="24"/>
          <w:szCs w:val="24"/>
        </w:rPr>
      </w:pPr>
      <w:r>
        <w:rPr>
          <w:rFonts w:ascii="Arial" w:eastAsia="Arial" w:hAnsi="Arial"/>
          <w:sz w:val="24"/>
          <w:szCs w:val="24"/>
        </w:rPr>
        <w:t xml:space="preserve">In accordance with the principles of New Fair Deal and/or the Best Value Direction, the Supplier and/or any of its Subcontractors to which the employment of any LGPS Fair Deal Employee compulsorily transfers as a result of either the award of the relevant Contract or a Relevant Transfer, if not a scheme employer which participates automatically in the LGPS, shall each become an LGPS Admission Body by entering into an LGPS Admission Agreement on or before the Relevant Transfer Date to enable the LGPS Fair Deal Employees to retain either continuous active membership of or eligibility </w:t>
      </w:r>
      <w:r>
        <w:rPr>
          <w:rFonts w:ascii="Arial" w:eastAsia="Arial" w:hAnsi="Arial"/>
          <w:sz w:val="24"/>
          <w:szCs w:val="24"/>
        </w:rPr>
        <w:lastRenderedPageBreak/>
        <w:t>for the LGPS on and from the Relevant Transfer Date for so long as they remain employed in connection with the delivery of the Services under the relevant Contract.</w:t>
      </w:r>
    </w:p>
    <w:p w14:paraId="6BF4D347" w14:textId="77777777" w:rsidR="00F35F39" w:rsidRDefault="0076537D">
      <w:pPr>
        <w:tabs>
          <w:tab w:val="left" w:pos="720"/>
        </w:tabs>
        <w:ind w:left="708"/>
        <w:rPr>
          <w:rFonts w:ascii="Arial" w:eastAsia="Arial" w:hAnsi="Arial"/>
          <w:b/>
          <w:sz w:val="24"/>
          <w:szCs w:val="24"/>
        </w:rPr>
      </w:pPr>
      <w:r>
        <w:rPr>
          <w:rFonts w:ascii="Arial" w:eastAsia="Arial" w:hAnsi="Arial"/>
          <w:b/>
          <w:sz w:val="24"/>
          <w:szCs w:val="24"/>
        </w:rPr>
        <w:t>OPTION 1</w:t>
      </w:r>
      <w:r>
        <w:rPr>
          <w:rFonts w:ascii="Arial" w:eastAsia="Arial" w:hAnsi="Arial"/>
          <w:b/>
          <w:sz w:val="24"/>
          <w:szCs w:val="24"/>
          <w:vertAlign w:val="superscript"/>
        </w:rPr>
        <w:footnoteReference w:id="7"/>
      </w:r>
      <w:r>
        <w:rPr>
          <w:rFonts w:ascii="Arial" w:eastAsia="Arial" w:hAnsi="Arial"/>
          <w:b/>
          <w:sz w:val="24"/>
          <w:szCs w:val="24"/>
        </w:rPr>
        <w:t xml:space="preserve"> </w:t>
      </w:r>
    </w:p>
    <w:p w14:paraId="2A5A48D3" w14:textId="77777777" w:rsidR="00F35F39" w:rsidRDefault="0076537D">
      <w:pPr>
        <w:numPr>
          <w:ilvl w:val="1"/>
          <w:numId w:val="1"/>
        </w:numPr>
        <w:tabs>
          <w:tab w:val="left" w:pos="720"/>
        </w:tabs>
        <w:ind w:left="708" w:hanging="708"/>
        <w:rPr>
          <w:rFonts w:ascii="Arial" w:eastAsia="Arial" w:hAnsi="Arial"/>
          <w:sz w:val="24"/>
          <w:szCs w:val="24"/>
        </w:rPr>
      </w:pPr>
      <w:r>
        <w:rPr>
          <w:rFonts w:ascii="Arial" w:eastAsia="Arial" w:hAnsi="Arial"/>
          <w:sz w:val="24"/>
          <w:szCs w:val="24"/>
        </w:rPr>
        <w:t>[Any LGPS Fair Deal Employees who:</w:t>
      </w:r>
    </w:p>
    <w:p w14:paraId="64A88E35" w14:textId="77777777" w:rsidR="00F35F39" w:rsidRDefault="0076537D">
      <w:pPr>
        <w:numPr>
          <w:ilvl w:val="2"/>
          <w:numId w:val="1"/>
        </w:numPr>
        <w:tabs>
          <w:tab w:val="left" w:pos="720"/>
        </w:tabs>
        <w:ind w:hanging="720"/>
        <w:rPr>
          <w:rFonts w:ascii="Arial" w:eastAsia="Arial" w:hAnsi="Arial"/>
          <w:sz w:val="24"/>
          <w:szCs w:val="24"/>
        </w:rPr>
      </w:pPr>
      <w:r>
        <w:rPr>
          <w:rFonts w:ascii="Arial" w:eastAsia="Arial" w:hAnsi="Arial"/>
          <w:sz w:val="24"/>
          <w:szCs w:val="24"/>
        </w:rPr>
        <w:t>were active members of the LGPS (or a Broadly Comparable pension scheme) immediately before the Relevant Transfer Date shall be admitted to the LGPS with effect on and from the Relevant Transfer Date; and</w:t>
      </w:r>
    </w:p>
    <w:p w14:paraId="31647301" w14:textId="77777777" w:rsidR="00F35F39" w:rsidRDefault="0076537D">
      <w:pPr>
        <w:numPr>
          <w:ilvl w:val="2"/>
          <w:numId w:val="1"/>
        </w:numPr>
        <w:tabs>
          <w:tab w:val="left" w:pos="720"/>
        </w:tabs>
        <w:ind w:hanging="720"/>
        <w:rPr>
          <w:rFonts w:ascii="Arial" w:eastAsia="Arial" w:hAnsi="Arial"/>
          <w:sz w:val="24"/>
          <w:szCs w:val="24"/>
        </w:rPr>
      </w:pPr>
      <w:r>
        <w:rPr>
          <w:rFonts w:ascii="Arial" w:eastAsia="Arial" w:hAnsi="Arial"/>
          <w:sz w:val="24"/>
          <w:szCs w:val="24"/>
        </w:rPr>
        <w:t>were eligible to join the LGPS (or a Broadly Comparable pension scheme) but were not active members of the LGPS (or a Broadly Comparable pension scheme) immediately before the Relevant Transfer Date shall retain the ability to join the LGPS on or after the Relevant Transfer Date if they wish to do so. ]</w:t>
      </w:r>
    </w:p>
    <w:p w14:paraId="759CA87B" w14:textId="77777777" w:rsidR="00F35F39" w:rsidRDefault="0076537D">
      <w:pPr>
        <w:tabs>
          <w:tab w:val="left" w:pos="720"/>
        </w:tabs>
        <w:ind w:left="708"/>
        <w:rPr>
          <w:rFonts w:ascii="Arial" w:eastAsia="Arial" w:hAnsi="Arial"/>
          <w:b/>
          <w:sz w:val="24"/>
          <w:szCs w:val="24"/>
        </w:rPr>
      </w:pPr>
      <w:r>
        <w:rPr>
          <w:rFonts w:ascii="Arial" w:eastAsia="Arial" w:hAnsi="Arial"/>
          <w:b/>
          <w:sz w:val="24"/>
          <w:szCs w:val="24"/>
        </w:rPr>
        <w:t>OPTION 2</w:t>
      </w:r>
    </w:p>
    <w:p w14:paraId="15F85C97" w14:textId="77777777" w:rsidR="00F35F39" w:rsidRDefault="0076537D">
      <w:pPr>
        <w:tabs>
          <w:tab w:val="left" w:pos="720"/>
        </w:tabs>
        <w:ind w:left="708"/>
        <w:rPr>
          <w:rFonts w:ascii="Arial" w:eastAsia="Arial" w:hAnsi="Arial"/>
          <w:sz w:val="24"/>
          <w:szCs w:val="24"/>
        </w:rPr>
      </w:pPr>
      <w:r>
        <w:rPr>
          <w:rFonts w:ascii="Arial" w:eastAsia="Arial" w:hAnsi="Arial"/>
          <w:sz w:val="24"/>
          <w:szCs w:val="24"/>
        </w:rPr>
        <w:t>[Any LGPS Fair Deal Employees whether:</w:t>
      </w:r>
    </w:p>
    <w:p w14:paraId="7404C187" w14:textId="77777777" w:rsidR="00F35F39" w:rsidRDefault="0076537D">
      <w:pPr>
        <w:numPr>
          <w:ilvl w:val="2"/>
          <w:numId w:val="1"/>
        </w:numPr>
        <w:pBdr>
          <w:top w:val="nil"/>
          <w:left w:val="nil"/>
          <w:bottom w:val="nil"/>
          <w:right w:val="nil"/>
          <w:between w:val="nil"/>
        </w:pBdr>
        <w:tabs>
          <w:tab w:val="left" w:pos="720"/>
        </w:tabs>
        <w:ind w:hanging="720"/>
        <w:rPr>
          <w:rFonts w:ascii="Arial" w:eastAsia="Arial" w:hAnsi="Arial"/>
          <w:color w:val="000000"/>
          <w:sz w:val="24"/>
          <w:szCs w:val="24"/>
        </w:rPr>
      </w:pPr>
      <w:r>
        <w:rPr>
          <w:rFonts w:ascii="Arial" w:eastAsia="Arial" w:hAnsi="Arial"/>
          <w:color w:val="000000"/>
          <w:sz w:val="24"/>
          <w:szCs w:val="24"/>
        </w:rPr>
        <w:t xml:space="preserve">active members of the LGPS (or a Broadly Comparable pension scheme) immediately before the Relevant Transfer Date; or </w:t>
      </w:r>
    </w:p>
    <w:p w14:paraId="75814C7B" w14:textId="77777777" w:rsidR="00F35F39" w:rsidRDefault="0076537D">
      <w:pPr>
        <w:numPr>
          <w:ilvl w:val="2"/>
          <w:numId w:val="1"/>
        </w:numPr>
        <w:tabs>
          <w:tab w:val="left" w:pos="720"/>
        </w:tabs>
        <w:ind w:hanging="720"/>
        <w:rPr>
          <w:rFonts w:ascii="Arial" w:eastAsia="Arial" w:hAnsi="Arial"/>
          <w:sz w:val="24"/>
          <w:szCs w:val="24"/>
        </w:rPr>
      </w:pPr>
      <w:r>
        <w:rPr>
          <w:rFonts w:ascii="Arial" w:eastAsia="Arial" w:hAnsi="Arial"/>
          <w:sz w:val="24"/>
          <w:szCs w:val="24"/>
        </w:rPr>
        <w:t xml:space="preserve">eligible to join the LGPS (or a Broadly Comparable pension scheme) but not active members of the LGPS (or a Broadly Comparable pension scheme) immediately before the Relevant Transfer Date </w:t>
      </w:r>
    </w:p>
    <w:p w14:paraId="7C5FEF02" w14:textId="77777777" w:rsidR="00F35F39" w:rsidRDefault="0076537D">
      <w:pPr>
        <w:tabs>
          <w:tab w:val="left" w:pos="720"/>
        </w:tabs>
        <w:ind w:left="993"/>
        <w:rPr>
          <w:rFonts w:ascii="Arial" w:eastAsia="Arial" w:hAnsi="Arial"/>
          <w:sz w:val="24"/>
          <w:szCs w:val="24"/>
        </w:rPr>
      </w:pPr>
      <w:r>
        <w:rPr>
          <w:rFonts w:ascii="Arial" w:eastAsia="Arial" w:hAnsi="Arial"/>
          <w:sz w:val="24"/>
          <w:szCs w:val="24"/>
        </w:rPr>
        <w:t xml:space="preserve">shall be admitted to the LGPS with effect on and from the Relevant Transfer Date. The Supplier shall not automatically enrol or re-enrol for the purposes of the Pensions Act 2008 any LGPS Fair Deal Employees in any pension scheme other than the LGPS unless they cease to be eligible for membership of the LGPS.] </w:t>
      </w:r>
    </w:p>
    <w:p w14:paraId="07612853" w14:textId="77777777" w:rsidR="00F35F39" w:rsidRDefault="0076537D">
      <w:pPr>
        <w:numPr>
          <w:ilvl w:val="1"/>
          <w:numId w:val="1"/>
        </w:numPr>
        <w:pBdr>
          <w:top w:val="nil"/>
          <w:left w:val="nil"/>
          <w:bottom w:val="nil"/>
          <w:right w:val="nil"/>
          <w:between w:val="nil"/>
        </w:pBdr>
        <w:tabs>
          <w:tab w:val="left" w:pos="720"/>
        </w:tabs>
        <w:ind w:left="708" w:hanging="712"/>
        <w:rPr>
          <w:rFonts w:ascii="Arial" w:eastAsia="Arial" w:hAnsi="Arial"/>
          <w:color w:val="000000"/>
          <w:sz w:val="24"/>
          <w:szCs w:val="24"/>
        </w:rPr>
      </w:pPr>
      <w:r>
        <w:rPr>
          <w:rFonts w:ascii="Arial" w:eastAsia="Arial" w:hAnsi="Arial"/>
          <w:color w:val="000000"/>
          <w:sz w:val="24"/>
          <w:szCs w:val="24"/>
        </w:rPr>
        <w:t xml:space="preserve">The Supplier will (and will procure that its Subcontractors (if any) will) provide at its own cost any indemnity, bond or guarantee required by an Administering Buyer in relation to an LGPS Admission Agreement.  </w:t>
      </w:r>
    </w:p>
    <w:p w14:paraId="3554B0B9" w14:textId="77777777" w:rsidR="00F35F39" w:rsidRDefault="0076537D">
      <w:pPr>
        <w:keepNext/>
        <w:numPr>
          <w:ilvl w:val="0"/>
          <w:numId w:val="10"/>
        </w:numPr>
        <w:pBdr>
          <w:top w:val="nil"/>
          <w:left w:val="nil"/>
          <w:bottom w:val="nil"/>
          <w:right w:val="nil"/>
          <w:between w:val="nil"/>
        </w:pBdr>
        <w:spacing w:before="120"/>
        <w:ind w:left="357" w:hanging="357"/>
        <w:rPr>
          <w:rFonts w:ascii="Arial Bold" w:eastAsia="Arial Bold" w:hAnsi="Arial Bold" w:cs="Arial Bold"/>
          <w:b/>
          <w:color w:val="000000"/>
          <w:sz w:val="24"/>
          <w:szCs w:val="24"/>
        </w:rPr>
      </w:pPr>
      <w:bookmarkStart w:id="60" w:name="_heading=h.sqyw64" w:colFirst="0" w:colLast="0"/>
      <w:bookmarkEnd w:id="60"/>
      <w:r>
        <w:rPr>
          <w:rFonts w:ascii="Arial Bold" w:eastAsia="Arial Bold" w:hAnsi="Arial Bold" w:cs="Arial Bold"/>
          <w:b/>
          <w:color w:val="000000"/>
          <w:sz w:val="24"/>
          <w:szCs w:val="24"/>
        </w:rPr>
        <w:lastRenderedPageBreak/>
        <w:t>Broadly Comparable Scheme</w:t>
      </w:r>
    </w:p>
    <w:p w14:paraId="0D0C885F" w14:textId="77777777" w:rsidR="00F35F39" w:rsidRDefault="0076537D">
      <w:pPr>
        <w:pStyle w:val="Heading4"/>
        <w:ind w:left="720" w:hanging="720"/>
        <w:rPr>
          <w:rFonts w:ascii="Arial" w:eastAsia="Arial" w:hAnsi="Arial"/>
          <w:sz w:val="24"/>
          <w:szCs w:val="24"/>
        </w:rPr>
      </w:pPr>
      <w:r>
        <w:rPr>
          <w:rFonts w:ascii="Arial" w:eastAsia="Arial" w:hAnsi="Arial"/>
          <w:sz w:val="24"/>
          <w:szCs w:val="24"/>
        </w:rPr>
        <w:t>3.1</w:t>
      </w:r>
      <w:r>
        <w:rPr>
          <w:rFonts w:ascii="Arial" w:eastAsia="Arial" w:hAnsi="Arial"/>
          <w:sz w:val="24"/>
          <w:szCs w:val="24"/>
        </w:rPr>
        <w:tab/>
        <w:t xml:space="preserve">If the Supplier and/or any of its Subcontractors is unable to obtain an LGPS Admission Agreement in accordance with paragraph 2.1 because the Administering Buyer will not allow it to participate in the Fund,  the Supplier shall (and procure that its Subcontractors shall), with effect from the Relevant Transfer Date, offer the LGPS Fair Deal Employees membership of a pension scheme which is Broadly Comparable to LGPS on the Relevant Transfer Date in accordance with the provisions of paragraph 10 of Part D. </w:t>
      </w:r>
    </w:p>
    <w:p w14:paraId="34D84BDA" w14:textId="77777777" w:rsidR="00F35F39" w:rsidRDefault="0076537D">
      <w:pPr>
        <w:pStyle w:val="Heading4"/>
        <w:ind w:left="720" w:hanging="720"/>
        <w:rPr>
          <w:rFonts w:ascii="Arial" w:eastAsia="Arial" w:hAnsi="Arial"/>
          <w:sz w:val="24"/>
          <w:szCs w:val="24"/>
        </w:rPr>
      </w:pPr>
      <w:r>
        <w:rPr>
          <w:rFonts w:ascii="Arial" w:eastAsia="Arial" w:hAnsi="Arial"/>
          <w:sz w:val="24"/>
          <w:szCs w:val="24"/>
        </w:rPr>
        <w:t>3.2</w:t>
      </w:r>
      <w:r>
        <w:rPr>
          <w:rFonts w:ascii="Arial" w:eastAsia="Arial" w:hAnsi="Arial"/>
          <w:sz w:val="24"/>
          <w:szCs w:val="24"/>
        </w:rPr>
        <w:tab/>
        <w:t>If the Supplier and/or any of its Subcontractors becomes an LGPS Admission Body in accordance with paragraph 2.1 but the LGPS Admission Agreement is terminated during the term of the relevant Contract for any reason at a time when the Supplier or Subcontractors still employs any LGPS Eligible Employees, the Supplier shall (and procure that its Subcontractors shall) at no extra cost to the Buyer, offer the remaining LGPS Eligible Employees membership of a pension scheme which is Broadly Comparable to the LGPS on the date the LGPS Eligible Employees ceased to participate in the LGPS in accordance with the provisions of paragraph 11 of Part D.</w:t>
      </w:r>
    </w:p>
    <w:p w14:paraId="68E2AB88" w14:textId="77777777" w:rsidR="00F35F39" w:rsidRDefault="0076537D">
      <w:pPr>
        <w:keepNext/>
        <w:numPr>
          <w:ilvl w:val="0"/>
          <w:numId w:val="10"/>
        </w:numPr>
        <w:pBdr>
          <w:top w:val="nil"/>
          <w:left w:val="nil"/>
          <w:bottom w:val="nil"/>
          <w:right w:val="nil"/>
          <w:between w:val="nil"/>
        </w:pBdr>
        <w:spacing w:before="120"/>
        <w:ind w:left="357" w:hanging="357"/>
        <w:rPr>
          <w:rFonts w:ascii="Arial Bold" w:eastAsia="Arial Bold" w:hAnsi="Arial Bold" w:cs="Arial Bold"/>
          <w:b/>
          <w:color w:val="000000"/>
          <w:sz w:val="24"/>
          <w:szCs w:val="24"/>
        </w:rPr>
      </w:pPr>
      <w:bookmarkStart w:id="61" w:name="_heading=h.3cqmetx" w:colFirst="0" w:colLast="0"/>
      <w:bookmarkEnd w:id="61"/>
      <w:r>
        <w:rPr>
          <w:rFonts w:ascii="Arial Bold" w:eastAsia="Arial Bold" w:hAnsi="Arial Bold" w:cs="Arial Bold"/>
          <w:b/>
          <w:color w:val="000000"/>
          <w:sz w:val="24"/>
          <w:szCs w:val="24"/>
        </w:rPr>
        <w:t>Discretionary Benefits</w:t>
      </w:r>
    </w:p>
    <w:p w14:paraId="5ADB693B" w14:textId="77777777" w:rsidR="00F35F39" w:rsidRDefault="0076537D">
      <w:pPr>
        <w:pStyle w:val="Heading3"/>
        <w:ind w:left="720" w:hanging="10"/>
        <w:rPr>
          <w:rFonts w:ascii="Arial" w:eastAsia="Arial" w:hAnsi="Arial"/>
          <w:sz w:val="24"/>
          <w:szCs w:val="24"/>
        </w:rPr>
      </w:pPr>
      <w:r>
        <w:rPr>
          <w:rFonts w:ascii="Arial" w:eastAsia="Arial" w:hAnsi="Arial"/>
          <w:sz w:val="24"/>
          <w:szCs w:val="24"/>
        </w:rPr>
        <w:t>Where the Supplier and/or any of its Subcontractors is an LGPS Admission Body, the Supplier shall (and procure that its Subcontractors shall) comply with its obligations under regulation 60 of the 2013 Regulations in relation to the preparation of a discretionary policy statement.</w:t>
      </w:r>
    </w:p>
    <w:p w14:paraId="2E60DAB2" w14:textId="77777777" w:rsidR="00F35F39" w:rsidRDefault="0076537D">
      <w:pPr>
        <w:rPr>
          <w:rFonts w:ascii="Arial" w:eastAsia="Arial" w:hAnsi="Arial"/>
          <w:sz w:val="24"/>
          <w:szCs w:val="24"/>
        </w:rPr>
      </w:pPr>
      <w:r>
        <w:rPr>
          <w:rFonts w:ascii="Arial" w:eastAsia="Arial" w:hAnsi="Arial"/>
          <w:sz w:val="24"/>
          <w:szCs w:val="24"/>
        </w:rPr>
        <w:t xml:space="preserve"> </w:t>
      </w:r>
    </w:p>
    <w:p w14:paraId="54B2A578" w14:textId="77777777" w:rsidR="00F35F39" w:rsidRDefault="0076537D">
      <w:pPr>
        <w:keepNext/>
        <w:numPr>
          <w:ilvl w:val="0"/>
          <w:numId w:val="10"/>
        </w:numPr>
        <w:pBdr>
          <w:top w:val="nil"/>
          <w:left w:val="nil"/>
          <w:bottom w:val="nil"/>
          <w:right w:val="nil"/>
          <w:between w:val="nil"/>
        </w:pBdr>
        <w:spacing w:before="120"/>
        <w:ind w:left="357" w:hanging="357"/>
        <w:rPr>
          <w:rFonts w:ascii="Arial Bold" w:eastAsia="Arial Bold" w:hAnsi="Arial Bold" w:cs="Arial Bold"/>
          <w:b/>
          <w:color w:val="000000"/>
          <w:sz w:val="24"/>
          <w:szCs w:val="24"/>
        </w:rPr>
      </w:pPr>
      <w:r>
        <w:rPr>
          <w:rFonts w:ascii="Arial Bold" w:eastAsia="Arial Bold" w:hAnsi="Arial Bold" w:cs="Arial Bold"/>
          <w:b/>
          <w:color w:val="000000"/>
          <w:sz w:val="24"/>
          <w:szCs w:val="24"/>
        </w:rPr>
        <w:t>LGPS RISK SHARING</w:t>
      </w:r>
      <w:r>
        <w:rPr>
          <w:rFonts w:ascii="Arial Bold" w:eastAsia="Arial Bold" w:hAnsi="Arial Bold" w:cs="Arial Bold"/>
          <w:b/>
          <w:color w:val="000000"/>
          <w:sz w:val="16"/>
          <w:szCs w:val="16"/>
          <w:vertAlign w:val="superscript"/>
        </w:rPr>
        <w:footnoteReference w:id="8"/>
      </w:r>
    </w:p>
    <w:p w14:paraId="6482DF62" w14:textId="77777777" w:rsidR="00F35F39" w:rsidRDefault="0076537D">
      <w:pPr>
        <w:numPr>
          <w:ilvl w:val="1"/>
          <w:numId w:val="10"/>
        </w:numPr>
        <w:pBdr>
          <w:top w:val="nil"/>
          <w:left w:val="nil"/>
          <w:bottom w:val="nil"/>
          <w:right w:val="nil"/>
          <w:between w:val="nil"/>
        </w:pBdr>
        <w:tabs>
          <w:tab w:val="left" w:pos="993"/>
        </w:tabs>
        <w:spacing w:before="120" w:after="120"/>
        <w:rPr>
          <w:rFonts w:ascii="Arial Bold" w:eastAsia="Arial Bold" w:hAnsi="Arial Bold" w:cs="Arial Bold"/>
          <w:color w:val="000000"/>
          <w:sz w:val="24"/>
          <w:szCs w:val="24"/>
        </w:rPr>
      </w:pPr>
      <w:r>
        <w:rPr>
          <w:rFonts w:ascii="Arial" w:eastAsia="Arial" w:hAnsi="Arial"/>
          <w:color w:val="000000"/>
          <w:sz w:val="24"/>
          <w:szCs w:val="24"/>
        </w:rPr>
        <w:t>Subject to paragraphs 5.4 to 5.10, if at any time during the term of the relevant Contract the Administering Buyer, pursuant to the LGPS Admission Agreement or the LGPS Regulations, requires the Supplier or any Subcontractor to pay employer contributions or other payments to the Fund in aggregate in excess of the Initial Contribution Rate, the excess of employer contributions above the Initial Contribution Rate for a Contract Year (the “Excess Amount”) shall be paid by the Supplier or the Subcontractor, as the case may be, and the Supplier shall be reimbursed by the Buyer.</w:t>
      </w:r>
    </w:p>
    <w:p w14:paraId="0BC096EF" w14:textId="77777777" w:rsidR="00F35F39" w:rsidRDefault="0076537D">
      <w:pPr>
        <w:numPr>
          <w:ilvl w:val="1"/>
          <w:numId w:val="10"/>
        </w:numPr>
        <w:pBdr>
          <w:top w:val="nil"/>
          <w:left w:val="nil"/>
          <w:bottom w:val="nil"/>
          <w:right w:val="nil"/>
          <w:between w:val="nil"/>
        </w:pBdr>
        <w:tabs>
          <w:tab w:val="left" w:pos="993"/>
        </w:tabs>
        <w:spacing w:before="120" w:after="120"/>
        <w:rPr>
          <w:rFonts w:ascii="Arial Bold" w:eastAsia="Arial Bold" w:hAnsi="Arial Bold" w:cs="Arial Bold"/>
          <w:color w:val="000000"/>
          <w:sz w:val="24"/>
          <w:szCs w:val="24"/>
        </w:rPr>
      </w:pPr>
      <w:r>
        <w:rPr>
          <w:rFonts w:ascii="Arial" w:eastAsia="Arial" w:hAnsi="Arial"/>
          <w:color w:val="000000"/>
          <w:sz w:val="24"/>
          <w:szCs w:val="24"/>
        </w:rPr>
        <w:t xml:space="preserve">Subject to paragraphs 5.4 to 5.9 and 5.11, if at any time during the term of the relevant Contract, the Administering Buyer, pursuant to the LGPS Admission Agreement or the LGPS Regulations, requires the Supplier or any Subcontractor to pay employer contributions or payments to the Fund in aggregate below the Initial Contribution Rate for a Contract Year, the Supplier shall reimburse the Buyer an amount equal to A–B (the “Refund  Amount”) where: </w:t>
      </w:r>
    </w:p>
    <w:p w14:paraId="766B0A9D" w14:textId="77777777" w:rsidR="00F35F39" w:rsidRDefault="0076537D">
      <w:pPr>
        <w:pStyle w:val="Heading3"/>
        <w:ind w:left="1440" w:hanging="731"/>
        <w:rPr>
          <w:rFonts w:ascii="Arial" w:eastAsia="Arial" w:hAnsi="Arial"/>
          <w:sz w:val="24"/>
          <w:szCs w:val="24"/>
        </w:rPr>
      </w:pPr>
      <w:r>
        <w:rPr>
          <w:rFonts w:ascii="Arial" w:eastAsia="Arial" w:hAnsi="Arial"/>
          <w:sz w:val="24"/>
          <w:szCs w:val="24"/>
        </w:rPr>
        <w:lastRenderedPageBreak/>
        <w:t>A =</w:t>
      </w:r>
      <w:r>
        <w:rPr>
          <w:rFonts w:ascii="Arial" w:eastAsia="Arial" w:hAnsi="Arial"/>
          <w:sz w:val="24"/>
          <w:szCs w:val="24"/>
        </w:rPr>
        <w:tab/>
        <w:t>the amount which would have been paid if contributions and payments had been paid equal to the Initial Contribution Rate for that Contract Year; and</w:t>
      </w:r>
    </w:p>
    <w:p w14:paraId="0383274B" w14:textId="77777777" w:rsidR="00F35F39" w:rsidRDefault="0076537D">
      <w:pPr>
        <w:pStyle w:val="Heading3"/>
        <w:ind w:left="1440" w:hanging="731"/>
        <w:rPr>
          <w:rFonts w:ascii="Arial" w:eastAsia="Arial" w:hAnsi="Arial"/>
          <w:sz w:val="24"/>
          <w:szCs w:val="24"/>
        </w:rPr>
      </w:pPr>
      <w:r>
        <w:rPr>
          <w:rFonts w:ascii="Arial" w:eastAsia="Arial" w:hAnsi="Arial"/>
          <w:sz w:val="24"/>
          <w:szCs w:val="24"/>
        </w:rPr>
        <w:t>B =</w:t>
      </w:r>
      <w:r>
        <w:rPr>
          <w:rFonts w:ascii="Arial" w:eastAsia="Arial" w:hAnsi="Arial"/>
          <w:sz w:val="24"/>
          <w:szCs w:val="24"/>
        </w:rPr>
        <w:tab/>
        <w:t>the amount of contributions or payments actually paid by the Supplier or Subcontractor for that Contract Year, as the case may be, to the Fund.</w:t>
      </w:r>
    </w:p>
    <w:p w14:paraId="59871E45" w14:textId="77777777" w:rsidR="00F35F39" w:rsidRDefault="0076537D">
      <w:pPr>
        <w:numPr>
          <w:ilvl w:val="1"/>
          <w:numId w:val="10"/>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Subject to paragraphs 5.4 to 5.10, where the Administering Buyer obtains an actuarial valuation and a revised rates and adjustment certificate under the LGPS Regulations and/or the terms of the LGPS Admission Agreement when the LGPS Admission Agreement ceases to have effect and the Supplier or any Subcontractor is required to pay any exit payment under Regulation 64(2) of the 2013 Regulations (the “</w:t>
      </w:r>
      <w:r>
        <w:rPr>
          <w:rFonts w:ascii="Arial" w:eastAsia="Arial" w:hAnsi="Arial"/>
          <w:b/>
          <w:color w:val="000000"/>
          <w:sz w:val="24"/>
          <w:szCs w:val="24"/>
        </w:rPr>
        <w:t>Exit Payment</w:t>
      </w:r>
      <w:r>
        <w:rPr>
          <w:rFonts w:ascii="Arial" w:eastAsia="Arial" w:hAnsi="Arial"/>
          <w:color w:val="000000"/>
          <w:sz w:val="24"/>
          <w:szCs w:val="24"/>
        </w:rPr>
        <w:t>”), such Exit Payment shall be paid by the Supplier or any Subcontractor (as the case may be) and the Supplier shall be reimbursed by the Buyer.</w:t>
      </w:r>
    </w:p>
    <w:p w14:paraId="2FA1157C" w14:textId="77777777" w:rsidR="00F35F39" w:rsidRDefault="0076537D">
      <w:pPr>
        <w:numPr>
          <w:ilvl w:val="1"/>
          <w:numId w:val="10"/>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and any Subcontractors shall at all times be responsible for the following costs:</w:t>
      </w:r>
    </w:p>
    <w:p w14:paraId="51C1F669" w14:textId="77777777" w:rsidR="00F35F39" w:rsidRDefault="0076537D">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employer contributions relating to the costs of early retirement benefits arising on redundancy or as a result of business efficiency under Regulation 30(7) of the 2013 Regulations or otherwise;</w:t>
      </w:r>
    </w:p>
    <w:p w14:paraId="1916F51C" w14:textId="77777777" w:rsidR="00F35F39" w:rsidRDefault="0076537D">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payment of Fund benefits to active members on the grounds of ill health or infirmity of mind or body under Regulation 35 of the 2013 Regulations or otherwise</w:t>
      </w:r>
      <w:r>
        <w:rPr>
          <w:rFonts w:eastAsia="Calibri" w:cs="Calibri"/>
          <w:color w:val="000000"/>
          <w:sz w:val="16"/>
          <w:szCs w:val="16"/>
          <w:vertAlign w:val="superscript"/>
        </w:rPr>
        <w:footnoteReference w:id="9"/>
      </w:r>
      <w:r>
        <w:rPr>
          <w:rFonts w:ascii="Arial" w:eastAsia="Arial" w:hAnsi="Arial"/>
          <w:color w:val="000000"/>
          <w:sz w:val="24"/>
          <w:szCs w:val="24"/>
        </w:rPr>
        <w:t>;</w:t>
      </w:r>
    </w:p>
    <w:p w14:paraId="20C5FA48" w14:textId="77777777" w:rsidR="00F35F39" w:rsidRDefault="0076537D">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payment of Fund benefits to deferred or deferred pensioner members on the grounds of ill health or infirmity of mind or body under Regulation 38 of the 2013 Regulations or otherwise;</w:t>
      </w:r>
    </w:p>
    <w:p w14:paraId="661F5E17" w14:textId="77777777" w:rsidR="00F35F39" w:rsidRDefault="0076537D">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employer contributions relating to the costs of early or flexible retirement where the actuarial reduction is waived in whole or in part or a cost neutral reduction is not applied with the consent of the Supplier or any relevant Subcontractor including without limitation any decision made under Regulation 30(8) of the 2013 Regulations or Schedule 2 of The Local Government Pension Scheme (Transitional Provisions, Savings and Amendment) Regulations 2014;</w:t>
      </w:r>
    </w:p>
    <w:p w14:paraId="5C699290" w14:textId="77777777" w:rsidR="00F35F39" w:rsidRDefault="0076537D">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employer contributions relating to the costs of enhanced benefits made at the discretion of the Supplier or any relevant Subcontractors including without limitation additional pension awarded under Regulation 31 of the 2013 Regulations or otherwise;</w:t>
      </w:r>
    </w:p>
    <w:p w14:paraId="592881F7" w14:textId="77777777" w:rsidR="00F35F39" w:rsidRDefault="0076537D">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any increase to the employer contribution rate resulting from the award of pay increases by the Supplier or relevant Subcontractors in respect of all or any of the LGPS Eligible </w:t>
      </w:r>
      <w:r>
        <w:rPr>
          <w:rFonts w:ascii="Arial" w:eastAsia="Arial" w:hAnsi="Arial"/>
          <w:color w:val="000000"/>
          <w:sz w:val="24"/>
          <w:szCs w:val="24"/>
        </w:rPr>
        <w:lastRenderedPageBreak/>
        <w:t>Employees in excess of the pay increases assumed in the Fund's most recent actuarial valuation (unless the Supplier and/or any Subcontractor is contractually bound to provide such increases on the Relevant Transfer Date);</w:t>
      </w:r>
    </w:p>
    <w:p w14:paraId="020ED0E7" w14:textId="77777777" w:rsidR="00F35F39" w:rsidRDefault="0076537D">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to the extent not covered above, any other costs arising out of or in connection with the exercise of any discretion or the grant of any consent under the LGPS Regulations by the Supplier or any relevant Subcontractors where a member does not have an absolute entitlement to that benefit under the LGPS; </w:t>
      </w:r>
    </w:p>
    <w:p w14:paraId="0D70DE2D" w14:textId="77777777" w:rsidR="00F35F39" w:rsidRDefault="0076537D">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any cost of the administration of the Fund that are not met through the Supplier's or Subcontractor’s employer contribution rate, including without limitation an amount specified in a notice given by the Administering Buyer under Regulation 70 of the 2013 Regulations; </w:t>
      </w:r>
    </w:p>
    <w:p w14:paraId="3E0816ED" w14:textId="77777777" w:rsidR="00F35F39" w:rsidRDefault="0076537D">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costs of any reports and advice requested by or arising  from an instruction given by the Supplier or a Subcontractor from the Fund Actuary; and/or</w:t>
      </w:r>
    </w:p>
    <w:p w14:paraId="576463E1" w14:textId="77777777" w:rsidR="00F35F39" w:rsidRDefault="0076537D">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interest payable under the 2013 Regulations or LGPS Administration Agreement.</w:t>
      </w:r>
    </w:p>
    <w:p w14:paraId="41588A27" w14:textId="77777777" w:rsidR="00F35F39" w:rsidRDefault="0076537D">
      <w:pPr>
        <w:numPr>
          <w:ilvl w:val="1"/>
          <w:numId w:val="10"/>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For the purposes of calculating any Exit Payment, Excess Amount or Refund Amount, any part of such an amount which is attributable to any costs which the Supplier or Subcontractors are responsible for in accordance with paragraph 5.4 above shall be disregarded and excluded from the calculation. In the event of any dispute as to level of any cost that should be excluded from the calculation, the opinion of the Fund Actuary shall be final and binding.</w:t>
      </w:r>
    </w:p>
    <w:p w14:paraId="7CB8C4B8" w14:textId="77777777" w:rsidR="00F35F39" w:rsidRDefault="0076537D">
      <w:pPr>
        <w:numPr>
          <w:ilvl w:val="1"/>
          <w:numId w:val="10"/>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Where the Administering Buyer obtains an actuarial valuation and a revised rates and adjustment certificate under the LGPS Regulations and/or the terms of the LGPS Admission Agreement when the LGPS Admission Agreement ceases to have effect and the Supplier or any Subcontractor receives payment of an exit credit payment under Regulation 64(2) of the 2013 Regulations (the “</w:t>
      </w:r>
      <w:r>
        <w:rPr>
          <w:rFonts w:ascii="Arial" w:eastAsia="Arial" w:hAnsi="Arial"/>
          <w:b/>
          <w:color w:val="000000"/>
          <w:sz w:val="24"/>
          <w:szCs w:val="24"/>
        </w:rPr>
        <w:t>Exit Credit</w:t>
      </w:r>
      <w:r>
        <w:rPr>
          <w:rFonts w:ascii="Arial" w:eastAsia="Arial" w:hAnsi="Arial"/>
          <w:color w:val="000000"/>
          <w:sz w:val="24"/>
          <w:szCs w:val="24"/>
        </w:rPr>
        <w:t xml:space="preserve">”), the Supplier shall (or procure that any Subcontractor shall) reimburse the Buyer an amount equal to the Exit Credit within twenty (20) Working Days of receipt of the Exit Credit. </w:t>
      </w:r>
    </w:p>
    <w:p w14:paraId="575FBCC8" w14:textId="77777777" w:rsidR="00F35F39" w:rsidRDefault="0076537D">
      <w:pPr>
        <w:numPr>
          <w:ilvl w:val="1"/>
          <w:numId w:val="10"/>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shall (or procure that the Subcontractor shall) notify the Buyer in writing within twenty (20) Working Days:</w:t>
      </w:r>
    </w:p>
    <w:p w14:paraId="0EDA1AE7" w14:textId="77777777" w:rsidR="00F35F39" w:rsidRDefault="0076537D">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of the end of each Contract Year of any Excess Amount or Refund Amount due  in respect of the Contract Year that has just ended and provide a reasonable summary of how the Excess Amount or Refund Amount was calculated; and</w:t>
      </w:r>
    </w:p>
    <w:p w14:paraId="6046C604" w14:textId="77777777" w:rsidR="00F35F39" w:rsidRDefault="0076537D">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of being informed by the Administering Buyer  of any Exit Payment or Exit Credit that is determined by as being due from or to the Supplier or a Subcontractor and provide a copy of any revised rates and adjustments certificate detailing the Exit Payment or Exit Credit and its calculation.</w:t>
      </w:r>
    </w:p>
    <w:p w14:paraId="162766D7" w14:textId="77777777" w:rsidR="00F35F39" w:rsidRDefault="0076537D">
      <w:pPr>
        <w:numPr>
          <w:ilvl w:val="1"/>
          <w:numId w:val="10"/>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lastRenderedPageBreak/>
        <w:t>Within twenty (20) Working Days of receiving the notification under paragraph 5.7  above, the Buyer shall either:</w:t>
      </w:r>
    </w:p>
    <w:p w14:paraId="00A1025A" w14:textId="77777777" w:rsidR="00F35F39" w:rsidRDefault="0076537D">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notify the Supplier in writing of its acceptance of the Excess Amount, Refund Amount or Exit Payment;</w:t>
      </w:r>
    </w:p>
    <w:p w14:paraId="3BE3EBAC" w14:textId="77777777" w:rsidR="00F35F39" w:rsidRDefault="0076537D">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request further information or evidence about the Excess Amount, Refund Amount or Exit Payment from the Supplier; and/or</w:t>
      </w:r>
    </w:p>
    <w:p w14:paraId="31D4E912" w14:textId="77777777" w:rsidR="00F35F39" w:rsidRDefault="0076537D">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request a meeting with the Supplier to discuss or clarify the information or evidence provided.</w:t>
      </w:r>
    </w:p>
    <w:p w14:paraId="4FFE36B3" w14:textId="77777777" w:rsidR="00F35F39" w:rsidRDefault="0076537D">
      <w:pPr>
        <w:numPr>
          <w:ilvl w:val="1"/>
          <w:numId w:val="10"/>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Where the Excess Amount, Refund Amount or Exit Payment is agreed following the receipt of further information or evidence or following a meeting in accordance with paragraph 5.8 above, the Buyer shall notify the Supplier in writing.  In the event that the Supplier and the Buyer are unable to agree the amount of the Excess Amount, Refund Amount or Exit Payment then they shall follow the Dispute Resolution Procedure. </w:t>
      </w:r>
    </w:p>
    <w:p w14:paraId="66853EBA" w14:textId="77777777" w:rsidR="00F35F39" w:rsidRDefault="0076537D">
      <w:pPr>
        <w:numPr>
          <w:ilvl w:val="1"/>
          <w:numId w:val="10"/>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Any Excess Amount or Exit Payment agreed by the Buyer or in accordance with the Dispute Resolution Procedure shall be paid by the Buyer within timescales as agreed between Buyer and Supplier. The amount to be paid by the Buyer shall be an amount equal to the Excess Amount or Exit Payment less an amount equal to any corporation tax relief which has been claimed in respect of the Excess Amount or Exit Payment by the Supplier or a Subcontractor. </w:t>
      </w:r>
    </w:p>
    <w:p w14:paraId="20C44D46" w14:textId="77777777" w:rsidR="00F35F39" w:rsidRDefault="0076537D">
      <w:pPr>
        <w:numPr>
          <w:ilvl w:val="1"/>
          <w:numId w:val="10"/>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Any Refund Amount agreed by the Buyer or in accordance with the Dispute Resolution Procedure as payable by the Supplier or any Subcontractor to the Buyer, shall be paid by the Supplier or any Subcontractor forthwith as the liability has been agreed. In the event the Supplier or any Subcontractor fails to pay any agreed Refund Amount, the Buyer shall demand in writing the immediate payment of the agreed Refund Amount by the Supplier and the Supplier shall make payment within seven (7) Working Days of such demand.</w:t>
      </w:r>
    </w:p>
    <w:p w14:paraId="25D538E5" w14:textId="77777777" w:rsidR="00F35F39" w:rsidRDefault="0076537D">
      <w:pPr>
        <w:numPr>
          <w:ilvl w:val="1"/>
          <w:numId w:val="10"/>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This paragraph 5 shall survive termination of the relevant Contract. </w:t>
      </w:r>
    </w:p>
    <w:p w14:paraId="7FF46116" w14:textId="77777777" w:rsidR="00F35F39" w:rsidRDefault="00F35F39">
      <w:pPr>
        <w:keepNext/>
        <w:pBdr>
          <w:top w:val="nil"/>
          <w:left w:val="nil"/>
          <w:bottom w:val="nil"/>
          <w:right w:val="nil"/>
          <w:between w:val="nil"/>
        </w:pBdr>
        <w:spacing w:before="120"/>
        <w:ind w:left="720" w:hanging="720"/>
        <w:rPr>
          <w:rFonts w:ascii="Arial Bold" w:eastAsia="Arial Bold" w:hAnsi="Arial Bold" w:cs="Arial Bold"/>
          <w:b/>
          <w:color w:val="000000"/>
          <w:sz w:val="24"/>
          <w:szCs w:val="24"/>
        </w:rPr>
      </w:pPr>
    </w:p>
    <w:p w14:paraId="5D3D7629" w14:textId="77777777" w:rsidR="00F35F39" w:rsidRDefault="0076537D">
      <w:pPr>
        <w:spacing w:after="120"/>
        <w:rPr>
          <w:rFonts w:ascii="Arial Bold" w:eastAsia="Arial Bold" w:hAnsi="Arial Bold" w:cs="Arial Bold"/>
          <w:b/>
          <w:sz w:val="36"/>
          <w:szCs w:val="36"/>
        </w:rPr>
      </w:pPr>
      <w:bookmarkStart w:id="62" w:name="_heading=h.1rvwp1q" w:colFirst="0" w:colLast="0"/>
      <w:bookmarkEnd w:id="62"/>
      <w:r>
        <w:br w:type="page"/>
      </w:r>
      <w:r>
        <w:rPr>
          <w:rFonts w:ascii="Arial Bold" w:eastAsia="Arial Bold" w:hAnsi="Arial Bold" w:cs="Arial Bold"/>
          <w:b/>
          <w:sz w:val="36"/>
          <w:szCs w:val="36"/>
        </w:rPr>
        <w:lastRenderedPageBreak/>
        <w:t>Annex D4: Other Schemes</w:t>
      </w:r>
    </w:p>
    <w:p w14:paraId="19EAF5C3" w14:textId="77777777" w:rsidR="00F35F39" w:rsidRDefault="0076537D">
      <w:pPr>
        <w:rPr>
          <w:rFonts w:ascii="Arial" w:eastAsia="Arial" w:hAnsi="Arial"/>
          <w:b/>
          <w:sz w:val="24"/>
          <w:szCs w:val="24"/>
        </w:rPr>
      </w:pPr>
      <w:r>
        <w:rPr>
          <w:rFonts w:ascii="Arial" w:eastAsia="Arial" w:hAnsi="Arial"/>
          <w:b/>
          <w:sz w:val="24"/>
          <w:szCs w:val="24"/>
          <w:highlight w:val="yellow"/>
        </w:rPr>
        <w:t xml:space="preserve"> [Guidance:</w:t>
      </w:r>
      <w:r>
        <w:rPr>
          <w:rFonts w:ascii="Arial" w:eastAsia="Arial" w:hAnsi="Arial"/>
          <w:sz w:val="24"/>
          <w:szCs w:val="24"/>
          <w:highlight w:val="yellow"/>
        </w:rPr>
        <w:t xml:space="preserve"> </w:t>
      </w:r>
      <w:r>
        <w:rPr>
          <w:rFonts w:ascii="Arial" w:eastAsia="Arial" w:hAnsi="Arial"/>
          <w:sz w:val="24"/>
          <w:szCs w:val="24"/>
        </w:rPr>
        <w:t>Placeholder for Pension Schemes other than LGPS, CSPS &amp; NHSPS]</w:t>
      </w:r>
    </w:p>
    <w:p w14:paraId="65E2FEC6" w14:textId="77777777" w:rsidR="00F35F39" w:rsidRDefault="0076537D">
      <w:pPr>
        <w:pBdr>
          <w:top w:val="nil"/>
          <w:left w:val="nil"/>
          <w:bottom w:val="nil"/>
          <w:right w:val="nil"/>
          <w:between w:val="nil"/>
        </w:pBdr>
        <w:spacing w:before="120" w:after="120"/>
        <w:rPr>
          <w:rFonts w:ascii="Arial Bold" w:eastAsia="Arial Bold" w:hAnsi="Arial Bold" w:cs="Arial Bold"/>
          <w:b/>
          <w:color w:val="000000"/>
          <w:sz w:val="36"/>
          <w:szCs w:val="36"/>
        </w:rPr>
      </w:pPr>
      <w:r>
        <w:br w:type="page"/>
      </w:r>
      <w:r>
        <w:rPr>
          <w:rFonts w:ascii="Arial Bold" w:eastAsia="Arial Bold" w:hAnsi="Arial Bold" w:cs="Arial Bold"/>
          <w:b/>
          <w:color w:val="000000"/>
          <w:sz w:val="36"/>
          <w:szCs w:val="36"/>
        </w:rPr>
        <w:lastRenderedPageBreak/>
        <w:t xml:space="preserve">Part E: Staff Transfer on Exit </w:t>
      </w:r>
    </w:p>
    <w:p w14:paraId="5054CFF7" w14:textId="77777777" w:rsidR="00F35F39" w:rsidRDefault="0076537D">
      <w:pPr>
        <w:keepNext/>
        <w:numPr>
          <w:ilvl w:val="0"/>
          <w:numId w:val="12"/>
        </w:numPr>
        <w:pBdr>
          <w:top w:val="nil"/>
          <w:left w:val="nil"/>
          <w:bottom w:val="nil"/>
          <w:right w:val="nil"/>
          <w:between w:val="nil"/>
        </w:pBdr>
        <w:spacing w:before="120"/>
        <w:ind w:left="357" w:hanging="357"/>
        <w:rPr>
          <w:rFonts w:ascii="Arial" w:eastAsia="Arial" w:hAnsi="Arial"/>
          <w:b/>
          <w:smallCaps/>
          <w:color w:val="000000"/>
          <w:sz w:val="24"/>
          <w:szCs w:val="24"/>
        </w:rPr>
      </w:pPr>
      <w:r>
        <w:rPr>
          <w:rFonts w:ascii="Arial Bold" w:eastAsia="Arial Bold" w:hAnsi="Arial Bold" w:cs="Arial Bold"/>
          <w:b/>
          <w:color w:val="000000"/>
          <w:sz w:val="24"/>
          <w:szCs w:val="24"/>
        </w:rPr>
        <w:t>Obligations before a Staff Transfer</w:t>
      </w:r>
    </w:p>
    <w:p w14:paraId="60BB0EFF" w14:textId="77777777" w:rsidR="00F35F39" w:rsidRDefault="0076537D">
      <w:pPr>
        <w:keepNext/>
        <w:numPr>
          <w:ilvl w:val="1"/>
          <w:numId w:val="12"/>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63" w:name="_heading=h.4bvk7pj" w:colFirst="0" w:colLast="0"/>
      <w:bookmarkEnd w:id="63"/>
      <w:r>
        <w:rPr>
          <w:rFonts w:ascii="Arial" w:eastAsia="Arial" w:hAnsi="Arial"/>
          <w:color w:val="000000"/>
          <w:sz w:val="24"/>
          <w:szCs w:val="24"/>
        </w:rPr>
        <w:t>The Supplier agrees that within 20 Working Days of the earliest of:</w:t>
      </w:r>
    </w:p>
    <w:p w14:paraId="033B256E" w14:textId="77777777" w:rsidR="00F35F39" w:rsidRDefault="0076537D">
      <w:pPr>
        <w:numPr>
          <w:ilvl w:val="2"/>
          <w:numId w:val="12"/>
        </w:numPr>
        <w:pBdr>
          <w:top w:val="nil"/>
          <w:left w:val="nil"/>
          <w:bottom w:val="nil"/>
          <w:right w:val="nil"/>
          <w:between w:val="nil"/>
        </w:pBdr>
        <w:spacing w:before="120" w:after="120"/>
        <w:rPr>
          <w:rFonts w:ascii="Arial" w:eastAsia="Arial" w:hAnsi="Arial"/>
          <w:color w:val="000000"/>
          <w:sz w:val="24"/>
          <w:szCs w:val="24"/>
        </w:rPr>
      </w:pPr>
      <w:bookmarkStart w:id="64" w:name="_heading=h.2r0uhxc" w:colFirst="0" w:colLast="0"/>
      <w:bookmarkEnd w:id="64"/>
      <w:r>
        <w:rPr>
          <w:rFonts w:ascii="Arial" w:eastAsia="Arial" w:hAnsi="Arial"/>
          <w:color w:val="000000"/>
          <w:sz w:val="24"/>
          <w:szCs w:val="24"/>
        </w:rPr>
        <w:t xml:space="preserve">receipt of a notification from the Buyer of a Service Transfer or intended Service Transfer; </w:t>
      </w:r>
    </w:p>
    <w:p w14:paraId="0F17A9CE" w14:textId="77777777" w:rsidR="00F35F39" w:rsidRDefault="0076537D">
      <w:pPr>
        <w:numPr>
          <w:ilvl w:val="2"/>
          <w:numId w:val="12"/>
        </w:numPr>
        <w:pBdr>
          <w:top w:val="nil"/>
          <w:left w:val="nil"/>
          <w:bottom w:val="nil"/>
          <w:right w:val="nil"/>
          <w:between w:val="nil"/>
        </w:pBdr>
        <w:spacing w:before="120" w:after="120"/>
        <w:rPr>
          <w:rFonts w:ascii="Arial" w:eastAsia="Arial" w:hAnsi="Arial"/>
          <w:color w:val="000000"/>
          <w:sz w:val="24"/>
          <w:szCs w:val="24"/>
        </w:rPr>
      </w:pPr>
      <w:bookmarkStart w:id="65" w:name="_heading=h.1664s55" w:colFirst="0" w:colLast="0"/>
      <w:bookmarkEnd w:id="65"/>
      <w:r>
        <w:rPr>
          <w:rFonts w:ascii="Arial" w:eastAsia="Arial" w:hAnsi="Arial"/>
          <w:color w:val="000000"/>
          <w:sz w:val="24"/>
          <w:szCs w:val="24"/>
        </w:rPr>
        <w:t xml:space="preserve">receipt of the giving of notice of early termination or any Partial Termination of the relevant Contract; </w:t>
      </w:r>
    </w:p>
    <w:p w14:paraId="19DA0A33" w14:textId="77777777" w:rsidR="00F35F39" w:rsidRDefault="0076537D">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date which is 12 Months before the end of the Term; and</w:t>
      </w:r>
    </w:p>
    <w:p w14:paraId="5CC60025" w14:textId="77777777" w:rsidR="00F35F39" w:rsidRDefault="0076537D">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receipt of a written request of the Buyer at any time (provided that the Buyer shall only be entitled to make one such request in any 6 Month period),</w:t>
      </w:r>
    </w:p>
    <w:p w14:paraId="33007F6E" w14:textId="77777777" w:rsidR="00F35F39" w:rsidRDefault="0076537D">
      <w:pPr>
        <w:pBdr>
          <w:top w:val="nil"/>
          <w:left w:val="nil"/>
          <w:bottom w:val="nil"/>
          <w:right w:val="nil"/>
          <w:between w:val="nil"/>
        </w:pBdr>
        <w:ind w:left="992"/>
        <w:rPr>
          <w:rFonts w:ascii="Arial" w:eastAsia="Arial" w:hAnsi="Arial"/>
          <w:color w:val="000000"/>
          <w:sz w:val="24"/>
          <w:szCs w:val="24"/>
        </w:rPr>
      </w:pPr>
      <w:r>
        <w:rPr>
          <w:rFonts w:ascii="Arial" w:eastAsia="Arial" w:hAnsi="Arial"/>
          <w:color w:val="000000"/>
          <w:sz w:val="24"/>
          <w:szCs w:val="24"/>
        </w:rPr>
        <w:t xml:space="preserve">it shall provide in a suitably anonymised format so as to comply with the Data Protection Legislation,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Buyer.  </w:t>
      </w:r>
    </w:p>
    <w:p w14:paraId="35257FB2" w14:textId="77777777" w:rsidR="00F35F39" w:rsidRDefault="0076537D">
      <w:pPr>
        <w:numPr>
          <w:ilvl w:val="1"/>
          <w:numId w:val="12"/>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66" w:name="_heading=h.3q5sasy" w:colFirst="0" w:colLast="0"/>
      <w:bookmarkEnd w:id="66"/>
      <w:r>
        <w:rPr>
          <w:rFonts w:ascii="Arial" w:eastAsia="Arial" w:hAnsi="Arial"/>
          <w:color w:val="000000"/>
          <w:sz w:val="24"/>
          <w:szCs w:val="24"/>
        </w:rPr>
        <w:t>At least 20 Working Days prior to the Service Transfer Date, the Supplier shall provide to the Buyer or at the direction of the Buyer to any Replacement Supplier and/or any Replacement Subcontractor (</w:t>
      </w:r>
      <w:proofErr w:type="spellStart"/>
      <w:r>
        <w:rPr>
          <w:rFonts w:ascii="Arial" w:eastAsia="Arial" w:hAnsi="Arial"/>
          <w:color w:val="000000"/>
          <w:sz w:val="24"/>
          <w:szCs w:val="24"/>
        </w:rPr>
        <w:t>i</w:t>
      </w:r>
      <w:proofErr w:type="spellEnd"/>
      <w:r>
        <w:rPr>
          <w:rFonts w:ascii="Arial" w:eastAsia="Arial" w:hAnsi="Arial"/>
          <w:color w:val="000000"/>
          <w:sz w:val="24"/>
          <w:szCs w:val="24"/>
        </w:rPr>
        <w:t>) the Supplier's Final Supplier Personnel List, which shall identify the basis upon which they are Transferring Supplier Employees and (ii) the Staffing Information in relation to the Supplier’s Final Supplier Personnel List (insofar as such information has not previously been provided).</w:t>
      </w:r>
    </w:p>
    <w:p w14:paraId="7AA0963E" w14:textId="77777777" w:rsidR="00F35F39" w:rsidRDefault="0076537D">
      <w:pPr>
        <w:numPr>
          <w:ilvl w:val="1"/>
          <w:numId w:val="1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The Buyer shall be permitted to use and disclose information provided by the Supplier under Paragraphs 1.1 and 1.2 for the purpose of informing any prospective Replacement Supplier and/or Replacement Subcontractor. </w:t>
      </w:r>
    </w:p>
    <w:p w14:paraId="7DB0CCC5" w14:textId="77777777" w:rsidR="00F35F39" w:rsidRDefault="0076537D">
      <w:pPr>
        <w:numPr>
          <w:ilvl w:val="1"/>
          <w:numId w:val="1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warrants, for the benefit of The Buyer, any Replacement Supplier, and any Replacement Subcontractor that all information provided pursuant to Paragraphs 1.1 and 1.2 shall be true and accurate in all material respects at the time of providing the information.</w:t>
      </w:r>
    </w:p>
    <w:p w14:paraId="02AC9256" w14:textId="77777777" w:rsidR="00F35F39" w:rsidRDefault="0076537D">
      <w:pPr>
        <w:numPr>
          <w:ilvl w:val="1"/>
          <w:numId w:val="1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From the date of the earliest event referred to in Paragraph 1.1.1, 1.1.2 and 1.1.3, the Supplier agrees that it shall not, and agrees to procure that each Subcontractor shall not, assign any person to the provision of the Services who is not listed on the Supplier’s Provisional Supplier Personnel List and shall not without the approval of the Buyer (not to be unreasonably withheld or delayed):</w:t>
      </w:r>
    </w:p>
    <w:p w14:paraId="3176AEF5" w14:textId="77777777" w:rsidR="00F35F39" w:rsidRDefault="0076537D">
      <w:pPr>
        <w:keepNext/>
        <w:pBdr>
          <w:top w:val="nil"/>
          <w:left w:val="nil"/>
          <w:bottom w:val="nil"/>
          <w:right w:val="nil"/>
          <w:between w:val="nil"/>
        </w:pBdr>
        <w:tabs>
          <w:tab w:val="left" w:pos="993"/>
        </w:tabs>
        <w:spacing w:before="120" w:after="120"/>
        <w:ind w:left="720" w:hanging="720"/>
        <w:rPr>
          <w:rFonts w:ascii="Arial" w:eastAsia="Arial" w:hAnsi="Arial"/>
          <w:color w:val="000000"/>
          <w:sz w:val="24"/>
          <w:szCs w:val="24"/>
        </w:rPr>
      </w:pPr>
      <w:r>
        <w:rPr>
          <w:rFonts w:ascii="Arial" w:eastAsia="Arial" w:hAnsi="Arial"/>
          <w:color w:val="000000"/>
          <w:sz w:val="24"/>
          <w:szCs w:val="24"/>
        </w:rPr>
        <w:t>:</w:t>
      </w:r>
    </w:p>
    <w:p w14:paraId="3122ABF2" w14:textId="77777777" w:rsidR="00F35F39" w:rsidRDefault="0076537D">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replace or re-deploy any Supplier Staff listed on the Supplier Provisional Supplier Personnel List other than where any replacement is of equivalent grade, skills, experience and expertise and is employed on the same terms and conditions of employment as the person he/she replaces</w:t>
      </w:r>
    </w:p>
    <w:p w14:paraId="1A2B4393" w14:textId="77777777" w:rsidR="00F35F39" w:rsidRDefault="0076537D">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lastRenderedPageBreak/>
        <w:t xml:space="preserve">make, promise, propose, permit or implement any material changes to the terms and conditions of employment of the Supplier Staff (including pensions and any payments connected with the termination of employment); </w:t>
      </w:r>
    </w:p>
    <w:p w14:paraId="08CC1E05" w14:textId="77777777" w:rsidR="00F35F39" w:rsidRDefault="0076537D">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increase the proportion of working time spent on the Services (or the relevant part of the Services) by any of the Supplier Staff save for fulfilling assignments and projects previously scheduled and agreed;</w:t>
      </w:r>
    </w:p>
    <w:p w14:paraId="19A86176" w14:textId="77777777" w:rsidR="00F35F39" w:rsidRDefault="0076537D">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introduce any new contractual or customary practice concerning the making of any lump sum payment on the termination of employment of any employees listed on the Supplier's Provisional Supplier Personnel List;</w:t>
      </w:r>
    </w:p>
    <w:p w14:paraId="6BAFB5D2" w14:textId="77777777" w:rsidR="00F35F39" w:rsidRDefault="0076537D">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increase or reduce the total number of employees so engaged, or deploy any other person to perform the Services (or the relevant part of the Services);</w:t>
      </w:r>
    </w:p>
    <w:p w14:paraId="4EDF1DD8" w14:textId="77777777" w:rsidR="00F35F39" w:rsidRDefault="0076537D">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terminate or give notice to terminate the employment or contracts of any persons on the Supplier's Provisional Supplier Personnel List save by due disciplinary process;</w:t>
      </w:r>
    </w:p>
    <w:p w14:paraId="6088B851" w14:textId="77777777" w:rsidR="00F35F39" w:rsidRDefault="0076537D">
      <w:pPr>
        <w:pBdr>
          <w:top w:val="nil"/>
          <w:left w:val="nil"/>
          <w:bottom w:val="nil"/>
          <w:right w:val="nil"/>
          <w:between w:val="nil"/>
        </w:pBdr>
        <w:tabs>
          <w:tab w:val="left" w:pos="993"/>
        </w:tabs>
        <w:spacing w:before="120" w:after="120"/>
        <w:ind w:left="720" w:hanging="720"/>
        <w:rPr>
          <w:rFonts w:eastAsia="Calibri" w:cs="Calibri"/>
          <w:color w:val="000000"/>
        </w:rPr>
      </w:pPr>
      <w:r>
        <w:rPr>
          <w:rFonts w:ascii="Arial" w:eastAsia="Arial" w:hAnsi="Arial"/>
          <w:color w:val="000000"/>
          <w:sz w:val="24"/>
          <w:szCs w:val="24"/>
        </w:rPr>
        <w:t>and shall promptly notify, and procure that each Subcontractor shall promptly notify, the Buyer or, at the direction of the Buyer,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7813D4E3" w14:textId="77777777" w:rsidR="00F35F39" w:rsidRDefault="0076537D">
      <w:pPr>
        <w:keepNext/>
        <w:numPr>
          <w:ilvl w:val="1"/>
          <w:numId w:val="1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On or around each anniversary of the Start Date and up to four times during the last 12 Months of the Term, the Buyer may make written requests to the Supplier for information relating to the manner in which the Services are organised.  Within 20 Working Days of receipt of a written request the Supplier shall provide, and shall procure that each Subcontractor shall provide, to the </w:t>
      </w:r>
      <w:proofErr w:type="spellStart"/>
      <w:r>
        <w:rPr>
          <w:rFonts w:ascii="Arial" w:eastAsia="Arial" w:hAnsi="Arial"/>
          <w:color w:val="000000"/>
          <w:sz w:val="24"/>
          <w:szCs w:val="24"/>
        </w:rPr>
        <w:t>Buyersuch</w:t>
      </w:r>
      <w:proofErr w:type="spellEnd"/>
      <w:r>
        <w:rPr>
          <w:rFonts w:ascii="Arial" w:eastAsia="Arial" w:hAnsi="Arial"/>
          <w:color w:val="000000"/>
          <w:sz w:val="24"/>
          <w:szCs w:val="24"/>
        </w:rPr>
        <w:t xml:space="preserve"> information as the Buyer may reasonably require relating to the manner in which the Services are organised, which shall include:</w:t>
      </w:r>
    </w:p>
    <w:p w14:paraId="2BDB0406" w14:textId="77777777" w:rsidR="00F35F39" w:rsidRDefault="0076537D">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numbers of employees engaged in providing the Services;</w:t>
      </w:r>
    </w:p>
    <w:p w14:paraId="0C3621E4" w14:textId="77777777" w:rsidR="00F35F39" w:rsidRDefault="0076537D">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percentage of time spent by each employee engaged in providing the Services;</w:t>
      </w:r>
    </w:p>
    <w:p w14:paraId="13BED4CA" w14:textId="77777777" w:rsidR="00F35F39" w:rsidRDefault="0076537D">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extent to which each employee qualifies for membership of any of the Statutory Schemes or any Broadly Comparable scheme set up pursuant to the provisions of any of the Annexes to Part D (Pensions) (as appropriate); and</w:t>
      </w:r>
    </w:p>
    <w:p w14:paraId="1AF5FC43" w14:textId="77777777" w:rsidR="00F35F39" w:rsidRDefault="0076537D">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 description of the nature of the work undertaken by each employee by location.</w:t>
      </w:r>
    </w:p>
    <w:p w14:paraId="69DB56A0" w14:textId="77777777" w:rsidR="00F35F39" w:rsidRDefault="0076537D">
      <w:pPr>
        <w:keepNext/>
        <w:numPr>
          <w:ilvl w:val="1"/>
          <w:numId w:val="1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The Supplier shall provide, and shall procure that each Subcontractor shall provide, all reasonable cooperation and assistance to the Buyer, any Replacement Supplier and/or any Replacement Subcontractor to ensure the smooth transfer of the Transferring Supplier Employees on the Service Transfer </w:t>
      </w:r>
      <w:r>
        <w:rPr>
          <w:rFonts w:ascii="Arial" w:eastAsia="Arial" w:hAnsi="Arial"/>
          <w:color w:val="000000"/>
          <w:sz w:val="24"/>
          <w:szCs w:val="24"/>
        </w:rPr>
        <w:lastRenderedPageBreak/>
        <w:t xml:space="preserve">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and shall procure that each Subcontractor shall provide, to the Buyer or, at the direction of the Buyer, to any Replacement Supplier and/or any Replacement Subcontractor (as appropriate), in respect of each person on the Supplier's Final Supplier Personnel List who is a Transferring Supplier Employee: </w:t>
      </w:r>
    </w:p>
    <w:p w14:paraId="1E97327C" w14:textId="77777777" w:rsidR="00F35F39" w:rsidRDefault="0076537D">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most recent month's copy pay slip data;</w:t>
      </w:r>
    </w:p>
    <w:p w14:paraId="29788A47" w14:textId="77777777" w:rsidR="00F35F39" w:rsidRDefault="0076537D">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details of cumulative pay for tax and pension purposes;</w:t>
      </w:r>
    </w:p>
    <w:p w14:paraId="105D875C" w14:textId="77777777" w:rsidR="00F35F39" w:rsidRDefault="0076537D">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details of cumulative tax paid;</w:t>
      </w:r>
    </w:p>
    <w:p w14:paraId="6F1E856C" w14:textId="77777777" w:rsidR="00F35F39" w:rsidRDefault="0076537D">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tax code;</w:t>
      </w:r>
    </w:p>
    <w:p w14:paraId="00F17880" w14:textId="77777777" w:rsidR="00F35F39" w:rsidRDefault="0076537D">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details of any voluntary deductions from pay; and</w:t>
      </w:r>
    </w:p>
    <w:p w14:paraId="4AA86824" w14:textId="77777777" w:rsidR="00F35F39" w:rsidRDefault="0076537D">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bank/building society account details for payroll purposes.</w:t>
      </w:r>
    </w:p>
    <w:p w14:paraId="39B01C46" w14:textId="77777777" w:rsidR="00F35F39" w:rsidRDefault="0076537D">
      <w:pPr>
        <w:keepNext/>
        <w:numPr>
          <w:ilvl w:val="0"/>
          <w:numId w:val="12"/>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Staff Transfer when the contract ends</w:t>
      </w:r>
    </w:p>
    <w:p w14:paraId="34397DA6" w14:textId="77777777" w:rsidR="00F35F39" w:rsidRDefault="0076537D">
      <w:pPr>
        <w:numPr>
          <w:ilvl w:val="1"/>
          <w:numId w:val="1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Buyer and the Supplier acknowledge that subsequent to the commencement of the provision of the Services, the identity of the provider of the Services (or any part of the Services) may change (whether as a result of termination or Partial Termination of the relevant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Buyer and the Supplier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1C962971" w14:textId="77777777" w:rsidR="00F35F39" w:rsidRDefault="0076537D">
      <w:pPr>
        <w:numPr>
          <w:ilvl w:val="1"/>
          <w:numId w:val="1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The Supplier shall, and shall procure that each Subcontractor shall,  comply with all its obligations in respect of the Transferring Supplier Employees arising under the Employment Regulations in respect of the period up to (and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(without limit) the payment of all remuneration, benefits, entitlements, and outgoings, all wages, accrued but untaken holiday pay, bonuses, commissions, payments </w:t>
      </w:r>
      <w:proofErr w:type="spellStart"/>
      <w:r>
        <w:rPr>
          <w:rFonts w:ascii="Arial" w:eastAsia="Arial" w:hAnsi="Arial"/>
          <w:color w:val="000000"/>
          <w:sz w:val="24"/>
          <w:szCs w:val="24"/>
        </w:rPr>
        <w:t>ofPAYE</w:t>
      </w:r>
      <w:proofErr w:type="spellEnd"/>
      <w:r>
        <w:rPr>
          <w:rFonts w:ascii="Arial" w:eastAsia="Arial" w:hAnsi="Arial"/>
          <w:color w:val="000000"/>
          <w:sz w:val="24"/>
          <w:szCs w:val="24"/>
        </w:rPr>
        <w:t xml:space="preserve">, national insurance contributions and pension contributions and all such sums due as a result of any Fair Deal Employees' participation in the Schemes which in any case are attributable in whole or in part to the period ending on (and including) </w:t>
      </w:r>
      <w:r>
        <w:rPr>
          <w:rFonts w:ascii="Arial" w:eastAsia="Arial" w:hAnsi="Arial"/>
          <w:color w:val="000000"/>
          <w:sz w:val="24"/>
          <w:szCs w:val="24"/>
        </w:rPr>
        <w:lastRenderedPageBreak/>
        <w:t>the Service Transfer Date) and any necessary apportionments in respect of any periodic payments shall be made between: (</w:t>
      </w:r>
      <w:proofErr w:type="spellStart"/>
      <w:r>
        <w:rPr>
          <w:rFonts w:ascii="Arial" w:eastAsia="Arial" w:hAnsi="Arial"/>
          <w:color w:val="000000"/>
          <w:sz w:val="24"/>
          <w:szCs w:val="24"/>
        </w:rPr>
        <w:t>i</w:t>
      </w:r>
      <w:proofErr w:type="spellEnd"/>
      <w:r>
        <w:rPr>
          <w:rFonts w:ascii="Arial" w:eastAsia="Arial" w:hAnsi="Arial"/>
          <w:color w:val="000000"/>
          <w:sz w:val="24"/>
          <w:szCs w:val="24"/>
        </w:rPr>
        <w:t xml:space="preserve">) the Supplier and/or the Subcontractor (as appropriate); and (ii) the Replacement Supplier and/or Replacement Subcontractor.  </w:t>
      </w:r>
    </w:p>
    <w:p w14:paraId="47C08940" w14:textId="77777777" w:rsidR="00F35F39" w:rsidRDefault="0076537D">
      <w:pPr>
        <w:numPr>
          <w:ilvl w:val="1"/>
          <w:numId w:val="12"/>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67" w:name="_heading=h.25b2l0r" w:colFirst="0" w:colLast="0"/>
      <w:bookmarkEnd w:id="67"/>
      <w:r>
        <w:rPr>
          <w:rFonts w:ascii="Arial" w:eastAsia="Arial" w:hAnsi="Arial"/>
          <w:color w:val="000000"/>
          <w:sz w:val="24"/>
          <w:szCs w:val="24"/>
        </w:rPr>
        <w:t xml:space="preserve">Subject to Paragraph 2.4, the Supplier shall indemnify the Buyer and/or the Replacement Supplier and/or any Replacement Subcontractor against any Employee Liabilities arising from or as a result of: </w:t>
      </w:r>
    </w:p>
    <w:p w14:paraId="405E34BE" w14:textId="77777777" w:rsidR="00F35F39" w:rsidRDefault="0076537D">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 </w:t>
      </w:r>
    </w:p>
    <w:p w14:paraId="791A245A" w14:textId="77777777" w:rsidR="00F35F39" w:rsidRDefault="0076537D">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breach or non-observance by the Supplier or any Subcontractor occurring on or before the Service Transfer Date of: </w:t>
      </w:r>
    </w:p>
    <w:p w14:paraId="7AF18DE6" w14:textId="77777777" w:rsidR="00F35F39" w:rsidRDefault="0076537D">
      <w:pPr>
        <w:pStyle w:val="Heading5"/>
        <w:numPr>
          <w:ilvl w:val="4"/>
          <w:numId w:val="18"/>
        </w:numPr>
        <w:ind w:left="3402" w:hanging="1134"/>
        <w:rPr>
          <w:rFonts w:ascii="Arial" w:eastAsia="Arial" w:hAnsi="Arial"/>
          <w:sz w:val="24"/>
          <w:szCs w:val="24"/>
        </w:rPr>
      </w:pPr>
      <w:r>
        <w:rPr>
          <w:rFonts w:ascii="Arial" w:eastAsia="Arial" w:hAnsi="Arial"/>
          <w:sz w:val="24"/>
          <w:szCs w:val="24"/>
        </w:rPr>
        <w:t>any collective agreement applicable to the Transferring Supplier Employees; and/or</w:t>
      </w:r>
    </w:p>
    <w:p w14:paraId="1FDD9E7A" w14:textId="77777777" w:rsidR="00F35F39" w:rsidRDefault="0076537D">
      <w:pPr>
        <w:pStyle w:val="Heading5"/>
        <w:numPr>
          <w:ilvl w:val="4"/>
          <w:numId w:val="18"/>
        </w:numPr>
        <w:ind w:left="3402" w:hanging="1134"/>
        <w:rPr>
          <w:rFonts w:ascii="Arial" w:eastAsia="Arial" w:hAnsi="Arial"/>
          <w:sz w:val="24"/>
          <w:szCs w:val="24"/>
        </w:rPr>
      </w:pPr>
      <w:r>
        <w:rPr>
          <w:rFonts w:ascii="Arial" w:eastAsia="Arial" w:hAnsi="Arial"/>
          <w:sz w:val="24"/>
          <w:szCs w:val="24"/>
        </w:rPr>
        <w:t>any other custom or practice with a trade union or staff association in respect of any Transferring Supplier Employees which the Supplier or any Subcontractor is contractually bound to honour;</w:t>
      </w:r>
    </w:p>
    <w:p w14:paraId="141573C8" w14:textId="77777777" w:rsidR="00F35F39" w:rsidRDefault="0076537D">
      <w:pPr>
        <w:numPr>
          <w:ilvl w:val="2"/>
          <w:numId w:val="12"/>
        </w:numPr>
        <w:pBdr>
          <w:top w:val="nil"/>
          <w:left w:val="nil"/>
          <w:bottom w:val="nil"/>
          <w:right w:val="nil"/>
          <w:between w:val="nil"/>
        </w:pBdr>
        <w:spacing w:before="120" w:after="120"/>
        <w:rPr>
          <w:rFonts w:ascii="Arial" w:eastAsia="Arial" w:hAnsi="Arial"/>
          <w:color w:val="000000"/>
          <w:sz w:val="24"/>
          <w:szCs w:val="24"/>
        </w:rPr>
      </w:pPr>
      <w:bookmarkStart w:id="68" w:name="_heading=h.kgcv8k" w:colFirst="0" w:colLast="0"/>
      <w:bookmarkEnd w:id="68"/>
      <w:r>
        <w:rPr>
          <w:rFonts w:ascii="Arial" w:eastAsia="Arial" w:hAnsi="Arial"/>
          <w:color w:val="000000"/>
          <w:sz w:val="24"/>
          <w:szCs w:val="24"/>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160781BF" w14:textId="77777777" w:rsidR="00F35F39" w:rsidRDefault="0076537D">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proceeding, claim or demand by HMRC or other statutory authority in respect of any financial obligation including, but not limited to, PAYE and primary and secondary national insurance contributions:</w:t>
      </w:r>
    </w:p>
    <w:p w14:paraId="390937CE" w14:textId="77777777" w:rsidR="00F35F39" w:rsidRDefault="0076537D">
      <w:pPr>
        <w:pStyle w:val="Heading5"/>
        <w:numPr>
          <w:ilvl w:val="4"/>
          <w:numId w:val="3"/>
        </w:numPr>
        <w:ind w:left="3402" w:hanging="1134"/>
        <w:rPr>
          <w:rFonts w:ascii="Arial" w:eastAsia="Arial" w:hAnsi="Arial"/>
          <w:sz w:val="24"/>
          <w:szCs w:val="24"/>
        </w:rPr>
      </w:pPr>
      <w:r>
        <w:rPr>
          <w:rFonts w:ascii="Arial" w:eastAsia="Arial" w:hAnsi="Arial"/>
          <w:sz w:val="24"/>
          <w:szCs w:val="24"/>
        </w:rPr>
        <w:t>in relation to any Transferring Supplier Employee, to the extent that the proceeding, claim or demand by HMRC or other statutory authority relates to financial obligations arising on and before the Service Transfer Date; and</w:t>
      </w:r>
    </w:p>
    <w:p w14:paraId="31AEB540" w14:textId="77777777" w:rsidR="00F35F39" w:rsidRDefault="0076537D">
      <w:pPr>
        <w:pStyle w:val="Heading5"/>
        <w:numPr>
          <w:ilvl w:val="4"/>
          <w:numId w:val="3"/>
        </w:numPr>
        <w:ind w:left="3402" w:hanging="1134"/>
        <w:rPr>
          <w:rFonts w:ascii="Arial" w:eastAsia="Arial" w:hAnsi="Arial"/>
          <w:sz w:val="24"/>
          <w:szCs w:val="24"/>
        </w:rPr>
      </w:pPr>
      <w:r>
        <w:rPr>
          <w:rFonts w:ascii="Arial" w:eastAsia="Arial" w:hAnsi="Arial"/>
          <w:sz w:val="24"/>
          <w:szCs w:val="24"/>
        </w:rPr>
        <w:lastRenderedPageBreak/>
        <w:t>in relation to any employee who is not identified in the Supplier’s Final Supplier Personnel List, and in respect of whom it is later alleged or determined that the Employment Regulations applied so as to transfer his/her employment from the Supplier to the Buyer and/or Replacement Supplier and/or any Replacement Subcontractor, to the extent that the proceeding, claim or demand by HMRC or other statutory authority relates to financial obligations arising on or before the Service Transfer Date;</w:t>
      </w:r>
    </w:p>
    <w:p w14:paraId="166C22CE" w14:textId="77777777" w:rsidR="00F35F39" w:rsidRDefault="0076537D">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4D800869" w14:textId="77777777" w:rsidR="00F35F39" w:rsidRDefault="0076537D">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made by or in respect of any person employed or formerly employed by the Supplier or any Subcontractor other than a Transferring Supplier Employee identified in the Supplier’s Final Supplier Personnel List for whom it is alleged the Buyer and/or the Replacement Supplier and/or any Replacement Subcontractor may be liable by virtue of the relevant Contract and/or the Employment Regulations and/or the Acquired Rights Directive; and</w:t>
      </w:r>
    </w:p>
    <w:p w14:paraId="43CF7A3D" w14:textId="77777777" w:rsidR="00F35F39" w:rsidRDefault="0076537D">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Buyer and/or Replacement Supplier to comply with regulation 13(4) of the Employment Regulations.</w:t>
      </w:r>
    </w:p>
    <w:p w14:paraId="099144B0" w14:textId="77777777" w:rsidR="00F35F39" w:rsidRDefault="00F35F39">
      <w:pPr>
        <w:pBdr>
          <w:top w:val="nil"/>
          <w:left w:val="nil"/>
          <w:bottom w:val="nil"/>
          <w:right w:val="nil"/>
          <w:between w:val="nil"/>
        </w:pBdr>
        <w:spacing w:before="120" w:after="120"/>
        <w:ind w:left="2214" w:hanging="1080"/>
        <w:rPr>
          <w:rFonts w:ascii="Arial" w:eastAsia="Arial" w:hAnsi="Arial"/>
          <w:color w:val="000000"/>
          <w:sz w:val="24"/>
          <w:szCs w:val="24"/>
        </w:rPr>
      </w:pPr>
    </w:p>
    <w:p w14:paraId="2504D534" w14:textId="77777777" w:rsidR="00F35F39" w:rsidRDefault="0076537D">
      <w:pPr>
        <w:numPr>
          <w:ilvl w:val="1"/>
          <w:numId w:val="12"/>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69" w:name="_heading=h.34g0dwd" w:colFirst="0" w:colLast="0"/>
      <w:bookmarkEnd w:id="69"/>
      <w:r>
        <w:rPr>
          <w:rFonts w:ascii="Arial" w:eastAsia="Arial" w:hAnsi="Arial"/>
          <w:color w:val="000000"/>
          <w:sz w:val="24"/>
          <w:szCs w:val="24"/>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4573E762" w14:textId="77777777" w:rsidR="00F35F39" w:rsidRDefault="0076537D">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0A807CFC" w14:textId="77777777" w:rsidR="00F35F39" w:rsidRDefault="0076537D">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lastRenderedPageBreak/>
        <w:t>arising from the Replacement Supplier’s failure, and/or Replacement Subcontractor’s failure, to comply with its obligations under the Employment Regulations.</w:t>
      </w:r>
    </w:p>
    <w:p w14:paraId="7E4795FA" w14:textId="77777777" w:rsidR="00F35F39" w:rsidRDefault="00F35F39">
      <w:pPr>
        <w:pBdr>
          <w:top w:val="nil"/>
          <w:left w:val="nil"/>
          <w:bottom w:val="nil"/>
          <w:right w:val="nil"/>
          <w:between w:val="nil"/>
        </w:pBdr>
        <w:spacing w:before="120" w:after="120"/>
        <w:ind w:left="1134" w:hanging="1080"/>
        <w:rPr>
          <w:rFonts w:eastAsia="Calibri" w:cs="Calibri"/>
          <w:color w:val="000000"/>
        </w:rPr>
      </w:pPr>
    </w:p>
    <w:p w14:paraId="1B518E22" w14:textId="77777777" w:rsidR="00F35F39" w:rsidRDefault="0076537D">
      <w:pPr>
        <w:keepNext/>
        <w:numPr>
          <w:ilvl w:val="1"/>
          <w:numId w:val="12"/>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70" w:name="_heading=h.1jlao46" w:colFirst="0" w:colLast="0"/>
      <w:bookmarkEnd w:id="70"/>
      <w:r>
        <w:rPr>
          <w:rFonts w:ascii="Arial" w:eastAsia="Arial" w:hAnsi="Arial"/>
          <w:color w:val="000000"/>
          <w:sz w:val="24"/>
          <w:szCs w:val="24"/>
        </w:rPr>
        <w:t>If any person who is not identified in the Supplier's Final Supplier Employee List claims, or it is determined in relation to any employees of the Supplier, that his/her contract of employment has been transferred from the Supplier to the Replacement Supplier and/or Replacement Subcontractor pursuant to the Employment Regulations or the Acquired Rights Directive, then:</w:t>
      </w:r>
    </w:p>
    <w:p w14:paraId="22C68100" w14:textId="77777777" w:rsidR="00F35F39" w:rsidRDefault="0076537D">
      <w:pPr>
        <w:numPr>
          <w:ilvl w:val="2"/>
          <w:numId w:val="12"/>
        </w:numPr>
        <w:pBdr>
          <w:top w:val="nil"/>
          <w:left w:val="nil"/>
          <w:bottom w:val="nil"/>
          <w:right w:val="nil"/>
          <w:between w:val="nil"/>
        </w:pBdr>
        <w:spacing w:before="120" w:after="120"/>
        <w:rPr>
          <w:rFonts w:ascii="Arial" w:eastAsia="Arial" w:hAnsi="Arial"/>
          <w:color w:val="000000"/>
          <w:sz w:val="24"/>
          <w:szCs w:val="24"/>
        </w:rPr>
      </w:pPr>
      <w:bookmarkStart w:id="71" w:name="_heading=h.43ky6rz" w:colFirst="0" w:colLast="0"/>
      <w:bookmarkEnd w:id="71"/>
      <w:r>
        <w:rPr>
          <w:rFonts w:ascii="Arial" w:eastAsia="Arial" w:hAnsi="Arial"/>
          <w:color w:val="000000"/>
          <w:sz w:val="24"/>
          <w:szCs w:val="24"/>
        </w:rPr>
        <w:t xml:space="preserve">the Buyer shall procure that the Replacement Supplier and/or Replacement Subcontractor will, within 5 Working Days of becoming aware of that fact, notify the Buyer and the Supplier in writing; and </w:t>
      </w:r>
    </w:p>
    <w:p w14:paraId="344F9DE4" w14:textId="77777777" w:rsidR="00F35F39" w:rsidRDefault="0076537D">
      <w:pPr>
        <w:numPr>
          <w:ilvl w:val="2"/>
          <w:numId w:val="12"/>
        </w:numPr>
        <w:pBdr>
          <w:top w:val="nil"/>
          <w:left w:val="nil"/>
          <w:bottom w:val="nil"/>
          <w:right w:val="nil"/>
          <w:between w:val="nil"/>
        </w:pBdr>
        <w:spacing w:before="120" w:after="120"/>
        <w:rPr>
          <w:rFonts w:ascii="Arial" w:eastAsia="Arial" w:hAnsi="Arial"/>
          <w:color w:val="000000"/>
          <w:sz w:val="24"/>
          <w:szCs w:val="24"/>
        </w:rPr>
      </w:pPr>
      <w:bookmarkStart w:id="72" w:name="_heading=h.2iq8gzs" w:colFirst="0" w:colLast="0"/>
      <w:bookmarkEnd w:id="72"/>
      <w:r>
        <w:rPr>
          <w:rFonts w:ascii="Arial" w:eastAsia="Arial" w:hAnsi="Arial"/>
          <w:color w:val="000000"/>
          <w:sz w:val="24"/>
          <w:szCs w:val="24"/>
        </w:rPr>
        <w:t xml:space="preserve">the Supplier may offer (or may procure that a Subcontractor may offer) employment to such person, or take such other reasonable steps as it considered appropriate to deal the matter provided always that such steps are in compliance with Law, within15 Working Days of receipt of notice from the Replacement Supplier and/or Replacement Subcontractor. </w:t>
      </w:r>
    </w:p>
    <w:p w14:paraId="6D68F2D7" w14:textId="77777777" w:rsidR="00F35F39" w:rsidRDefault="0076537D">
      <w:pPr>
        <w:keepNext/>
        <w:numPr>
          <w:ilvl w:val="1"/>
          <w:numId w:val="1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If such offer of is accepted, or if the situation has otherwise been resolved by the Supplier or a Subcontractor, Buyer shall procure that the Replacement Supplier shall, or procure that the and/or Replacement Subcontractor shall, immediately release or procure the release the person from his/her employment or alleged employment;</w:t>
      </w:r>
    </w:p>
    <w:p w14:paraId="6E391917" w14:textId="77777777" w:rsidR="00F35F39" w:rsidRDefault="0076537D">
      <w:pPr>
        <w:keepNext/>
        <w:numPr>
          <w:ilvl w:val="1"/>
          <w:numId w:val="12"/>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73" w:name="_heading=h.xvir7l" w:colFirst="0" w:colLast="0"/>
      <w:bookmarkEnd w:id="73"/>
      <w:r>
        <w:rPr>
          <w:rFonts w:ascii="Arial" w:eastAsia="Arial" w:hAnsi="Arial"/>
          <w:color w:val="000000"/>
          <w:sz w:val="24"/>
          <w:szCs w:val="24"/>
        </w:rPr>
        <w:t xml:space="preserve">If after the 15 Working Day period specified in Paragraph 2.5.2 has elapsed: </w:t>
      </w:r>
    </w:p>
    <w:p w14:paraId="1F847248" w14:textId="77777777" w:rsidR="00F35F39" w:rsidRDefault="0076537D">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no such offer has been made: </w:t>
      </w:r>
    </w:p>
    <w:p w14:paraId="3720EF6D" w14:textId="77777777" w:rsidR="00F35F39" w:rsidRDefault="0076537D">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such offer has been made but not accepted; or </w:t>
      </w:r>
    </w:p>
    <w:p w14:paraId="058DF614" w14:textId="77777777" w:rsidR="00F35F39" w:rsidRDefault="0076537D">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situation has not otherwise been resolved</w:t>
      </w:r>
    </w:p>
    <w:p w14:paraId="322609B3" w14:textId="77777777" w:rsidR="00F35F39" w:rsidRDefault="0076537D">
      <w:pPr>
        <w:pBdr>
          <w:top w:val="nil"/>
          <w:left w:val="nil"/>
          <w:bottom w:val="nil"/>
          <w:right w:val="nil"/>
          <w:between w:val="nil"/>
        </w:pBdr>
        <w:spacing w:before="120" w:after="120"/>
        <w:ind w:left="993" w:hanging="1080"/>
        <w:rPr>
          <w:rFonts w:ascii="Arial" w:eastAsia="Arial" w:hAnsi="Arial"/>
          <w:color w:val="000000"/>
          <w:sz w:val="24"/>
          <w:szCs w:val="24"/>
        </w:rPr>
      </w:pPr>
      <w:r>
        <w:rPr>
          <w:rFonts w:ascii="Arial" w:eastAsia="Arial" w:hAnsi="Arial"/>
          <w:color w:val="000000"/>
          <w:sz w:val="24"/>
          <w:szCs w:val="24"/>
        </w:rPr>
        <w:t>the Buyer shall advise the Replacement Supplier and/or Replacement Subcontractor (as appropriate) that it may within 5 Working Days give notice to terminate the employment or alleged employment of such person;</w:t>
      </w:r>
    </w:p>
    <w:p w14:paraId="784EE6D9" w14:textId="77777777" w:rsidR="00F35F39" w:rsidRDefault="0076537D">
      <w:pPr>
        <w:keepNext/>
        <w:numPr>
          <w:ilvl w:val="1"/>
          <w:numId w:val="1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Subject to the Replacement Supplier's and/or Replacement Subcontractor acting in accordance with the provisions of Paragraphs 2.5 to 2.7 and in accordance with all applicable proper employment procedures set out in applicable Law and subject to Paragraph 2.9 below, the Supplier will indemnify the Replacement Supplier and/or Replacement Subcontractor against all Employee Liabilities arising out of the termination of the employment of any of the Supplier's  employees pursuant to the provisions of Paragraph 2.7 provided that the Replacement Supplier takes, or shall procure that the Replacement Subcontractor takes, all reasonable steps to minimise any such Employee Liabilities. </w:t>
      </w:r>
    </w:p>
    <w:p w14:paraId="05FB1656" w14:textId="77777777" w:rsidR="00F35F39" w:rsidRDefault="0076537D">
      <w:pPr>
        <w:keepNext/>
        <w:numPr>
          <w:ilvl w:val="1"/>
          <w:numId w:val="12"/>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74" w:name="_heading=h.3hv69ve" w:colFirst="0" w:colLast="0"/>
      <w:bookmarkEnd w:id="74"/>
      <w:r>
        <w:rPr>
          <w:rFonts w:ascii="Arial" w:eastAsia="Arial" w:hAnsi="Arial"/>
          <w:color w:val="000000"/>
          <w:sz w:val="24"/>
          <w:szCs w:val="24"/>
        </w:rPr>
        <w:t xml:space="preserve">The indemnity in Paragraph 2.8: </w:t>
      </w:r>
    </w:p>
    <w:p w14:paraId="0C948C54" w14:textId="77777777" w:rsidR="00F35F39" w:rsidRDefault="0076537D">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shall not apply to:</w:t>
      </w:r>
    </w:p>
    <w:p w14:paraId="39D83700" w14:textId="77777777" w:rsidR="00F35F39" w:rsidRDefault="0076537D">
      <w:pPr>
        <w:numPr>
          <w:ilvl w:val="3"/>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lastRenderedPageBreak/>
        <w:t xml:space="preserve">any claim for: </w:t>
      </w:r>
    </w:p>
    <w:p w14:paraId="36C2D597" w14:textId="77777777" w:rsidR="00F35F39" w:rsidRDefault="0076537D">
      <w:pPr>
        <w:numPr>
          <w:ilvl w:val="5"/>
          <w:numId w:val="12"/>
        </w:numPr>
        <w:pBdr>
          <w:top w:val="nil"/>
          <w:left w:val="nil"/>
          <w:bottom w:val="nil"/>
          <w:right w:val="nil"/>
          <w:between w:val="nil"/>
        </w:pBdr>
        <w:rPr>
          <w:rFonts w:ascii="Arial" w:eastAsia="Arial" w:hAnsi="Arial"/>
          <w:color w:val="000000"/>
          <w:sz w:val="24"/>
          <w:szCs w:val="24"/>
        </w:rPr>
      </w:pPr>
      <w:r>
        <w:rPr>
          <w:rFonts w:ascii="Arial" w:eastAsia="Arial" w:hAnsi="Arial"/>
          <w:color w:val="000000"/>
          <w:sz w:val="24"/>
          <w:szCs w:val="24"/>
        </w:rPr>
        <w:t>discrimination, including on the grounds of sex, race, disability, age, gender reassignment, marriage or civil partnership, pregnancy and maternity or sexual orientation, religion or belief; or</w:t>
      </w:r>
    </w:p>
    <w:p w14:paraId="6B88CC7B" w14:textId="77777777" w:rsidR="00F35F39" w:rsidRDefault="0076537D">
      <w:pPr>
        <w:numPr>
          <w:ilvl w:val="5"/>
          <w:numId w:val="12"/>
        </w:numPr>
        <w:pBdr>
          <w:top w:val="nil"/>
          <w:left w:val="nil"/>
          <w:bottom w:val="nil"/>
          <w:right w:val="nil"/>
          <w:between w:val="nil"/>
        </w:pBdr>
        <w:rPr>
          <w:rFonts w:ascii="Arial" w:eastAsia="Arial" w:hAnsi="Arial"/>
          <w:color w:val="000000"/>
          <w:sz w:val="24"/>
          <w:szCs w:val="24"/>
        </w:rPr>
      </w:pPr>
      <w:r>
        <w:rPr>
          <w:rFonts w:ascii="Arial" w:eastAsia="Arial" w:hAnsi="Arial"/>
          <w:color w:val="000000"/>
          <w:sz w:val="24"/>
          <w:szCs w:val="24"/>
        </w:rPr>
        <w:t xml:space="preserve">equal pay or compensation for less favourable treatment of part-time workers or fixed-term employees, </w:t>
      </w:r>
    </w:p>
    <w:p w14:paraId="7A198796" w14:textId="77777777" w:rsidR="00F35F39" w:rsidRDefault="0076537D">
      <w:pPr>
        <w:pBdr>
          <w:top w:val="nil"/>
          <w:left w:val="nil"/>
          <w:bottom w:val="nil"/>
          <w:right w:val="nil"/>
          <w:between w:val="nil"/>
        </w:pBdr>
        <w:ind w:left="3600" w:hanging="720"/>
        <w:rPr>
          <w:rFonts w:ascii="Arial" w:eastAsia="Arial" w:hAnsi="Arial"/>
          <w:color w:val="000000"/>
          <w:sz w:val="24"/>
          <w:szCs w:val="24"/>
        </w:rPr>
      </w:pPr>
      <w:r>
        <w:rPr>
          <w:rFonts w:ascii="Arial" w:eastAsia="Arial" w:hAnsi="Arial"/>
          <w:color w:val="000000"/>
          <w:sz w:val="24"/>
          <w:szCs w:val="24"/>
        </w:rPr>
        <w:t>In any case in relation to any alleged act or omission of the Replacement Supplier and/or Replacement Subcontractor, or</w:t>
      </w:r>
    </w:p>
    <w:p w14:paraId="40737DE7" w14:textId="77777777" w:rsidR="00F35F39" w:rsidRDefault="0076537D">
      <w:pPr>
        <w:numPr>
          <w:ilvl w:val="3"/>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any claim that the termination of employment was unfair because the Replacement Supplier and/or Replacement Subcontractor neglected to follow a fair dismissal procedure; and </w:t>
      </w:r>
    </w:p>
    <w:p w14:paraId="29B1DCDD" w14:textId="77777777" w:rsidR="00F35F39" w:rsidRDefault="0076537D">
      <w:pPr>
        <w:numPr>
          <w:ilvl w:val="2"/>
          <w:numId w:val="12"/>
        </w:numPr>
        <w:pBdr>
          <w:top w:val="nil"/>
          <w:left w:val="nil"/>
          <w:bottom w:val="nil"/>
          <w:right w:val="nil"/>
          <w:between w:val="nil"/>
        </w:pBdr>
        <w:spacing w:before="120" w:after="120"/>
        <w:rPr>
          <w:rFonts w:ascii="Arial" w:eastAsia="Arial" w:hAnsi="Arial"/>
          <w:color w:val="000000"/>
          <w:sz w:val="24"/>
          <w:szCs w:val="24"/>
        </w:rPr>
      </w:pPr>
      <w:bookmarkStart w:id="75" w:name="_heading=h.1x0gk37" w:colFirst="0" w:colLast="0"/>
      <w:bookmarkEnd w:id="75"/>
      <w:r>
        <w:rPr>
          <w:rFonts w:ascii="Arial" w:eastAsia="Arial" w:hAnsi="Arial"/>
          <w:color w:val="000000"/>
          <w:sz w:val="24"/>
          <w:szCs w:val="24"/>
        </w:rPr>
        <w:t>shall apply only where the notification referred to in Paragraph 2.5.1 is made by the Replacement Supplier and/or Replacement Subcontractor to the Supplier within 6 months of the Service Transfer Date..</w:t>
      </w:r>
    </w:p>
    <w:p w14:paraId="2772CAE0" w14:textId="77777777" w:rsidR="00F35F39" w:rsidRDefault="0076537D">
      <w:pPr>
        <w:numPr>
          <w:ilvl w:val="1"/>
          <w:numId w:val="1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 .</w:t>
      </w:r>
    </w:p>
    <w:p w14:paraId="79DDBCE0" w14:textId="77777777" w:rsidR="00F35F39" w:rsidRDefault="0076537D">
      <w:pPr>
        <w:numPr>
          <w:ilvl w:val="1"/>
          <w:numId w:val="1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4AA3E4D8" w14:textId="77777777" w:rsidR="00F35F39" w:rsidRDefault="0076537D">
      <w:pPr>
        <w:pStyle w:val="Heading4"/>
        <w:numPr>
          <w:ilvl w:val="3"/>
          <w:numId w:val="3"/>
        </w:numPr>
        <w:rPr>
          <w:rFonts w:ascii="Arial" w:eastAsia="Arial" w:hAnsi="Arial"/>
          <w:sz w:val="24"/>
          <w:szCs w:val="24"/>
        </w:rPr>
      </w:pPr>
      <w:r>
        <w:rPr>
          <w:rFonts w:ascii="Arial" w:eastAsia="Arial" w:hAnsi="Arial"/>
          <w:sz w:val="24"/>
          <w:szCs w:val="24"/>
        </w:rPr>
        <w:t>the Supplier and/or any Subcontractor; and</w:t>
      </w:r>
    </w:p>
    <w:p w14:paraId="0C8F1BE5" w14:textId="77777777" w:rsidR="00F35F39" w:rsidRDefault="0076537D">
      <w:pPr>
        <w:pStyle w:val="Heading4"/>
        <w:numPr>
          <w:ilvl w:val="3"/>
          <w:numId w:val="3"/>
        </w:numPr>
        <w:rPr>
          <w:rFonts w:ascii="Arial" w:eastAsia="Arial" w:hAnsi="Arial"/>
          <w:sz w:val="24"/>
          <w:szCs w:val="24"/>
        </w:rPr>
      </w:pPr>
      <w:r>
        <w:rPr>
          <w:rFonts w:ascii="Arial" w:eastAsia="Arial" w:hAnsi="Arial"/>
          <w:sz w:val="24"/>
          <w:szCs w:val="24"/>
        </w:rPr>
        <w:t>the Replacement Supplier and/or the Replacement Subcontractor.</w:t>
      </w:r>
    </w:p>
    <w:p w14:paraId="692DE978" w14:textId="77777777" w:rsidR="00F35F39" w:rsidRDefault="00F35F39">
      <w:pPr>
        <w:pBdr>
          <w:top w:val="nil"/>
          <w:left w:val="nil"/>
          <w:bottom w:val="nil"/>
          <w:right w:val="nil"/>
          <w:between w:val="nil"/>
        </w:pBdr>
        <w:tabs>
          <w:tab w:val="left" w:pos="993"/>
        </w:tabs>
        <w:spacing w:before="120" w:after="120"/>
        <w:ind w:left="720" w:hanging="720"/>
        <w:rPr>
          <w:rFonts w:ascii="Arial" w:eastAsia="Arial" w:hAnsi="Arial"/>
          <w:color w:val="000000"/>
          <w:sz w:val="24"/>
          <w:szCs w:val="24"/>
        </w:rPr>
      </w:pPr>
    </w:p>
    <w:p w14:paraId="21629329" w14:textId="77777777" w:rsidR="00F35F39" w:rsidRDefault="0076537D">
      <w:pPr>
        <w:numPr>
          <w:ilvl w:val="1"/>
          <w:numId w:val="12"/>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76" w:name="_heading=h.4h042r0" w:colFirst="0" w:colLast="0"/>
      <w:bookmarkEnd w:id="76"/>
      <w:r>
        <w:rPr>
          <w:rFonts w:ascii="Arial" w:eastAsia="Arial" w:hAnsi="Arial"/>
          <w:color w:val="000000"/>
          <w:sz w:val="24"/>
          <w:szCs w:val="24"/>
        </w:rPr>
        <w:lastRenderedPageBreak/>
        <w:t>The Supplier shall, and shall procure that each Subcontractor shall,  promptly provide the Buyer and any Replacement Supplier and/or Replacement Subcontractor, in writing such information as is necessary to enable the Buyer, the Replacement Supplier and/or Replacement Subcontractor to carry out their respective duties under regulation 13 of the Employment Regulations. The Buyer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5DB45B51" w14:textId="77777777" w:rsidR="00F35F39" w:rsidRDefault="0076537D">
      <w:pPr>
        <w:numPr>
          <w:ilvl w:val="1"/>
          <w:numId w:val="12"/>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77" w:name="_heading=h.2w5ecyt" w:colFirst="0" w:colLast="0"/>
      <w:bookmarkEnd w:id="77"/>
      <w:r>
        <w:rPr>
          <w:rFonts w:ascii="Arial" w:eastAsia="Arial" w:hAnsi="Arial"/>
          <w:color w:val="000000"/>
          <w:sz w:val="24"/>
          <w:szCs w:val="24"/>
        </w:rPr>
        <w:t xml:space="preserve">Subject to Paragraph 2.14, the Buyer shall procure that the Replacement Supplier indemnifies the Supplier on its own behalf and on behalf of any Replacement Subcontractor and its Subcontractors against any Employee Liabilities arising from or as a result of: </w:t>
      </w:r>
    </w:p>
    <w:p w14:paraId="6B2020F1" w14:textId="77777777" w:rsidR="00F35F39" w:rsidRDefault="0076537D">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any act or omission of the Replacement Supplier and/or Replacement Subcontractor in respect of any Transferring Supplier Employee in the Supplier’s Final Supplier Personnel List or any appropriate employee representative (as defined in the Employment Regulations) of any such Transferring Supplier Employee; </w:t>
      </w:r>
    </w:p>
    <w:p w14:paraId="4A9CBAAE" w14:textId="77777777" w:rsidR="00F35F39" w:rsidRDefault="0076537D">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breach or non-observance by the Replacement Supplier and/or Replacement Subcontractor on or after the Service Transfer Date of: </w:t>
      </w:r>
    </w:p>
    <w:p w14:paraId="79B28C3C" w14:textId="77777777" w:rsidR="00F35F39" w:rsidRDefault="0076537D">
      <w:pPr>
        <w:pStyle w:val="Heading5"/>
        <w:numPr>
          <w:ilvl w:val="4"/>
          <w:numId w:val="3"/>
        </w:numPr>
        <w:ind w:left="3402" w:hanging="1134"/>
        <w:rPr>
          <w:rFonts w:ascii="Arial" w:eastAsia="Arial" w:hAnsi="Arial"/>
          <w:sz w:val="24"/>
          <w:szCs w:val="24"/>
        </w:rPr>
      </w:pPr>
      <w:r>
        <w:rPr>
          <w:rFonts w:ascii="Arial" w:eastAsia="Arial" w:hAnsi="Arial"/>
          <w:sz w:val="24"/>
          <w:szCs w:val="24"/>
        </w:rPr>
        <w:t xml:space="preserve">any collective agreement applicable to the Transferring Supplier Employees identified in the Supplier’s Final Supplier Personnel List; and/or </w:t>
      </w:r>
    </w:p>
    <w:p w14:paraId="51BAD0A2" w14:textId="77777777" w:rsidR="00F35F39" w:rsidRDefault="0076537D">
      <w:pPr>
        <w:pStyle w:val="Heading5"/>
        <w:numPr>
          <w:ilvl w:val="4"/>
          <w:numId w:val="3"/>
        </w:numPr>
        <w:ind w:left="3402" w:hanging="1134"/>
        <w:rPr>
          <w:rFonts w:ascii="Arial" w:eastAsia="Arial" w:hAnsi="Arial"/>
          <w:sz w:val="24"/>
          <w:szCs w:val="24"/>
        </w:rPr>
      </w:pPr>
      <w:r>
        <w:rPr>
          <w:rFonts w:ascii="Arial" w:eastAsia="Arial" w:hAnsi="Arial"/>
          <w:sz w:val="24"/>
          <w:szCs w:val="24"/>
        </w:rPr>
        <w:t>any custom or practice in respect of any Transferring Supplier Employees identified in the Supplier’s Final Supplier Personnel List which the Replacement Supplier and/or Replacement Subcontractor is contractually bound to honour;</w:t>
      </w:r>
    </w:p>
    <w:p w14:paraId="06E2B3FE" w14:textId="77777777" w:rsidR="00F35F39" w:rsidRDefault="0076537D">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421FC248" w14:textId="77777777" w:rsidR="00F35F39" w:rsidRDefault="0076537D">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t>
      </w:r>
      <w:r>
        <w:rPr>
          <w:rFonts w:ascii="Arial" w:eastAsia="Arial" w:hAnsi="Arial"/>
          <w:color w:val="000000"/>
          <w:sz w:val="24"/>
          <w:szCs w:val="24"/>
        </w:rPr>
        <w:lastRenderedPageBreak/>
        <w:t xml:space="preserve">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576D2809" w14:textId="77777777" w:rsidR="00F35F39" w:rsidRDefault="0076537D">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11A5BFFB" w14:textId="77777777" w:rsidR="00F35F39" w:rsidRDefault="0076537D">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proceeding, claim or demand by HMRC or other statutory authority in respect of any financial obligation including, but not limited to, PAYE and primary and secondary national insurance contributions:</w:t>
      </w:r>
    </w:p>
    <w:p w14:paraId="1EC2CA71" w14:textId="77777777" w:rsidR="00F35F39" w:rsidRDefault="0076537D">
      <w:pPr>
        <w:pStyle w:val="Heading5"/>
        <w:numPr>
          <w:ilvl w:val="4"/>
          <w:numId w:val="11"/>
        </w:numPr>
        <w:ind w:left="3544" w:hanging="1276"/>
        <w:rPr>
          <w:rFonts w:ascii="Arial" w:eastAsia="Arial" w:hAnsi="Arial"/>
          <w:sz w:val="24"/>
          <w:szCs w:val="24"/>
        </w:rPr>
      </w:pPr>
      <w:r>
        <w:rPr>
          <w:rFonts w:ascii="Arial" w:eastAsia="Arial" w:hAnsi="Arial"/>
          <w:sz w:val="24"/>
          <w:szCs w:val="24"/>
        </w:rP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31DD04C1" w14:textId="77777777" w:rsidR="00F35F39" w:rsidRDefault="0076537D">
      <w:pPr>
        <w:pStyle w:val="Heading5"/>
        <w:numPr>
          <w:ilvl w:val="4"/>
          <w:numId w:val="11"/>
        </w:numPr>
        <w:ind w:left="3544" w:hanging="1276"/>
        <w:rPr>
          <w:rFonts w:ascii="Arial" w:eastAsia="Arial" w:hAnsi="Arial"/>
          <w:sz w:val="24"/>
          <w:szCs w:val="24"/>
        </w:rPr>
      </w:pPr>
      <w:r>
        <w:rPr>
          <w:rFonts w:ascii="Arial" w:eastAsia="Arial" w:hAnsi="Arial"/>
          <w:sz w:val="24"/>
          <w:szCs w:val="24"/>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070C2055" w14:textId="77777777" w:rsidR="00F35F39" w:rsidRDefault="0076537D">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7741038A" w14:textId="77777777" w:rsidR="00F35F39" w:rsidRDefault="0076537D">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w:t>
      </w:r>
      <w:r>
        <w:rPr>
          <w:rFonts w:ascii="Arial" w:eastAsia="Arial" w:hAnsi="Arial"/>
          <w:color w:val="000000"/>
          <w:sz w:val="24"/>
          <w:szCs w:val="24"/>
        </w:rPr>
        <w:lastRenderedPageBreak/>
        <w:t>Supplier or Replacement Subcontractor in relation to obligations under regulation 13 of the Employment Regulations.</w:t>
      </w:r>
    </w:p>
    <w:p w14:paraId="1431BAD9" w14:textId="77777777" w:rsidR="00F35F39" w:rsidRDefault="00F35F39">
      <w:pPr>
        <w:pBdr>
          <w:top w:val="nil"/>
          <w:left w:val="nil"/>
          <w:bottom w:val="nil"/>
          <w:right w:val="nil"/>
          <w:between w:val="nil"/>
        </w:pBdr>
        <w:spacing w:before="120" w:after="120"/>
        <w:ind w:left="2214" w:hanging="1080"/>
        <w:rPr>
          <w:rFonts w:ascii="Arial" w:eastAsia="Arial" w:hAnsi="Arial"/>
          <w:color w:val="000000"/>
          <w:sz w:val="24"/>
          <w:szCs w:val="24"/>
        </w:rPr>
      </w:pPr>
    </w:p>
    <w:p w14:paraId="52D9D818" w14:textId="77777777" w:rsidR="00F35F39" w:rsidRDefault="0076537D">
      <w:pPr>
        <w:keepNext/>
        <w:numPr>
          <w:ilvl w:val="1"/>
          <w:numId w:val="12"/>
        </w:numPr>
        <w:pBdr>
          <w:top w:val="nil"/>
          <w:left w:val="nil"/>
          <w:bottom w:val="nil"/>
          <w:right w:val="nil"/>
          <w:between w:val="nil"/>
        </w:pBdr>
        <w:tabs>
          <w:tab w:val="left" w:pos="993"/>
        </w:tabs>
        <w:spacing w:before="120" w:after="120"/>
        <w:ind w:left="357"/>
        <w:rPr>
          <w:rFonts w:ascii="Arial" w:eastAsia="Arial" w:hAnsi="Arial"/>
          <w:color w:val="000000"/>
          <w:sz w:val="24"/>
          <w:szCs w:val="24"/>
        </w:rPr>
      </w:pPr>
      <w:r>
        <w:rPr>
          <w:rFonts w:ascii="Arial" w:eastAsia="Arial" w:hAnsi="Arial"/>
          <w:color w:val="000000"/>
          <w:sz w:val="24"/>
          <w:szCs w:val="24"/>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sectPr w:rsidR="00F35F39">
      <w:headerReference w:type="default" r:id="rId8"/>
      <w:footerReference w:type="default" r:id="rId9"/>
      <w:headerReference w:type="first" r:id="rId10"/>
      <w:footerReference w:type="first" r:id="rId11"/>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C05B01" w14:textId="77777777" w:rsidR="004D2D5E" w:rsidRDefault="0076537D">
      <w:pPr>
        <w:spacing w:after="0"/>
      </w:pPr>
      <w:r>
        <w:separator/>
      </w:r>
    </w:p>
  </w:endnote>
  <w:endnote w:type="continuationSeparator" w:id="0">
    <w:p w14:paraId="0B46E622" w14:textId="77777777" w:rsidR="004D2D5E" w:rsidRDefault="0076537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GGothicM">
    <w:panose1 w:val="020B0609000000000000"/>
    <w:charset w:val="80"/>
    <w:family w:val="modern"/>
    <w:pitch w:val="fixed"/>
    <w:sig w:usb0="80000281" w:usb1="28C76CF8" w:usb2="00000010" w:usb3="00000000" w:csb0="00020000" w:csb1="00000000"/>
  </w:font>
  <w:font w:name="STZhongsong">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rial Bold">
    <w:altName w:val="Arial"/>
    <w:panose1 w:val="020B0704020202020204"/>
    <w:charset w:val="00"/>
    <w:family w:val="auto"/>
    <w:pitch w:val="default"/>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5D93A" w14:textId="77777777" w:rsidR="00F35F39" w:rsidRDefault="00F35F39">
    <w:pPr>
      <w:tabs>
        <w:tab w:val="center" w:pos="4513"/>
        <w:tab w:val="right" w:pos="9026"/>
      </w:tabs>
      <w:spacing w:after="0"/>
      <w:rPr>
        <w:rFonts w:ascii="Arial" w:eastAsia="Arial" w:hAnsi="Arial"/>
        <w:color w:val="A6A6A6"/>
        <w:sz w:val="20"/>
        <w:szCs w:val="20"/>
      </w:rPr>
    </w:pPr>
  </w:p>
  <w:p w14:paraId="5435B83A" w14:textId="77777777" w:rsidR="0076537D" w:rsidRDefault="0076537D" w:rsidP="0076537D">
    <w:pPr>
      <w:pBdr>
        <w:top w:val="nil"/>
        <w:left w:val="nil"/>
        <w:bottom w:val="nil"/>
        <w:right w:val="nil"/>
        <w:between w:val="nil"/>
      </w:pBdr>
      <w:tabs>
        <w:tab w:val="center" w:pos="4513"/>
        <w:tab w:val="right" w:pos="9026"/>
      </w:tabs>
      <w:spacing w:after="0"/>
      <w:rPr>
        <w:rFonts w:ascii="Arial" w:eastAsia="Arial" w:hAnsi="Arial"/>
        <w:sz w:val="20"/>
        <w:szCs w:val="20"/>
      </w:rPr>
    </w:pPr>
    <w:r w:rsidRPr="00BE27EF">
      <w:rPr>
        <w:rFonts w:ascii="Arial" w:eastAsia="Arial" w:hAnsi="Arial"/>
        <w:sz w:val="20"/>
        <w:szCs w:val="20"/>
      </w:rPr>
      <w:t>Framework Ref: RM6289 Provision of Power Purchase Agreement</w:t>
    </w:r>
  </w:p>
  <w:p w14:paraId="2BE962FC" w14:textId="77777777" w:rsidR="0076537D" w:rsidRDefault="0076537D" w:rsidP="0076537D">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Project Version: v1.0</w:t>
    </w:r>
    <w:r>
      <w:rPr>
        <w:rFonts w:ascii="Arial" w:eastAsia="Arial" w:hAnsi="Arial"/>
        <w:color w:val="000000"/>
        <w:sz w:val="20"/>
        <w:szCs w:val="20"/>
      </w:rPr>
      <w:tab/>
    </w:r>
    <w:r>
      <w:rPr>
        <w:rFonts w:ascii="Arial" w:eastAsia="Arial" w:hAnsi="Arial"/>
        <w:color w:val="000000"/>
        <w:sz w:val="20"/>
        <w:szCs w:val="20"/>
      </w:rPr>
      <w:tab/>
      <w:t xml:space="preserve"> </w:t>
    </w:r>
    <w:r>
      <w:rPr>
        <w:rFonts w:ascii="Arial" w:eastAsia="Arial" w:hAnsi="Arial"/>
        <w:color w:val="000000"/>
        <w:sz w:val="20"/>
        <w:szCs w:val="20"/>
      </w:rPr>
      <w:fldChar w:fldCharType="begin"/>
    </w:r>
    <w:r>
      <w:rPr>
        <w:rFonts w:ascii="Arial" w:eastAsia="Arial" w:hAnsi="Arial"/>
        <w:color w:val="000000"/>
        <w:sz w:val="20"/>
        <w:szCs w:val="20"/>
      </w:rPr>
      <w:instrText>PAGE</w:instrText>
    </w:r>
    <w:r>
      <w:rPr>
        <w:rFonts w:ascii="Arial" w:eastAsia="Arial" w:hAnsi="Arial"/>
        <w:color w:val="000000"/>
        <w:sz w:val="20"/>
        <w:szCs w:val="20"/>
      </w:rPr>
      <w:fldChar w:fldCharType="separate"/>
    </w:r>
    <w:r>
      <w:rPr>
        <w:rFonts w:eastAsia="Arial"/>
        <w:color w:val="000000"/>
        <w:sz w:val="20"/>
        <w:szCs w:val="20"/>
      </w:rPr>
      <w:t>1</w:t>
    </w:r>
    <w:r>
      <w:rPr>
        <w:rFonts w:ascii="Arial" w:eastAsia="Arial" w:hAnsi="Arial"/>
        <w:color w:val="000000"/>
        <w:sz w:val="20"/>
        <w:szCs w:val="20"/>
      </w:rPr>
      <w:fldChar w:fldCharType="end"/>
    </w:r>
  </w:p>
  <w:p w14:paraId="33873630" w14:textId="77777777" w:rsidR="0076537D" w:rsidRDefault="0076537D" w:rsidP="0076537D">
    <w:pPr>
      <w:spacing w:after="0"/>
      <w:rPr>
        <w:rFonts w:ascii="Arial" w:eastAsia="Arial" w:hAnsi="Arial"/>
        <w:color w:val="A6A6A6"/>
        <w:sz w:val="20"/>
        <w:szCs w:val="20"/>
      </w:rPr>
    </w:pPr>
    <w:r>
      <w:rPr>
        <w:rFonts w:ascii="Arial" w:eastAsia="Arial" w:hAnsi="Arial"/>
        <w:sz w:val="20"/>
        <w:szCs w:val="20"/>
      </w:rPr>
      <w:t>Model Version: v3.3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58ED5" w14:textId="77777777" w:rsidR="00F35F39" w:rsidRDefault="00F35F39">
    <w:pPr>
      <w:tabs>
        <w:tab w:val="center" w:pos="4513"/>
        <w:tab w:val="right" w:pos="9026"/>
      </w:tabs>
      <w:spacing w:after="0"/>
      <w:rPr>
        <w:rFonts w:ascii="Arial" w:eastAsia="Arial" w:hAnsi="Arial"/>
        <w:color w:val="A6A6A6"/>
        <w:sz w:val="20"/>
        <w:szCs w:val="20"/>
      </w:rPr>
    </w:pPr>
  </w:p>
  <w:p w14:paraId="4935572C" w14:textId="77777777" w:rsidR="00F35F39" w:rsidRDefault="0076537D">
    <w:pPr>
      <w:tabs>
        <w:tab w:val="center" w:pos="4513"/>
        <w:tab w:val="right" w:pos="9026"/>
      </w:tabs>
      <w:spacing w:after="0"/>
      <w:rPr>
        <w:rFonts w:ascii="Arial" w:eastAsia="Arial" w:hAnsi="Arial"/>
        <w:color w:val="A6A6A6"/>
        <w:sz w:val="20"/>
        <w:szCs w:val="20"/>
      </w:rPr>
    </w:pPr>
    <w:r>
      <w:rPr>
        <w:rFonts w:ascii="Arial" w:eastAsia="Arial" w:hAnsi="Arial"/>
        <w:color w:val="A6A6A6"/>
        <w:sz w:val="20"/>
        <w:szCs w:val="20"/>
      </w:rPr>
      <w:t>Framework Ref: RM</w:t>
    </w:r>
    <w:r>
      <w:rPr>
        <w:rFonts w:ascii="Arial" w:eastAsia="Arial" w:hAnsi="Arial"/>
        <w:color w:val="A6A6A6"/>
        <w:sz w:val="20"/>
        <w:szCs w:val="20"/>
      </w:rPr>
      <w:tab/>
      <w:t xml:space="preserve">                                           </w:t>
    </w:r>
  </w:p>
  <w:p w14:paraId="1E5E0C00" w14:textId="77777777" w:rsidR="00F35F39" w:rsidRDefault="0076537D">
    <w:pPr>
      <w:pBdr>
        <w:top w:val="nil"/>
        <w:left w:val="nil"/>
        <w:bottom w:val="nil"/>
        <w:right w:val="nil"/>
        <w:between w:val="nil"/>
      </w:pBdr>
      <w:tabs>
        <w:tab w:val="center" w:pos="4513"/>
        <w:tab w:val="right" w:pos="9026"/>
      </w:tabs>
      <w:spacing w:after="0"/>
      <w:rPr>
        <w:rFonts w:ascii="Arial" w:eastAsia="Arial" w:hAnsi="Arial"/>
        <w:color w:val="A6A6A6"/>
        <w:sz w:val="20"/>
        <w:szCs w:val="20"/>
      </w:rPr>
    </w:pPr>
    <w:r>
      <w:rPr>
        <w:rFonts w:ascii="Arial" w:eastAsia="Arial" w:hAnsi="Arial"/>
        <w:color w:val="A6A6A6"/>
        <w:sz w:val="20"/>
        <w:szCs w:val="20"/>
      </w:rPr>
      <w:t>Project Version: v1.0</w:t>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t xml:space="preserve"> </w:t>
    </w:r>
    <w:r>
      <w:rPr>
        <w:rFonts w:ascii="Arial" w:eastAsia="Arial" w:hAnsi="Arial"/>
        <w:color w:val="A6A6A6"/>
        <w:sz w:val="20"/>
        <w:szCs w:val="20"/>
      </w:rPr>
      <w:fldChar w:fldCharType="begin"/>
    </w:r>
    <w:r>
      <w:rPr>
        <w:rFonts w:ascii="Arial" w:eastAsia="Arial" w:hAnsi="Arial"/>
        <w:color w:val="A6A6A6"/>
        <w:sz w:val="20"/>
        <w:szCs w:val="20"/>
      </w:rPr>
      <w:instrText>PAGE</w:instrText>
    </w:r>
    <w:r w:rsidR="00544F2B">
      <w:rPr>
        <w:rFonts w:ascii="Arial" w:eastAsia="Arial" w:hAnsi="Arial"/>
        <w:color w:val="A6A6A6"/>
        <w:sz w:val="20"/>
        <w:szCs w:val="20"/>
      </w:rPr>
      <w:fldChar w:fldCharType="separate"/>
    </w:r>
    <w:r>
      <w:rPr>
        <w:rFonts w:ascii="Arial" w:eastAsia="Arial" w:hAnsi="Arial"/>
        <w:color w:val="A6A6A6"/>
        <w:sz w:val="20"/>
        <w:szCs w:val="20"/>
      </w:rPr>
      <w:fldChar w:fldCharType="end"/>
    </w:r>
  </w:p>
  <w:p w14:paraId="18FF2DC0" w14:textId="77777777" w:rsidR="00F35F39" w:rsidRDefault="0076537D">
    <w:pPr>
      <w:spacing w:after="0"/>
      <w:rPr>
        <w:rFonts w:ascii="Arial" w:eastAsia="Arial" w:hAnsi="Arial"/>
        <w:color w:val="A6A6A6"/>
        <w:sz w:val="20"/>
        <w:szCs w:val="20"/>
      </w:rPr>
    </w:pPr>
    <w:r>
      <w:rPr>
        <w:rFonts w:ascii="Arial" w:eastAsia="Arial" w:hAnsi="Arial"/>
        <w:color w:val="A6A6A6"/>
        <w:sz w:val="20"/>
        <w:szCs w:val="20"/>
      </w:rPr>
      <w:t>Model Version: v3.0</w:t>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43F294" w14:textId="77777777" w:rsidR="004D2D5E" w:rsidRDefault="0076537D">
      <w:pPr>
        <w:spacing w:after="0"/>
      </w:pPr>
      <w:r>
        <w:separator/>
      </w:r>
    </w:p>
  </w:footnote>
  <w:footnote w:type="continuationSeparator" w:id="0">
    <w:p w14:paraId="6C728C73" w14:textId="77777777" w:rsidR="004D2D5E" w:rsidRDefault="0076537D">
      <w:pPr>
        <w:spacing w:after="0"/>
      </w:pPr>
      <w:r>
        <w:continuationSeparator/>
      </w:r>
    </w:p>
  </w:footnote>
  <w:footnote w:id="1">
    <w:p w14:paraId="453C6AE7" w14:textId="77777777" w:rsidR="00F35F39" w:rsidRDefault="0076537D">
      <w:pPr>
        <w:pBdr>
          <w:top w:val="nil"/>
          <w:left w:val="nil"/>
          <w:bottom w:val="nil"/>
          <w:right w:val="nil"/>
          <w:between w:val="nil"/>
        </w:pBdr>
        <w:rPr>
          <w:rFonts w:eastAsia="Calibri" w:cs="Calibri"/>
          <w:color w:val="000000"/>
          <w:sz w:val="20"/>
          <w:szCs w:val="20"/>
        </w:rPr>
      </w:pPr>
      <w:r>
        <w:rPr>
          <w:rStyle w:val="FootnoteReference"/>
        </w:rPr>
        <w:footnoteRef/>
      </w:r>
      <w:r>
        <w:rPr>
          <w:rFonts w:eastAsia="Calibri" w:cs="Calibri"/>
          <w:color w:val="000000"/>
          <w:sz w:val="20"/>
          <w:szCs w:val="20"/>
          <w:highlight w:val="yellow"/>
        </w:rPr>
        <w:t xml:space="preserve"> We recommend that you seek specific legal advice on this clause.</w:t>
      </w:r>
      <w:r>
        <w:rPr>
          <w:rFonts w:eastAsia="Calibri" w:cs="Calibri"/>
          <w:color w:val="000000"/>
          <w:sz w:val="20"/>
          <w:szCs w:val="20"/>
        </w:rPr>
        <w:t xml:space="preserve"> </w:t>
      </w:r>
    </w:p>
  </w:footnote>
  <w:footnote w:id="2">
    <w:p w14:paraId="39DDE860" w14:textId="77777777" w:rsidR="00F35F39" w:rsidRDefault="0076537D">
      <w:pPr>
        <w:pBdr>
          <w:top w:val="nil"/>
          <w:left w:val="nil"/>
          <w:bottom w:val="nil"/>
          <w:right w:val="nil"/>
          <w:between w:val="nil"/>
        </w:pBdr>
        <w:rPr>
          <w:rFonts w:eastAsia="Calibri" w:cs="Calibri"/>
          <w:color w:val="000000"/>
          <w:sz w:val="20"/>
          <w:szCs w:val="20"/>
        </w:rPr>
      </w:pPr>
      <w:r>
        <w:rPr>
          <w:rStyle w:val="FootnoteReference"/>
        </w:rPr>
        <w:footnoteRef/>
      </w:r>
      <w:r>
        <w:rPr>
          <w:rFonts w:eastAsia="Calibri" w:cs="Calibri"/>
          <w:color w:val="000000"/>
          <w:sz w:val="20"/>
          <w:szCs w:val="20"/>
          <w:highlight w:val="yellow"/>
        </w:rPr>
        <w:t>We recommend that you seek specific legal advice on this clause.</w:t>
      </w:r>
    </w:p>
  </w:footnote>
  <w:footnote w:id="3">
    <w:p w14:paraId="11287728" w14:textId="77777777" w:rsidR="00F35F39" w:rsidRDefault="0076537D">
      <w:pPr>
        <w:pBdr>
          <w:top w:val="nil"/>
          <w:left w:val="nil"/>
          <w:bottom w:val="nil"/>
          <w:right w:val="nil"/>
          <w:between w:val="nil"/>
        </w:pBdr>
        <w:rPr>
          <w:rFonts w:eastAsia="Calibri" w:cs="Calibri"/>
          <w:color w:val="000000"/>
          <w:sz w:val="20"/>
          <w:szCs w:val="20"/>
        </w:rPr>
      </w:pPr>
      <w:r>
        <w:rPr>
          <w:rStyle w:val="FootnoteReference"/>
        </w:rPr>
        <w:footnoteRef/>
      </w:r>
      <w:r>
        <w:rPr>
          <w:rFonts w:eastAsia="Calibri" w:cs="Calibri"/>
          <w:color w:val="000000"/>
          <w:sz w:val="20"/>
          <w:szCs w:val="20"/>
          <w:highlight w:val="yellow"/>
        </w:rPr>
        <w:t xml:space="preserve"> We recommend that you seek specific legal advice on this clause.</w:t>
      </w:r>
    </w:p>
  </w:footnote>
  <w:footnote w:id="4">
    <w:p w14:paraId="586FE98F" w14:textId="77777777" w:rsidR="00F35F39" w:rsidRDefault="0076537D">
      <w:pPr>
        <w:pBdr>
          <w:top w:val="nil"/>
          <w:left w:val="nil"/>
          <w:bottom w:val="nil"/>
          <w:right w:val="nil"/>
          <w:between w:val="nil"/>
        </w:pBdr>
        <w:rPr>
          <w:rFonts w:eastAsia="Calibri" w:cs="Calibri"/>
          <w:color w:val="000000"/>
          <w:sz w:val="20"/>
          <w:szCs w:val="20"/>
        </w:rPr>
      </w:pPr>
      <w:r>
        <w:rPr>
          <w:rStyle w:val="FootnoteReference"/>
        </w:rPr>
        <w:footnoteRef/>
      </w:r>
      <w:r>
        <w:rPr>
          <w:rFonts w:eastAsia="Calibri" w:cs="Calibri"/>
          <w:color w:val="000000"/>
          <w:sz w:val="20"/>
          <w:szCs w:val="20"/>
          <w:highlight w:val="yellow"/>
        </w:rPr>
        <w:t xml:space="preserve"> We recommend that you seek specific legal advice on this clause.</w:t>
      </w:r>
    </w:p>
  </w:footnote>
  <w:footnote w:id="5">
    <w:p w14:paraId="585FFD59" w14:textId="77777777" w:rsidR="00F35F39" w:rsidRDefault="0076537D">
      <w:pPr>
        <w:pBdr>
          <w:top w:val="nil"/>
          <w:left w:val="nil"/>
          <w:bottom w:val="nil"/>
          <w:right w:val="nil"/>
          <w:between w:val="nil"/>
        </w:pBdr>
        <w:rPr>
          <w:rFonts w:eastAsia="Calibri" w:cs="Calibri"/>
          <w:color w:val="000000"/>
          <w:sz w:val="20"/>
          <w:szCs w:val="20"/>
        </w:rPr>
      </w:pPr>
      <w:r>
        <w:rPr>
          <w:rStyle w:val="FootnoteReference"/>
        </w:rPr>
        <w:footnoteRef/>
      </w:r>
      <w:r>
        <w:rPr>
          <w:rFonts w:eastAsia="Calibri" w:cs="Calibri"/>
          <w:color w:val="000000"/>
          <w:sz w:val="20"/>
          <w:szCs w:val="20"/>
          <w:highlight w:val="yellow"/>
        </w:rPr>
        <w:t xml:space="preserve"> We recommend that you seek specific legal advice on this clause.</w:t>
      </w:r>
    </w:p>
  </w:footnote>
  <w:footnote w:id="6">
    <w:p w14:paraId="75871678" w14:textId="77777777" w:rsidR="00F35F39" w:rsidRDefault="0076537D">
      <w:pPr>
        <w:pBdr>
          <w:top w:val="nil"/>
          <w:left w:val="nil"/>
          <w:bottom w:val="nil"/>
          <w:right w:val="nil"/>
          <w:between w:val="nil"/>
        </w:pBdr>
        <w:rPr>
          <w:rFonts w:eastAsia="Calibri" w:cs="Calibri"/>
          <w:color w:val="000000"/>
          <w:sz w:val="20"/>
          <w:szCs w:val="20"/>
        </w:rPr>
      </w:pPr>
      <w:r>
        <w:rPr>
          <w:rStyle w:val="FootnoteReference"/>
        </w:rPr>
        <w:footnoteRef/>
      </w:r>
      <w:r>
        <w:rPr>
          <w:rFonts w:eastAsia="Calibri" w:cs="Calibri"/>
          <w:color w:val="000000"/>
          <w:sz w:val="20"/>
          <w:szCs w:val="20"/>
          <w:highlight w:val="yellow"/>
        </w:rPr>
        <w:t xml:space="preserve"> We recommend that you seek specific legal advice on this definition.</w:t>
      </w:r>
    </w:p>
  </w:footnote>
  <w:footnote w:id="7">
    <w:p w14:paraId="5A760350" w14:textId="77777777" w:rsidR="00F35F39" w:rsidRDefault="0076537D">
      <w:pPr>
        <w:pBdr>
          <w:top w:val="nil"/>
          <w:left w:val="nil"/>
          <w:bottom w:val="nil"/>
          <w:right w:val="nil"/>
          <w:between w:val="nil"/>
        </w:pBdr>
        <w:rPr>
          <w:rFonts w:eastAsia="Calibri" w:cs="Calibri"/>
          <w:color w:val="000000"/>
          <w:sz w:val="20"/>
          <w:szCs w:val="20"/>
        </w:rPr>
      </w:pPr>
      <w:r>
        <w:rPr>
          <w:rStyle w:val="FootnoteReference"/>
        </w:rPr>
        <w:footnoteRef/>
      </w:r>
      <w:r>
        <w:rPr>
          <w:rFonts w:eastAsia="Calibri" w:cs="Calibri"/>
          <w:color w:val="000000"/>
          <w:sz w:val="20"/>
          <w:szCs w:val="20"/>
          <w:highlight w:val="yellow"/>
        </w:rPr>
        <w:t xml:space="preserve"> We recommend that you seek specific legal advice on this clause.</w:t>
      </w:r>
    </w:p>
  </w:footnote>
  <w:footnote w:id="8">
    <w:p w14:paraId="7C69E881" w14:textId="77777777" w:rsidR="00F35F39" w:rsidRDefault="0076537D">
      <w:pPr>
        <w:pBdr>
          <w:top w:val="nil"/>
          <w:left w:val="nil"/>
          <w:bottom w:val="nil"/>
          <w:right w:val="nil"/>
          <w:between w:val="nil"/>
        </w:pBdr>
        <w:rPr>
          <w:rFonts w:eastAsia="Calibri" w:cs="Calibri"/>
          <w:color w:val="000000"/>
          <w:sz w:val="20"/>
          <w:szCs w:val="20"/>
        </w:rPr>
      </w:pPr>
      <w:r>
        <w:rPr>
          <w:rStyle w:val="FootnoteReference"/>
        </w:rPr>
        <w:footnoteRef/>
      </w:r>
      <w:r>
        <w:rPr>
          <w:rFonts w:eastAsia="Calibri" w:cs="Calibri"/>
          <w:color w:val="000000"/>
          <w:sz w:val="20"/>
          <w:szCs w:val="20"/>
          <w:highlight w:val="yellow"/>
        </w:rPr>
        <w:t xml:space="preserve"> We recommend that you seek specific legal advice on this clause.</w:t>
      </w:r>
    </w:p>
  </w:footnote>
  <w:footnote w:id="9">
    <w:p w14:paraId="060991E8" w14:textId="77777777" w:rsidR="00F35F39" w:rsidRDefault="0076537D">
      <w:pPr>
        <w:pBdr>
          <w:top w:val="nil"/>
          <w:left w:val="nil"/>
          <w:bottom w:val="nil"/>
          <w:right w:val="nil"/>
          <w:between w:val="nil"/>
        </w:pBdr>
        <w:rPr>
          <w:rFonts w:eastAsia="Calibri" w:cs="Calibri"/>
          <w:color w:val="000000"/>
          <w:sz w:val="20"/>
          <w:szCs w:val="20"/>
        </w:rPr>
      </w:pPr>
      <w:r>
        <w:rPr>
          <w:rStyle w:val="FootnoteReference"/>
        </w:rPr>
        <w:footnoteRef/>
      </w:r>
      <w:r>
        <w:rPr>
          <w:rFonts w:eastAsia="Calibri" w:cs="Calibri"/>
          <w:color w:val="000000"/>
          <w:sz w:val="20"/>
          <w:szCs w:val="20"/>
          <w:highlight w:val="yellow"/>
        </w:rPr>
        <w:t xml:space="preserve"> We recommend that you seek specific legal advice on this clause.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FC23F" w14:textId="77777777" w:rsidR="00F35F39" w:rsidRDefault="0076537D">
    <w:pPr>
      <w:pBdr>
        <w:top w:val="nil"/>
        <w:left w:val="nil"/>
        <w:bottom w:val="nil"/>
        <w:right w:val="nil"/>
        <w:between w:val="nil"/>
      </w:pBdr>
      <w:tabs>
        <w:tab w:val="center" w:pos="4513"/>
        <w:tab w:val="right" w:pos="9026"/>
      </w:tabs>
      <w:spacing w:after="0"/>
      <w:rPr>
        <w:rFonts w:ascii="Arial" w:eastAsia="Arial" w:hAnsi="Arial"/>
        <w:b/>
        <w:color w:val="000000"/>
        <w:sz w:val="20"/>
        <w:szCs w:val="20"/>
      </w:rPr>
    </w:pPr>
    <w:r>
      <w:rPr>
        <w:rFonts w:ascii="Arial" w:eastAsia="Arial" w:hAnsi="Arial"/>
        <w:b/>
        <w:color w:val="000000"/>
        <w:sz w:val="20"/>
        <w:szCs w:val="20"/>
      </w:rPr>
      <w:t>Call-Off Schedule 2 (Staff Transfer)</w:t>
    </w:r>
  </w:p>
  <w:p w14:paraId="119BCA59" w14:textId="77777777" w:rsidR="00F35F39" w:rsidRDefault="0076537D">
    <w:pPr>
      <w:pBdr>
        <w:top w:val="nil"/>
        <w:left w:val="nil"/>
        <w:bottom w:val="nil"/>
        <w:right w:val="nil"/>
        <w:between w:val="nil"/>
      </w:pBdr>
      <w:tabs>
        <w:tab w:val="center" w:pos="4513"/>
        <w:tab w:val="right" w:pos="9026"/>
      </w:tabs>
      <w:spacing w:after="0"/>
      <w:rPr>
        <w:rFonts w:eastAsia="Calibri" w:cs="Calibri"/>
        <w:color w:val="000000"/>
      </w:rPr>
    </w:pPr>
    <w:r>
      <w:rPr>
        <w:rFonts w:ascii="Arial" w:eastAsia="Arial" w:hAnsi="Arial"/>
        <w:color w:val="000000"/>
        <w:sz w:val="20"/>
        <w:szCs w:val="20"/>
      </w:rPr>
      <w:t xml:space="preserve">Call-Off Ref: </w:t>
    </w:r>
  </w:p>
  <w:p w14:paraId="20AE7B8C" w14:textId="6D2A49DF" w:rsidR="00F35F39" w:rsidRDefault="0076537D">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Crown Copyright 20</w:t>
    </w:r>
    <w:r>
      <w:rPr>
        <w:rFonts w:ascii="Arial" w:eastAsia="Arial" w:hAnsi="Arial"/>
        <w:sz w:val="20"/>
        <w:szCs w:val="20"/>
      </w:rPr>
      <w:t>2</w:t>
    </w:r>
    <w:r w:rsidR="00544F2B">
      <w:rPr>
        <w:rFonts w:ascii="Arial" w:eastAsia="Arial" w:hAnsi="Arial"/>
        <w:sz w:val="20"/>
        <w:szCs w:val="20"/>
      </w:rPr>
      <w:t>4</w:t>
    </w:r>
    <w:r>
      <w:rPr>
        <w:rFonts w:ascii="Arial" w:eastAsia="Arial" w:hAnsi="Arial"/>
        <w:color w:val="000000"/>
        <w:sz w:val="20"/>
        <w:szCs w:val="20"/>
      </w:rPr>
      <w:t xml:space="preserve"> </w:t>
    </w:r>
  </w:p>
  <w:p w14:paraId="60C65AB6" w14:textId="77777777" w:rsidR="00F35F39" w:rsidRDefault="00F35F39">
    <w:pPr>
      <w:pBdr>
        <w:top w:val="nil"/>
        <w:left w:val="nil"/>
        <w:bottom w:val="nil"/>
        <w:right w:val="nil"/>
        <w:between w:val="nil"/>
      </w:pBdr>
      <w:tabs>
        <w:tab w:val="center" w:pos="4513"/>
        <w:tab w:val="right" w:pos="9026"/>
      </w:tabs>
      <w:spacing w:after="0"/>
      <w:rPr>
        <w:rFonts w:eastAsia="Calibri"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557754" w14:textId="77777777" w:rsidR="00F35F39" w:rsidRDefault="00F35F39">
    <w:pPr>
      <w:pBdr>
        <w:top w:val="nil"/>
        <w:left w:val="nil"/>
        <w:bottom w:val="nil"/>
        <w:right w:val="nil"/>
        <w:between w:val="nil"/>
      </w:pBdr>
      <w:tabs>
        <w:tab w:val="center" w:pos="4513"/>
        <w:tab w:val="right" w:pos="9026"/>
      </w:tabs>
      <w:spacing w:after="0"/>
      <w:rPr>
        <w:rFonts w:eastAsia="Calibri" w:cs="Calibri"/>
        <w:color w:val="000000"/>
      </w:rPr>
    </w:pPr>
  </w:p>
  <w:p w14:paraId="02CFB59E" w14:textId="77777777" w:rsidR="00F35F39" w:rsidRDefault="00F35F39">
    <w:pPr>
      <w:pBdr>
        <w:top w:val="nil"/>
        <w:left w:val="nil"/>
        <w:bottom w:val="nil"/>
        <w:right w:val="nil"/>
        <w:between w:val="nil"/>
      </w:pBdr>
      <w:tabs>
        <w:tab w:val="center" w:pos="4513"/>
        <w:tab w:val="right" w:pos="9026"/>
      </w:tabs>
      <w:spacing w:after="0"/>
      <w:rPr>
        <w:rFonts w:eastAsia="Calibri" w:cs="Calibri"/>
        <w:color w:val="000000"/>
      </w:rPr>
    </w:pPr>
  </w:p>
  <w:p w14:paraId="75772B76" w14:textId="77777777" w:rsidR="00F35F39" w:rsidRDefault="00F35F39">
    <w:pPr>
      <w:pBdr>
        <w:top w:val="nil"/>
        <w:left w:val="nil"/>
        <w:bottom w:val="nil"/>
        <w:right w:val="nil"/>
        <w:between w:val="nil"/>
      </w:pBdr>
      <w:tabs>
        <w:tab w:val="center" w:pos="4513"/>
        <w:tab w:val="right" w:pos="9026"/>
      </w:tabs>
      <w:spacing w:after="0"/>
      <w:rPr>
        <w:rFonts w:eastAsia="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07E68"/>
    <w:multiLevelType w:val="multilevel"/>
    <w:tmpl w:val="69B258B0"/>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 w15:restartNumberingAfterBreak="0">
    <w:nsid w:val="10B35A34"/>
    <w:multiLevelType w:val="multilevel"/>
    <w:tmpl w:val="740EDF94"/>
    <w:lvl w:ilvl="0">
      <w:start w:val="1"/>
      <w:numFmt w:val="lowerLetter"/>
      <w:pStyle w:val="GPsDefinition"/>
      <w:lvlText w:val="(%1)"/>
      <w:lvlJc w:val="left"/>
      <w:pPr>
        <w:ind w:left="1587" w:hanging="793"/>
      </w:pPr>
    </w:lvl>
    <w:lvl w:ilvl="1">
      <w:start w:val="1"/>
      <w:numFmt w:val="lowerRoman"/>
      <w:pStyle w:val="GPSDefinitionL2"/>
      <w:lvlText w:val="(%2)"/>
      <w:lvlJc w:val="left"/>
      <w:pPr>
        <w:ind w:left="2381" w:hanging="794"/>
      </w:pPr>
    </w:lvl>
    <w:lvl w:ilvl="2">
      <w:start w:val="1"/>
      <w:numFmt w:val="decimal"/>
      <w:pStyle w:val="GPSDefinitionL3"/>
      <w:lvlText w:val=""/>
      <w:lvlJc w:val="left"/>
      <w:pPr>
        <w:ind w:left="2381" w:hanging="794"/>
      </w:pPr>
    </w:lvl>
    <w:lvl w:ilvl="3">
      <w:start w:val="1"/>
      <w:numFmt w:val="decimal"/>
      <w:pStyle w:val="GPSDefinitionL4"/>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2" w15:restartNumberingAfterBreak="0">
    <w:nsid w:val="1AD637C8"/>
    <w:multiLevelType w:val="multilevel"/>
    <w:tmpl w:val="44609380"/>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pStyle w:val="DefinitionNumbering8"/>
      <w:lvlText w:val=""/>
      <w:lvlJc w:val="left"/>
      <w:pPr>
        <w:ind w:left="5040" w:hanging="720"/>
      </w:pPr>
      <w:rPr>
        <w:smallCaps w:val="0"/>
      </w:rPr>
    </w:lvl>
    <w:lvl w:ilvl="8">
      <w:start w:val="1"/>
      <w:numFmt w:val="decimal"/>
      <w:pStyle w:val="DefinitionNumbering9"/>
      <w:lvlText w:val=""/>
      <w:lvlJc w:val="left"/>
      <w:pPr>
        <w:ind w:left="5040" w:hanging="720"/>
      </w:pPr>
      <w:rPr>
        <w:smallCaps w:val="0"/>
      </w:rPr>
    </w:lvl>
  </w:abstractNum>
  <w:abstractNum w:abstractNumId="3" w15:restartNumberingAfterBreak="0">
    <w:nsid w:val="24086FD8"/>
    <w:multiLevelType w:val="multilevel"/>
    <w:tmpl w:val="27043486"/>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4" w15:restartNumberingAfterBreak="0">
    <w:nsid w:val="2F4C3D6D"/>
    <w:multiLevelType w:val="multilevel"/>
    <w:tmpl w:val="8FD2EC90"/>
    <w:lvl w:ilvl="0">
      <w:start w:val="1"/>
      <w:numFmt w:val="bullet"/>
      <w:pStyle w:val="GPSL1CLAUSEHEADING"/>
      <w:lvlText w:val="●"/>
      <w:lvlJc w:val="left"/>
      <w:pPr>
        <w:ind w:left="720" w:hanging="360"/>
      </w:pPr>
      <w:rPr>
        <w:rFonts w:ascii="Noto Sans Symbols" w:eastAsia="Noto Sans Symbols" w:hAnsi="Noto Sans Symbols" w:cs="Noto Sans Symbols"/>
      </w:rPr>
    </w:lvl>
    <w:lvl w:ilvl="1">
      <w:start w:val="1"/>
      <w:numFmt w:val="bullet"/>
      <w:pStyle w:val="GPSL2NumberedBoldHeading"/>
      <w:lvlText w:val="o"/>
      <w:lvlJc w:val="left"/>
      <w:pPr>
        <w:ind w:left="1440" w:hanging="360"/>
      </w:pPr>
      <w:rPr>
        <w:rFonts w:ascii="Courier New" w:eastAsia="Courier New" w:hAnsi="Courier New" w:cs="Courier New"/>
      </w:rPr>
    </w:lvl>
    <w:lvl w:ilvl="2">
      <w:start w:val="1"/>
      <w:numFmt w:val="bullet"/>
      <w:pStyle w:val="GPSL3numberedclause"/>
      <w:lvlText w:val="▪"/>
      <w:lvlJc w:val="left"/>
      <w:pPr>
        <w:ind w:left="2160" w:hanging="360"/>
      </w:pPr>
      <w:rPr>
        <w:rFonts w:ascii="Noto Sans Symbols" w:eastAsia="Noto Sans Symbols" w:hAnsi="Noto Sans Symbols" w:cs="Noto Sans Symbols"/>
      </w:rPr>
    </w:lvl>
    <w:lvl w:ilvl="3">
      <w:start w:val="1"/>
      <w:numFmt w:val="bullet"/>
      <w:pStyle w:val="GPSL4numberedclause"/>
      <w:lvlText w:val="●"/>
      <w:lvlJc w:val="left"/>
      <w:pPr>
        <w:ind w:left="2880" w:hanging="360"/>
      </w:pPr>
      <w:rPr>
        <w:rFonts w:ascii="Noto Sans Symbols" w:eastAsia="Noto Sans Symbols" w:hAnsi="Noto Sans Symbols" w:cs="Noto Sans Symbols"/>
      </w:rPr>
    </w:lvl>
    <w:lvl w:ilvl="4">
      <w:start w:val="1"/>
      <w:numFmt w:val="bullet"/>
      <w:pStyle w:val="GPSL5numberedclause"/>
      <w:lvlText w:val="o"/>
      <w:lvlJc w:val="left"/>
      <w:pPr>
        <w:ind w:left="3600" w:hanging="360"/>
      </w:pPr>
      <w:rPr>
        <w:rFonts w:ascii="Courier New" w:eastAsia="Courier New" w:hAnsi="Courier New" w:cs="Courier New"/>
      </w:rPr>
    </w:lvl>
    <w:lvl w:ilvl="5">
      <w:start w:val="1"/>
      <w:numFmt w:val="bullet"/>
      <w:pStyle w:val="GPSL6numbered"/>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2A90A47"/>
    <w:multiLevelType w:val="multilevel"/>
    <w:tmpl w:val="0D64F05E"/>
    <w:lvl w:ilvl="0">
      <w:start w:val="1"/>
      <w:numFmt w:val="lowerLetter"/>
      <w:pStyle w:val="FFWDefinitionColumnLevel1"/>
      <w:lvlText w:val="(%1)"/>
      <w:lvlJc w:val="left"/>
      <w:pPr>
        <w:ind w:left="1587" w:hanging="793"/>
      </w:pPr>
    </w:lvl>
    <w:lvl w:ilvl="1">
      <w:start w:val="1"/>
      <w:numFmt w:val="lowerRoman"/>
      <w:pStyle w:val="FFWDefinitionColumnLevel2"/>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6" w15:restartNumberingAfterBreak="0">
    <w:nsid w:val="46197D18"/>
    <w:multiLevelType w:val="multilevel"/>
    <w:tmpl w:val="BB100042"/>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7" w15:restartNumberingAfterBreak="0">
    <w:nsid w:val="4A155388"/>
    <w:multiLevelType w:val="multilevel"/>
    <w:tmpl w:val="7E644A50"/>
    <w:lvl w:ilvl="0">
      <w:start w:val="6"/>
      <w:numFmt w:val="decimal"/>
      <w:lvlText w:val=""/>
      <w:lvlJc w:val="center"/>
      <w:pPr>
        <w:ind w:left="0" w:hanging="57"/>
      </w:pPr>
    </w:lvl>
    <w:lvl w:ilvl="1">
      <w:start w:val="12"/>
      <w:numFmt w:val="decimal"/>
      <w:lvlText w:val="%1%2"/>
      <w:lvlJc w:val="left"/>
      <w:pPr>
        <w:ind w:left="709" w:hanging="709"/>
      </w:pPr>
      <w:rPr>
        <w:b/>
      </w:rPr>
    </w:lvl>
    <w:lvl w:ilvl="2">
      <w:start w:val="1"/>
      <w:numFmt w:val="decimal"/>
      <w:lvlText w:val="%2.%3"/>
      <w:lvlJc w:val="left"/>
      <w:pPr>
        <w:ind w:left="709" w:hanging="709"/>
      </w:pPr>
      <w:rPr>
        <w:rFonts w:ascii="Calibri" w:eastAsia="Calibri" w:hAnsi="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Trebuchet MS" w:eastAsia="Trebuchet MS" w:hAnsi="Trebuchet MS" w:cs="Trebuchet MS"/>
      </w:r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8" w15:restartNumberingAfterBreak="0">
    <w:nsid w:val="4E6427C2"/>
    <w:multiLevelType w:val="multilevel"/>
    <w:tmpl w:val="E2BAB590"/>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9" w15:restartNumberingAfterBreak="0">
    <w:nsid w:val="50F7519A"/>
    <w:multiLevelType w:val="multilevel"/>
    <w:tmpl w:val="9A7C09DC"/>
    <w:lvl w:ilvl="0">
      <w:start w:val="1"/>
      <w:numFmt w:val="lowerLetter"/>
      <w:pStyle w:val="MOJStyle0"/>
      <w:lvlText w:val="(%1)"/>
      <w:lvlJc w:val="left"/>
      <w:pPr>
        <w:ind w:left="1587" w:hanging="793"/>
      </w:pPr>
    </w:lvl>
    <w:lvl w:ilvl="1">
      <w:start w:val="1"/>
      <w:numFmt w:val="lowerRoman"/>
      <w:pStyle w:val="MOJLevel1"/>
      <w:lvlText w:val="(%2)"/>
      <w:lvlJc w:val="left"/>
      <w:pPr>
        <w:ind w:left="2381" w:hanging="794"/>
      </w:pPr>
    </w:lvl>
    <w:lvl w:ilvl="2">
      <w:start w:val="1"/>
      <w:numFmt w:val="decimal"/>
      <w:pStyle w:val="MOJLevel2"/>
      <w:lvlText w:val=""/>
      <w:lvlJc w:val="left"/>
      <w:pPr>
        <w:ind w:left="2381" w:hanging="794"/>
      </w:pPr>
    </w:lvl>
    <w:lvl w:ilvl="3">
      <w:start w:val="1"/>
      <w:numFmt w:val="decimal"/>
      <w:pStyle w:val="MOJLevel3"/>
      <w:lvlText w:val=""/>
      <w:lvlJc w:val="left"/>
      <w:pPr>
        <w:ind w:left="2381" w:hanging="794"/>
      </w:pPr>
    </w:lvl>
    <w:lvl w:ilvl="4">
      <w:start w:val="1"/>
      <w:numFmt w:val="decimal"/>
      <w:pStyle w:val="MOJLevel4"/>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10" w15:restartNumberingAfterBreak="0">
    <w:nsid w:val="577B50BB"/>
    <w:multiLevelType w:val="multilevel"/>
    <w:tmpl w:val="DAE4E034"/>
    <w:lvl w:ilvl="0">
      <w:start w:val="1"/>
      <w:numFmt w:val="decimal"/>
      <w:pStyle w:val="ScheduleL1"/>
      <w:lvlText w:val="%1."/>
      <w:lvlJc w:val="left"/>
      <w:pPr>
        <w:ind w:left="720" w:hanging="720"/>
      </w:pPr>
      <w:rPr>
        <w:smallCaps w:val="0"/>
      </w:rPr>
    </w:lvl>
    <w:lvl w:ilvl="1">
      <w:start w:val="1"/>
      <w:numFmt w:val="decimal"/>
      <w:pStyle w:val="ScheduleL2"/>
      <w:lvlText w:val="%1.%2"/>
      <w:lvlJc w:val="left"/>
      <w:pPr>
        <w:ind w:left="720" w:hanging="720"/>
      </w:pPr>
      <w:rPr>
        <w:rFonts w:ascii="Arial" w:eastAsia="Arial" w:hAnsi="Arial" w:cs="Arial"/>
        <w:b w:val="0"/>
        <w:smallCaps w:val="0"/>
      </w:rPr>
    </w:lvl>
    <w:lvl w:ilvl="2">
      <w:start w:val="1"/>
      <w:numFmt w:val="decimal"/>
      <w:pStyle w:val="ScheduleL3"/>
      <w:lvlText w:val="%1.%2.%3"/>
      <w:lvlJc w:val="left"/>
      <w:pPr>
        <w:ind w:left="2214" w:hanging="1080"/>
      </w:pPr>
      <w:rPr>
        <w:smallCaps w:val="0"/>
      </w:rPr>
    </w:lvl>
    <w:lvl w:ilvl="3">
      <w:start w:val="1"/>
      <w:numFmt w:val="lowerLetter"/>
      <w:pStyle w:val="ScheduleL4"/>
      <w:lvlText w:val="(%4)"/>
      <w:lvlJc w:val="left"/>
      <w:pPr>
        <w:ind w:left="2880" w:hanging="1080"/>
      </w:pPr>
      <w:rPr>
        <w:smallCaps w:val="0"/>
      </w:rPr>
    </w:lvl>
    <w:lvl w:ilvl="4">
      <w:start w:val="1"/>
      <w:numFmt w:val="lowerLetter"/>
      <w:pStyle w:val="ScheduleL5"/>
      <w:lvlText w:val="(%5)"/>
      <w:lvlJc w:val="left"/>
      <w:pPr>
        <w:ind w:left="3600" w:hanging="720"/>
      </w:pPr>
      <w:rPr>
        <w:smallCaps w:val="0"/>
      </w:rPr>
    </w:lvl>
    <w:lvl w:ilvl="5">
      <w:start w:val="1"/>
      <w:numFmt w:val="lowerRoman"/>
      <w:pStyle w:val="ScheduleL6"/>
      <w:lvlText w:val="(%6)"/>
      <w:lvlJc w:val="left"/>
      <w:pPr>
        <w:ind w:left="4320" w:hanging="720"/>
      </w:pPr>
      <w:rPr>
        <w:smallCaps w:val="0"/>
      </w:rPr>
    </w:lvl>
    <w:lvl w:ilvl="6">
      <w:start w:val="1"/>
      <w:numFmt w:val="decimal"/>
      <w:pStyle w:val="ScheduleL7"/>
      <w:lvlText w:val="(%7)"/>
      <w:lvlJc w:val="left"/>
      <w:pPr>
        <w:ind w:left="5040" w:hanging="720"/>
      </w:pPr>
      <w:rPr>
        <w:smallCaps w:val="0"/>
      </w:rPr>
    </w:lvl>
    <w:lvl w:ilvl="7">
      <w:start w:val="1"/>
      <w:numFmt w:val="decimal"/>
      <w:pStyle w:val="ScheduleL8"/>
      <w:lvlText w:val=""/>
      <w:lvlJc w:val="left"/>
      <w:pPr>
        <w:ind w:left="5040" w:hanging="720"/>
      </w:pPr>
      <w:rPr>
        <w:smallCaps w:val="0"/>
      </w:rPr>
    </w:lvl>
    <w:lvl w:ilvl="8">
      <w:start w:val="1"/>
      <w:numFmt w:val="decimal"/>
      <w:pStyle w:val="ScheduleL9"/>
      <w:lvlText w:val=""/>
      <w:lvlJc w:val="left"/>
      <w:pPr>
        <w:ind w:left="5040" w:hanging="720"/>
      </w:pPr>
      <w:rPr>
        <w:smallCaps w:val="0"/>
      </w:rPr>
    </w:lvl>
  </w:abstractNum>
  <w:abstractNum w:abstractNumId="11" w15:restartNumberingAfterBreak="0">
    <w:nsid w:val="608050B6"/>
    <w:multiLevelType w:val="multilevel"/>
    <w:tmpl w:val="415A75F2"/>
    <w:lvl w:ilvl="0">
      <w:start w:val="2"/>
      <w:numFmt w:val="decimal"/>
      <w:lvlText w:val="%1."/>
      <w:lvlJc w:val="left"/>
      <w:pPr>
        <w:ind w:left="360" w:hanging="360"/>
      </w:pPr>
      <w:rPr>
        <w:b w:val="0"/>
        <w:i w:val="0"/>
        <w:smallCaps w:val="0"/>
        <w:strike w:val="0"/>
        <w:color w:val="000000"/>
        <w:u w:val="none"/>
        <w:vertAlign w:val="baseline"/>
      </w:rPr>
    </w:lvl>
    <w:lvl w:ilvl="1">
      <w:start w:val="1"/>
      <w:numFmt w:val="decimal"/>
      <w:pStyle w:val="Heading7"/>
      <w:lvlText w:val="%1.%2"/>
      <w:lvlJc w:val="left"/>
      <w:pPr>
        <w:ind w:left="1353" w:hanging="359"/>
      </w:pPr>
      <w:rPr>
        <w:b w:val="0"/>
        <w:i w:val="0"/>
        <w:smallCaps w:val="0"/>
        <w:strike w:val="0"/>
        <w:color w:val="000000"/>
        <w:u w:val="none"/>
        <w:vertAlign w:val="baseline"/>
      </w:rPr>
    </w:lvl>
    <w:lvl w:ilvl="2">
      <w:start w:val="1"/>
      <w:numFmt w:val="decimal"/>
      <w:pStyle w:val="Heading8"/>
      <w:lvlText w:val="%1.%2.%3"/>
      <w:lvlJc w:val="left"/>
      <w:pPr>
        <w:ind w:left="1713" w:hanging="719"/>
      </w:pPr>
      <w:rPr>
        <w:b w:val="0"/>
        <w:i w:val="0"/>
        <w:smallCaps w:val="0"/>
        <w:strike w:val="0"/>
        <w:color w:val="000000"/>
        <w:u w:val="none"/>
        <w:vertAlign w:val="baseline"/>
      </w:rPr>
    </w:lvl>
    <w:lvl w:ilvl="3">
      <w:start w:val="1"/>
      <w:numFmt w:val="lowerLetter"/>
      <w:pStyle w:val="Heading9"/>
      <w:lvlText w:val="(%4)"/>
      <w:lvlJc w:val="left"/>
      <w:pPr>
        <w:ind w:left="1080" w:hanging="720"/>
      </w:pPr>
      <w:rPr>
        <w:b w:val="0"/>
        <w:i w:val="0"/>
        <w:smallCaps w:val="0"/>
        <w:strike w:val="0"/>
        <w:color w:val="000000"/>
        <w:u w:val="none"/>
        <w:vertAlign w:val="baseline"/>
      </w:rPr>
    </w:lvl>
    <w:lvl w:ilvl="4">
      <w:start w:val="1"/>
      <w:numFmt w:val="lowerRoman"/>
      <w:lvlText w:val="(%5)"/>
      <w:lvlJc w:val="left"/>
      <w:pPr>
        <w:ind w:left="3916" w:hanging="1080"/>
      </w:pPr>
      <w:rPr>
        <w:b w:val="0"/>
        <w:i w:val="0"/>
        <w:smallCaps w:val="0"/>
        <w:strike w:val="0"/>
        <w:color w:val="000000"/>
        <w:u w:val="none"/>
        <w:vertAlign w:val="baseline"/>
      </w:rPr>
    </w:lvl>
    <w:lvl w:ilvl="5">
      <w:start w:val="1"/>
      <w:numFmt w:val="upperLetter"/>
      <w:lvlText w:val="(%6)"/>
      <w:lvlJc w:val="left"/>
      <w:pPr>
        <w:ind w:left="1440" w:hanging="1080"/>
      </w:pPr>
      <w:rPr>
        <w:color w:val="000000"/>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 w15:restartNumberingAfterBreak="0">
    <w:nsid w:val="62B33F53"/>
    <w:multiLevelType w:val="multilevel"/>
    <w:tmpl w:val="16D0800C"/>
    <w:lvl w:ilvl="0">
      <w:start w:val="1"/>
      <w:numFmt w:val="decimal"/>
      <w:pStyle w:val="FFWLevel1"/>
      <w:lvlText w:val="%1"/>
      <w:lvlJc w:val="left"/>
      <w:pPr>
        <w:ind w:left="170" w:hanging="170"/>
      </w:pPr>
      <w:rPr>
        <w:rFonts w:ascii="Arial" w:eastAsia="Arial" w:hAnsi="Arial" w:cs="Arial"/>
        <w:sz w:val="22"/>
        <w:szCs w:val="22"/>
      </w:rPr>
    </w:lvl>
    <w:lvl w:ilvl="1">
      <w:start w:val="1"/>
      <w:numFmt w:val="lowerLetter"/>
      <w:pStyle w:val="FFWLevel2"/>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pStyle w:val="FFWLevel3"/>
      <w:lvlText w:val="(%4)"/>
      <w:lvlJc w:val="left"/>
      <w:pPr>
        <w:ind w:left="1440" w:hanging="360"/>
      </w:pPr>
    </w:lvl>
    <w:lvl w:ilvl="4">
      <w:start w:val="1"/>
      <w:numFmt w:val="lowerLetter"/>
      <w:lvlText w:val="(%5)"/>
      <w:lvlJc w:val="left"/>
      <w:pPr>
        <w:ind w:left="1800" w:hanging="360"/>
      </w:pPr>
    </w:lvl>
    <w:lvl w:ilvl="5">
      <w:start w:val="1"/>
      <w:numFmt w:val="lowerRoman"/>
      <w:pStyle w:val="FFWLevel6"/>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6E24269"/>
    <w:multiLevelType w:val="multilevel"/>
    <w:tmpl w:val="E4E83936"/>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pStyle w:val="Sch1styleclause"/>
      <w:lvlText w:val="%1.%2.%3"/>
      <w:lvlJc w:val="left"/>
      <w:pPr>
        <w:ind w:left="2214" w:hanging="1080"/>
      </w:pPr>
      <w:rPr>
        <w:smallCaps w:val="0"/>
      </w:rPr>
    </w:lvl>
    <w:lvl w:ilvl="3">
      <w:start w:val="1"/>
      <w:numFmt w:val="lowerLetter"/>
      <w:pStyle w:val="Sch1stylesubclause"/>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4" w15:restartNumberingAfterBreak="0">
    <w:nsid w:val="674F024B"/>
    <w:multiLevelType w:val="multilevel"/>
    <w:tmpl w:val="46441CDE"/>
    <w:lvl w:ilvl="0">
      <w:start w:val="1"/>
      <w:numFmt w:val="decimal"/>
      <w:lvlText w:val=""/>
      <w:lvlJc w:val="center"/>
      <w:pPr>
        <w:ind w:left="0" w:hanging="57"/>
      </w:pPr>
    </w:lvl>
    <w:lvl w:ilvl="1">
      <w:start w:val="1"/>
      <w:numFmt w:val="decimal"/>
      <w:lvlText w:val="%1%2"/>
      <w:lvlJc w:val="left"/>
      <w:pPr>
        <w:ind w:left="709" w:hanging="709"/>
      </w:pPr>
      <w:rPr>
        <w:b/>
      </w:rPr>
    </w:lvl>
    <w:lvl w:ilvl="2">
      <w:start w:val="1"/>
      <w:numFmt w:val="decimal"/>
      <w:lvlText w:val="%2.%3"/>
      <w:lvlJc w:val="left"/>
      <w:pPr>
        <w:ind w:left="709" w:hanging="709"/>
      </w:pPr>
      <w:rPr>
        <w:rFonts w:ascii="Calibri" w:eastAsia="Calibri" w:hAnsi="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Trebuchet MS" w:eastAsia="Trebuchet MS" w:hAnsi="Trebuchet MS" w:cs="Trebuchet MS"/>
      </w:r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15" w15:restartNumberingAfterBreak="0">
    <w:nsid w:val="6AB61045"/>
    <w:multiLevelType w:val="multilevel"/>
    <w:tmpl w:val="B476C0B8"/>
    <w:lvl w:ilvl="0">
      <w:start w:val="1"/>
      <w:numFmt w:val="decimal"/>
      <w:pStyle w:val="StyleHeading5ServiceConformance4HeadingHeading5unusedLev"/>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6" w15:restartNumberingAfterBreak="0">
    <w:nsid w:val="77234DA7"/>
    <w:multiLevelType w:val="multilevel"/>
    <w:tmpl w:val="9500BA56"/>
    <w:lvl w:ilvl="0">
      <w:start w:val="1"/>
      <w:numFmt w:val="lowerLetter"/>
      <w:pStyle w:val="ListBullet2"/>
      <w:lvlText w:val="(%1)"/>
      <w:lvlJc w:val="left"/>
      <w:pPr>
        <w:ind w:left="1587" w:hanging="793"/>
      </w:pPr>
    </w:lvl>
    <w:lvl w:ilvl="1">
      <w:start w:val="1"/>
      <w:numFmt w:val="lowerRoman"/>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17" w15:restartNumberingAfterBreak="0">
    <w:nsid w:val="7BEA1869"/>
    <w:multiLevelType w:val="multilevel"/>
    <w:tmpl w:val="6A083BE4"/>
    <w:lvl w:ilvl="0">
      <w:start w:val="1"/>
      <w:numFmt w:val="decimal"/>
      <w:pStyle w:val="FFWDefinitionLevel1"/>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8" w15:restartNumberingAfterBreak="0">
    <w:nsid w:val="7F1172DD"/>
    <w:multiLevelType w:val="multilevel"/>
    <w:tmpl w:val="A752A0A4"/>
    <w:lvl w:ilvl="0">
      <w:start w:val="1"/>
      <w:numFmt w:val="decimal"/>
      <w:pStyle w:val="ListBullet"/>
      <w:lvlText w:val=""/>
      <w:lvlJc w:val="center"/>
      <w:pPr>
        <w:ind w:left="0" w:hanging="57"/>
      </w:pPr>
    </w:lvl>
    <w:lvl w:ilvl="1">
      <w:start w:val="1"/>
      <w:numFmt w:val="decimal"/>
      <w:lvlText w:val="%1%2"/>
      <w:lvlJc w:val="left"/>
      <w:pPr>
        <w:ind w:left="709" w:hanging="709"/>
      </w:pPr>
      <w:rPr>
        <w:b/>
      </w:rPr>
    </w:lvl>
    <w:lvl w:ilvl="2">
      <w:start w:val="1"/>
      <w:numFmt w:val="decimal"/>
      <w:lvlText w:val="%2.%3"/>
      <w:lvlJc w:val="left"/>
      <w:pPr>
        <w:ind w:left="709" w:hanging="709"/>
      </w:pPr>
      <w:rPr>
        <w:rFonts w:ascii="Calibri" w:eastAsia="Calibri" w:hAnsi="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Trebuchet MS" w:eastAsia="Trebuchet MS" w:hAnsi="Trebuchet MS" w:cs="Trebuchet MS"/>
      </w:r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num w:numId="1" w16cid:durableId="862665499">
    <w:abstractNumId w:val="11"/>
  </w:num>
  <w:num w:numId="2" w16cid:durableId="2021197062">
    <w:abstractNumId w:val="15"/>
  </w:num>
  <w:num w:numId="3" w16cid:durableId="433282329">
    <w:abstractNumId w:val="18"/>
  </w:num>
  <w:num w:numId="4" w16cid:durableId="1367412945">
    <w:abstractNumId w:val="16"/>
  </w:num>
  <w:num w:numId="5" w16cid:durableId="2112160785">
    <w:abstractNumId w:val="9"/>
  </w:num>
  <w:num w:numId="6" w16cid:durableId="2007202825">
    <w:abstractNumId w:val="2"/>
  </w:num>
  <w:num w:numId="7" w16cid:durableId="924807304">
    <w:abstractNumId w:val="13"/>
  </w:num>
  <w:num w:numId="8" w16cid:durableId="9838677">
    <w:abstractNumId w:val="12"/>
  </w:num>
  <w:num w:numId="9" w16cid:durableId="223218101">
    <w:abstractNumId w:val="5"/>
  </w:num>
  <w:num w:numId="10" w16cid:durableId="1405953432">
    <w:abstractNumId w:val="17"/>
  </w:num>
  <w:num w:numId="11" w16cid:durableId="1665937370">
    <w:abstractNumId w:val="14"/>
  </w:num>
  <w:num w:numId="12" w16cid:durableId="743451351">
    <w:abstractNumId w:val="0"/>
  </w:num>
  <w:num w:numId="13" w16cid:durableId="1328899276">
    <w:abstractNumId w:val="3"/>
  </w:num>
  <w:num w:numId="14" w16cid:durableId="246571895">
    <w:abstractNumId w:val="1"/>
  </w:num>
  <w:num w:numId="15" w16cid:durableId="1380713365">
    <w:abstractNumId w:val="4"/>
  </w:num>
  <w:num w:numId="16" w16cid:durableId="1142192841">
    <w:abstractNumId w:val="10"/>
  </w:num>
  <w:num w:numId="17" w16cid:durableId="777062360">
    <w:abstractNumId w:val="6"/>
  </w:num>
  <w:num w:numId="18" w16cid:durableId="627125279">
    <w:abstractNumId w:val="7"/>
  </w:num>
  <w:num w:numId="19" w16cid:durableId="13322955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F39"/>
    <w:rsid w:val="00015C47"/>
    <w:rsid w:val="004D2D5E"/>
    <w:rsid w:val="00544F2B"/>
    <w:rsid w:val="0076537D"/>
    <w:rsid w:val="00F35F3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7BA81"/>
  <w15:docId w15:val="{911B3436-F827-4F2C-91DF-B53C7CE80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zh-CN"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eastAsia="Times New Roman" w:cs="Arial"/>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1,o,l"/>
    <w:next w:val="Normal"/>
    <w:link w:val="Heading1Char"/>
    <w:uiPriority w:val="9"/>
    <w:qFormat/>
    <w:pPr>
      <w:jc w:val="center"/>
      <w:outlineLvl w:val="0"/>
    </w:pPr>
    <w:rPr>
      <w:rFonts w:ascii="Trebuchet MS" w:eastAsia="Times New Roman" w:hAnsi="Trebuchet MS"/>
      <w:b/>
      <w:caps/>
      <w:lang w:eastAsia="en-US"/>
    </w:rPr>
  </w:style>
  <w:style w:type="paragraph" w:styleId="Heading2">
    <w:name w:val="heading 2"/>
    <w:aliases w:val="KJL:1st Level,Heading Two,h2,(1.1,1.2,1.3 etc),Prophead 2,2,RFP Heading 2,Activity,l2,H2,PARA2,h 3,Numbered - 2,Reset numbering,S Heading,S Heading 2,Major,Section,m,Body Text (Reset numbering),TF-Overskrit 2,h2 main heading,2m,h 2,B Sub/Bold"/>
    <w:basedOn w:val="Normal"/>
    <w:next w:val="Normal"/>
    <w:link w:val="Heading2Char"/>
    <w:uiPriority w:val="9"/>
    <w:unhideWhenUsed/>
    <w:qFormat/>
    <w:pPr>
      <w:keepNext/>
      <w:keepLines/>
      <w:outlineLvl w:val="1"/>
    </w:pPr>
    <w:rPr>
      <w:rFonts w:ascii="Trebuchet MS" w:eastAsia="HGGothicM" w:hAnsi="Trebuchet MS"/>
      <w:b/>
      <w:bC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unhideWhenUsed/>
    <w:qFormat/>
    <w:pPr>
      <w:keepLines/>
      <w:outlineLvl w:val="2"/>
    </w:pPr>
    <w:rPr>
      <w:rFonts w:ascii="Trebuchet MS" w:eastAsia="HGGothicM" w:hAnsi="Trebuchet MS"/>
      <w:bCs/>
    </w:rPr>
  </w:style>
  <w:style w:type="paragraph" w:styleId="Heading4">
    <w:name w:val="heading 4"/>
    <w:aliases w:val="Sub-Minor,Project table,Propos,Bullet 1,Level 2 - a,Bullet 11,Bullet 12,Bullet 13,Bullet 14,Bullet 15,Bullet 16,h4,n,h4 sub sub heading,D Sub-Sub/Plain,Level 2 - (a),GPH Heading 4,Schedules,Second Level Heading HM,Subhead C,H4,dash,4,14,l4,141"/>
    <w:basedOn w:val="Heading3"/>
    <w:next w:val="Normal"/>
    <w:link w:val="Heading4Char"/>
    <w:uiPriority w:val="9"/>
    <w:unhideWhenUsed/>
    <w:qFormat/>
    <w:pPr>
      <w:outlineLvl w:val="3"/>
    </w:p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Heading4"/>
    <w:next w:val="Normal"/>
    <w:link w:val="Heading5Char"/>
    <w:uiPriority w:val="9"/>
    <w:unhideWhenUsed/>
    <w:qFormat/>
    <w:pPr>
      <w:outlineLvl w:val="4"/>
    </w:p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H651"/>
    <w:basedOn w:val="Heading5"/>
    <w:link w:val="Heading6Char"/>
    <w:uiPriority w:val="9"/>
    <w:semiHidden/>
    <w:unhideWhenUsed/>
    <w:qFormat/>
    <w:pPr>
      <w:keepLines w:val="0"/>
      <w:spacing w:line="360" w:lineRule="auto"/>
      <w:outlineLvl w:val="5"/>
    </w:pPr>
    <w:rPr>
      <w:rFonts w:ascii="Times New Roman" w:eastAsia="Times New Roman" w:hAnsi="Times New Roman"/>
      <w:bCs w:val="0"/>
      <w:szCs w:val="20"/>
    </w:rPr>
  </w:style>
  <w:style w:type="paragraph" w:styleId="Heading7">
    <w:name w:val="heading 7"/>
    <w:aliases w:val="3AP,Heading 7(unused),Legal Level 1.1.,L2 PIP,Lev 7,H7DO NOT USE,PA Appendix Major,Blank 3,Heading 7 (Do Not Use),Appendix Major"/>
    <w:basedOn w:val="Normal"/>
    <w:next w:val="Normal"/>
    <w:link w:val="Heading7Char"/>
    <w:qFormat/>
    <w:pPr>
      <w:numPr>
        <w:ilvl w:val="1"/>
        <w:numId w:val="1"/>
      </w:numPr>
      <w:outlineLvl w:val="6"/>
    </w:pPr>
    <w:rPr>
      <w:rFonts w:ascii="Trebuchet MS" w:eastAsia="Trebuchet MS" w:hAnsi="Trebuchet MS"/>
    </w:rPr>
  </w:style>
  <w:style w:type="paragraph" w:styleId="Heading8">
    <w:name w:val="heading 8"/>
    <w:aliases w:val="4AP,Legal Level 1.1.1.,Lev 8,h8 DO NOT USE,PA Appendix Minor,Blank 4,h8,Heading 8 (Do Not Use),Appendix Minor"/>
    <w:basedOn w:val="Normal"/>
    <w:next w:val="Normal"/>
    <w:link w:val="Heading8Char"/>
    <w:qFormat/>
    <w:pPr>
      <w:numPr>
        <w:ilvl w:val="2"/>
        <w:numId w:val="1"/>
      </w:numPr>
      <w:outlineLvl w:val="7"/>
    </w:pPr>
    <w:rPr>
      <w:rFonts w:ascii="Trebuchet MS" w:eastAsia="Trebuchet MS" w:hAnsi="Trebuchet MS"/>
    </w:rPr>
  </w:style>
  <w:style w:type="paragraph" w:styleId="Heading9">
    <w:name w:val="heading 9"/>
    <w:aliases w:val="5AP,Heading 9 (defunct),Legal Level 1.1.1.1.,Lev 9,h9 DO NOT USE,App Heading,Titre 10,App1,Blank 5,appendix,h9,Heading 9 (Do Not Use)"/>
    <w:basedOn w:val="Normal"/>
    <w:next w:val="Normal"/>
    <w:link w:val="Heading9Char"/>
    <w:qFormat/>
    <w:pPr>
      <w:numPr>
        <w:ilvl w:val="3"/>
        <w:numId w:val="1"/>
      </w:numPr>
      <w:outlineLvl w:val="8"/>
    </w:pPr>
    <w:rPr>
      <w:rFonts w:ascii="Trebuchet MS" w:eastAsia="Trebuchet MS" w:hAnsi="Trebuchet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spacing w:before="240" w:after="60" w:line="360" w:lineRule="auto"/>
      <w:jc w:val="center"/>
    </w:pPr>
    <w:rPr>
      <w:rFonts w:ascii="Arial" w:hAnsi="Arial"/>
      <w:b/>
      <w:kern w:val="28"/>
      <w:sz w:val="32"/>
      <w:szCs w:val="20"/>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uiPriority w:val="9"/>
    <w:rPr>
      <w:rFonts w:ascii="Trebuchet MS" w:eastAsia="Times New Roman" w:hAnsi="Trebuchet MS"/>
      <w:b/>
      <w:caps/>
      <w:sz w:val="22"/>
      <w:szCs w:val="22"/>
      <w:lang w:eastAsia="en-US"/>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link w:val="Heading2"/>
    <w:uiPriority w:val="9"/>
    <w:rPr>
      <w:rFonts w:ascii="Trebuchet MS" w:eastAsia="HGGothicM" w:hAnsi="Trebuchet MS" w:cs="Arial"/>
      <w:b/>
      <w:bCs/>
      <w:sz w:val="22"/>
      <w:szCs w:val="22"/>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Pr>
      <w:rFonts w:ascii="Trebuchet MS" w:eastAsia="HGGothicM" w:hAnsi="Trebuchet MS" w:cs="Arial"/>
      <w:bCs/>
      <w:sz w:val="22"/>
      <w:szCs w:val="22"/>
      <w:lang w:eastAsia="en-US"/>
    </w:rPr>
  </w:style>
  <w:style w:type="character" w:customStyle="1" w:styleId="Heading4Char">
    <w:name w:val="Heading 4 Char"/>
    <w:aliases w:val="Sub-Minor Char,Project table Char,Propos Char,Bullet 1 Char,Level 2 - a Char,Bullet 11 Char,Bullet 12 Char,Bullet 13 Char,Bullet 14 Char,Bullet 15 Char,Bullet 16 Char,h4 Char,n Char,h4 sub sub heading Char,D Sub-Sub/Plain Char,H4 Char"/>
    <w:link w:val="Heading4"/>
    <w:uiPriority w:val="39"/>
    <w:rPr>
      <w:rFonts w:ascii="Trebuchet MS" w:eastAsia="HGGothicM" w:hAnsi="Trebuchet MS" w:cs="Arial"/>
      <w:bCs/>
      <w:sz w:val="22"/>
      <w:szCs w:val="22"/>
      <w:lang w:eastAsia="en-US"/>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
    <w:link w:val="Heading5"/>
    <w:rPr>
      <w:rFonts w:ascii="Trebuchet MS" w:eastAsia="HGGothicM" w:hAnsi="Trebuchet MS" w:cs="Arial"/>
      <w:bCs/>
      <w:sz w:val="22"/>
      <w:szCs w:val="22"/>
      <w:lang w:eastAsia="en-US"/>
    </w:rPr>
  </w:style>
  <w:style w:type="character" w:customStyle="1" w:styleId="Heading7Char">
    <w:name w:val="Heading 7 Char"/>
    <w:aliases w:val="3AP Char,Heading 7(unused) Char,Legal Level 1.1. Char,L2 PIP Char,Lev 7 Char,H7DO NOT USE Char,PA Appendix Major Char,Blank 3 Char,Heading 7 (Do Not Use) Char,Appendix Major Char"/>
    <w:link w:val="Heading7"/>
    <w:rPr>
      <w:rFonts w:ascii="Trebuchet MS" w:eastAsia="Trebuchet MS" w:hAnsi="Trebuchet MS" w:cs="Arial"/>
      <w:sz w:val="22"/>
      <w:szCs w:val="22"/>
      <w:lang w:eastAsia="en-US"/>
    </w:rPr>
  </w:style>
  <w:style w:type="character" w:customStyle="1" w:styleId="Heading8Char">
    <w:name w:val="Heading 8 Char"/>
    <w:aliases w:val="4AP Char,Legal Level 1.1.1. Char,Lev 8 Char,h8 DO NOT USE Char,PA Appendix Minor Char,Blank 4 Char,h8 Char,Heading 8 (Do Not Use) Char,Appendix Minor Char"/>
    <w:link w:val="Heading8"/>
    <w:rPr>
      <w:rFonts w:ascii="Trebuchet MS" w:eastAsia="Trebuchet MS" w:hAnsi="Trebuchet MS" w:cs="Arial"/>
      <w:sz w:val="22"/>
      <w:szCs w:val="22"/>
      <w:lang w:eastAsia="en-US"/>
    </w:rPr>
  </w:style>
  <w:style w:type="character" w:customStyle="1" w:styleId="Heading9Char">
    <w:name w:val="Heading 9 Char"/>
    <w:aliases w:val="5AP Char,Heading 9 (defunct) Char,Legal Level 1.1.1.1. Char,Lev 9 Char,h9 DO NOT USE Char,App Heading Char,Titre 10 Char,App1 Char,Blank 5 Char,appendix Char,h9 Char,Heading 9 (Do Not Use) Char"/>
    <w:link w:val="Heading9"/>
    <w:rPr>
      <w:rFonts w:ascii="Trebuchet MS" w:eastAsia="Trebuchet MS" w:hAnsi="Trebuchet MS" w:cs="Arial"/>
      <w:sz w:val="22"/>
      <w:szCs w:val="22"/>
      <w:lang w:eastAsia="en-US"/>
    </w:rPr>
  </w:style>
  <w:style w:type="paragraph" w:customStyle="1" w:styleId="MarginText">
    <w:name w:val="Margin Text"/>
    <w:basedOn w:val="BodyText"/>
    <w:link w:val="MarginTextChar"/>
    <w:pPr>
      <w:spacing w:after="240"/>
      <w:ind w:left="709"/>
    </w:pPr>
    <w:rPr>
      <w:rFonts w:ascii="Trebuchet MS" w:eastAsia="Trebuchet MS" w:hAnsi="Trebuchet MS"/>
    </w:rPr>
  </w:style>
  <w:style w:type="character" w:customStyle="1" w:styleId="MarginTextChar">
    <w:name w:val="Margin Text Char"/>
    <w:link w:val="MarginText"/>
    <w:rPr>
      <w:rFonts w:ascii="Trebuchet MS" w:eastAsia="Trebuchet MS" w:hAnsi="Trebuchet MS"/>
      <w:sz w:val="22"/>
      <w:szCs w:val="22"/>
      <w:lang w:eastAsia="en-US"/>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eastAsia="Times New Roman" w:cs="Arial"/>
      <w:sz w:val="22"/>
      <w:szCs w:val="22"/>
      <w:lang w:eastAsia="en-US"/>
    </w:rPr>
  </w:style>
  <w:style w:type="paragraph" w:styleId="BodyTextIndent">
    <w:name w:val="Body Text Indent"/>
    <w:basedOn w:val="Normal"/>
    <w:link w:val="BodyTextIndentChar"/>
    <w:pPr>
      <w:ind w:left="720"/>
    </w:pPr>
    <w:rPr>
      <w:rFonts w:ascii="Trebuchet MS" w:eastAsia="Trebuchet MS" w:hAnsi="Trebuchet MS"/>
    </w:rPr>
  </w:style>
  <w:style w:type="character" w:customStyle="1" w:styleId="BodyTextIndentChar">
    <w:name w:val="Body Text Indent Char"/>
    <w:link w:val="BodyTextIndent"/>
    <w:rPr>
      <w:rFonts w:ascii="Trebuchet MS" w:eastAsia="Trebuchet MS" w:hAnsi="Trebuchet MS"/>
      <w:sz w:val="22"/>
      <w:szCs w:val="22"/>
      <w:lang w:eastAsia="en-US"/>
    </w:rPr>
  </w:style>
  <w:style w:type="paragraph" w:styleId="BodyTextIndent2">
    <w:name w:val="Body Text Indent 2"/>
    <w:basedOn w:val="Normal"/>
    <w:link w:val="BodyTextIndent2Char"/>
    <w:pPr>
      <w:ind w:left="1440"/>
    </w:pPr>
    <w:rPr>
      <w:rFonts w:ascii="Trebuchet MS" w:eastAsia="Trebuchet MS" w:hAnsi="Trebuchet MS"/>
    </w:rPr>
  </w:style>
  <w:style w:type="character" w:customStyle="1" w:styleId="BodyTextIndent2Char">
    <w:name w:val="Body Text Indent 2 Char"/>
    <w:link w:val="BodyTextIndent2"/>
    <w:rPr>
      <w:rFonts w:ascii="Trebuchet MS" w:eastAsia="Trebuchet MS" w:hAnsi="Trebuchet MS"/>
      <w:sz w:val="22"/>
      <w:szCs w:val="22"/>
      <w:lang w:eastAsia="en-US"/>
    </w:rPr>
  </w:style>
  <w:style w:type="character" w:styleId="PageNumber">
    <w:name w:val="page numbe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link w:val="Header"/>
    <w:uiPriority w:val="99"/>
    <w:rPr>
      <w:rFonts w:eastAsia="Times New Roman" w:cs="Arial"/>
      <w:sz w:val="22"/>
      <w:szCs w:val="22"/>
      <w:lang w:eastAsia="en-US"/>
    </w:rPr>
  </w:style>
  <w:style w:type="paragraph" w:customStyle="1" w:styleId="SchHeadDes">
    <w:name w:val="SchHeadDes"/>
    <w:basedOn w:val="Normal"/>
    <w:next w:val="Normal"/>
    <w:pPr>
      <w:keepNext/>
      <w:spacing w:before="120" w:after="120"/>
      <w:jc w:val="center"/>
    </w:pPr>
    <w:rPr>
      <w:rFonts w:ascii="Trebuchet MS" w:hAnsi="Trebuchet MS"/>
      <w:b/>
    </w:rPr>
  </w:style>
  <w:style w:type="paragraph" w:customStyle="1" w:styleId="Guidancenoteparagraphtext">
    <w:name w:val="Guidance note paragraph text"/>
    <w:basedOn w:val="MarginText"/>
    <w:link w:val="GuidancenoteparagraphtextChar"/>
    <w:qFormat/>
    <w:rPr>
      <w:rFonts w:ascii="Arial" w:eastAsia="STZhongsong" w:hAnsi="Arial"/>
      <w:b/>
      <w:i/>
      <w:color w:val="000000"/>
      <w:sz w:val="20"/>
      <w:szCs w:val="24"/>
      <w:lang w:eastAsia="zh-CN"/>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Des">
    <w:name w:val="PartDes"/>
    <w:basedOn w:val="Normal"/>
    <w:qFormat/>
    <w:pPr>
      <w:spacing w:before="120" w:after="120"/>
      <w:jc w:val="center"/>
    </w:pPr>
    <w:rPr>
      <w:rFonts w:ascii="Trebuchet MS" w:eastAsia="Trebuchet MS" w:hAnsi="Trebuchet MS" w:cs="Times New Roman"/>
      <w:b/>
      <w:bCs/>
    </w:rPr>
  </w:style>
  <w:style w:type="paragraph" w:customStyle="1" w:styleId="TableNormal1">
    <w:name w:val="Table Normal1"/>
    <w:basedOn w:val="Normal"/>
    <w:pPr>
      <w:spacing w:before="120" w:after="120"/>
      <w:ind w:left="34"/>
    </w:pPr>
    <w:rPr>
      <w:rFonts w:ascii="Trebuchet MS" w:eastAsia="Trebuchet MS" w:hAnsi="Trebuchet MS" w:cs="Times New Roman"/>
    </w:rPr>
  </w:style>
  <w:style w:type="paragraph" w:styleId="BodyText">
    <w:name w:val="Body Text"/>
    <w:basedOn w:val="Normal"/>
    <w:link w:val="BodyTextChar"/>
    <w:uiPriority w:val="99"/>
    <w:unhideWhenUsed/>
    <w:pPr>
      <w:spacing w:after="120"/>
    </w:pPr>
  </w:style>
  <w:style w:type="character" w:customStyle="1" w:styleId="BodyTextChar">
    <w:name w:val="Body Text Char"/>
    <w:link w:val="BodyText"/>
    <w:uiPriority w:val="99"/>
    <w:rPr>
      <w:sz w:val="22"/>
      <w:szCs w:val="22"/>
      <w:lang w:eastAsia="en-US"/>
    </w:rPr>
  </w:style>
  <w:style w:type="paragraph" w:styleId="FootnoteText">
    <w:name w:val="footnote text"/>
    <w:basedOn w:val="Normal"/>
    <w:link w:val="FootnoteTextChar"/>
    <w:uiPriority w:val="99"/>
    <w:unhideWhenUsed/>
    <w:rPr>
      <w:sz w:val="20"/>
      <w:szCs w:val="20"/>
    </w:rPr>
  </w:style>
  <w:style w:type="character" w:customStyle="1" w:styleId="FootnoteTextChar">
    <w:name w:val="Footnote Text Char"/>
    <w:link w:val="FootnoteText"/>
    <w:uiPriority w:val="99"/>
    <w:rPr>
      <w:lang w:eastAsia="en-US"/>
    </w:rPr>
  </w:style>
  <w:style w:type="character" w:styleId="FootnoteReference">
    <w:name w:val="footnote reference"/>
    <w:uiPriority w:val="99"/>
    <w:unhideWhenUsed/>
    <w:rPr>
      <w:vertAlign w:val="superscript"/>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lang w:eastAsia="en-US"/>
    </w:rPr>
  </w:style>
  <w:style w:type="character" w:styleId="CommentReference">
    <w:name w:val="annotation reference"/>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eastAsia="Times New Roman" w:cs="Arial"/>
      <w:lang w:eastAsia="en-US"/>
    </w:rPr>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link w:val="CommentSubject"/>
    <w:uiPriority w:val="99"/>
    <w:rPr>
      <w:rFonts w:eastAsia="Times New Roman" w:cs="Arial"/>
      <w:b/>
      <w:bCs/>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link w:val="Heading6"/>
    <w:rPr>
      <w:rFonts w:ascii="Times New Roman" w:eastAsia="Times New Roman" w:hAnsi="Times New Roman"/>
      <w:sz w:val="22"/>
      <w:lang w:eastAsia="en-US"/>
    </w:rPr>
  </w:style>
  <w:style w:type="paragraph" w:styleId="BodyTextIndent3">
    <w:name w:val="Body Text Indent 3"/>
    <w:basedOn w:val="Normal"/>
    <w:link w:val="BodyTextIndent3Char"/>
    <w:pPr>
      <w:spacing w:line="360" w:lineRule="auto"/>
      <w:ind w:left="2160"/>
    </w:pPr>
    <w:rPr>
      <w:rFonts w:ascii="Times New Roman" w:hAnsi="Times New Roman"/>
      <w:szCs w:val="20"/>
    </w:rPr>
  </w:style>
  <w:style w:type="character" w:customStyle="1" w:styleId="BodyTextIndent3Char">
    <w:name w:val="Body Text Indent 3 Char"/>
    <w:link w:val="BodyTextIndent3"/>
    <w:rPr>
      <w:rFonts w:ascii="Times New Roman" w:eastAsia="Times New Roman" w:hAnsi="Times New Roman"/>
      <w:sz w:val="22"/>
      <w:lang w:eastAsia="en-US"/>
    </w:rPr>
  </w:style>
  <w:style w:type="paragraph" w:customStyle="1" w:styleId="BodyTextIndent4">
    <w:name w:val="Body Text Indent 4"/>
    <w:basedOn w:val="Normal"/>
    <w:pPr>
      <w:spacing w:line="360" w:lineRule="auto"/>
      <w:ind w:left="2880"/>
    </w:pPr>
    <w:rPr>
      <w:rFonts w:ascii="Times New Roman" w:hAnsi="Times New Roman"/>
      <w:szCs w:val="20"/>
    </w:rPr>
  </w:style>
  <w:style w:type="paragraph" w:customStyle="1" w:styleId="BodyTextIndent5">
    <w:name w:val="Body Text Indent 5"/>
    <w:basedOn w:val="Normal"/>
    <w:pPr>
      <w:spacing w:line="360" w:lineRule="auto"/>
      <w:ind w:left="3600"/>
    </w:pPr>
    <w:rPr>
      <w:rFonts w:ascii="Times New Roman" w:hAnsi="Times New Roman"/>
      <w:szCs w:val="20"/>
    </w:rPr>
  </w:style>
  <w:style w:type="paragraph" w:customStyle="1" w:styleId="BodyTextIndent6">
    <w:name w:val="Body Text Indent 6"/>
    <w:basedOn w:val="BodyTextIndent5"/>
    <w:pPr>
      <w:ind w:left="4320"/>
    </w:pPr>
  </w:style>
  <w:style w:type="paragraph" w:customStyle="1" w:styleId="BodyTextIndent7">
    <w:name w:val="Body Text Indent 7"/>
    <w:basedOn w:val="BodyTextIndent6"/>
  </w:style>
  <w:style w:type="paragraph" w:customStyle="1" w:styleId="SchHead">
    <w:name w:val="SchHead"/>
    <w:basedOn w:val="MarginText"/>
    <w:next w:val="SchHeadDes"/>
    <w:pPr>
      <w:spacing w:line="360" w:lineRule="auto"/>
      <w:ind w:left="0"/>
      <w:jc w:val="center"/>
    </w:pPr>
    <w:rPr>
      <w:rFonts w:ascii="Times New Roman" w:eastAsia="Times New Roman" w:hAnsi="Times New Roman"/>
      <w:b/>
      <w:caps/>
      <w:szCs w:val="20"/>
    </w:rPr>
  </w:style>
  <w:style w:type="paragraph" w:styleId="ListBullet">
    <w:name w:val="List Bullet"/>
    <w:basedOn w:val="Normal"/>
    <w:pPr>
      <w:numPr>
        <w:numId w:val="3"/>
      </w:numPr>
      <w:spacing w:line="360" w:lineRule="auto"/>
    </w:pPr>
    <w:rPr>
      <w:rFonts w:ascii="Times New Roman" w:hAnsi="Times New Roman"/>
      <w:szCs w:val="20"/>
    </w:rPr>
  </w:style>
  <w:style w:type="paragraph" w:styleId="TOAHeading">
    <w:name w:val="toa heading"/>
    <w:basedOn w:val="Normal"/>
    <w:next w:val="Normal"/>
    <w:semiHidden/>
    <w:pPr>
      <w:spacing w:before="120" w:line="360" w:lineRule="auto"/>
    </w:pPr>
    <w:rPr>
      <w:rFonts w:ascii="Times New Roman" w:hAnsi="Times New Roman"/>
      <w:b/>
      <w:szCs w:val="20"/>
    </w:rPr>
  </w:style>
  <w:style w:type="character" w:customStyle="1" w:styleId="TitleChar">
    <w:name w:val="Title Char"/>
    <w:link w:val="Title"/>
    <w:rPr>
      <w:rFonts w:ascii="Arial" w:eastAsia="Times New Roman" w:hAnsi="Arial"/>
      <w:b/>
      <w:kern w:val="28"/>
      <w:sz w:val="32"/>
      <w:lang w:eastAsia="en-US"/>
    </w:rPr>
  </w:style>
  <w:style w:type="paragraph" w:styleId="ListBullet2">
    <w:name w:val="List Bullet 2"/>
    <w:basedOn w:val="Normal"/>
    <w:pPr>
      <w:numPr>
        <w:numId w:val="4"/>
      </w:numPr>
      <w:spacing w:line="360" w:lineRule="auto"/>
    </w:pPr>
    <w:rPr>
      <w:rFonts w:ascii="Times New Roman" w:hAnsi="Times New Roman"/>
      <w:szCs w:val="20"/>
    </w:rPr>
  </w:style>
  <w:style w:type="paragraph" w:customStyle="1" w:styleId="BBLegal2">
    <w:name w:val="B&amp;B Legal 2"/>
    <w:basedOn w:val="Normal"/>
    <w:uiPriority w:val="99"/>
    <w:pPr>
      <w:widowControl w:val="0"/>
      <w:spacing w:after="0"/>
      <w:ind w:left="1440" w:hanging="720"/>
      <w:outlineLvl w:val="1"/>
    </w:pPr>
    <w:rPr>
      <w:rFonts w:ascii="Times New Roman" w:hAnsi="Times New Roman"/>
      <w:snapToGrid w:val="0"/>
      <w:sz w:val="24"/>
      <w:szCs w:val="20"/>
      <w:lang w:val="en-US"/>
    </w:rPr>
  </w:style>
  <w:style w:type="paragraph" w:customStyle="1" w:styleId="msolistparagraph0">
    <w:name w:val="msolistparagraph"/>
    <w:basedOn w:val="Normal"/>
    <w:pPr>
      <w:spacing w:after="0"/>
      <w:ind w:left="720"/>
    </w:pPr>
    <w:rPr>
      <w:lang w:eastAsia="en-GB"/>
    </w:rPr>
  </w:style>
  <w:style w:type="character" w:styleId="Hyperlink">
    <w:name w:val="Hyperlink"/>
    <w:rPr>
      <w:color w:val="0000FF"/>
      <w:u w:val="single"/>
    </w:rPr>
  </w:style>
  <w:style w:type="paragraph" w:styleId="TOC1">
    <w:name w:val="toc 1"/>
    <w:basedOn w:val="Normal"/>
    <w:next w:val="Normal"/>
    <w:autoRedefine/>
    <w:pPr>
      <w:spacing w:line="360" w:lineRule="auto"/>
    </w:pPr>
    <w:rPr>
      <w:rFonts w:ascii="Times New Roman" w:hAnsi="Times New Roman"/>
      <w:szCs w:val="20"/>
    </w:rPr>
  </w:style>
  <w:style w:type="paragraph" w:styleId="TOC2">
    <w:name w:val="toc 2"/>
    <w:basedOn w:val="Normal"/>
    <w:next w:val="Normal"/>
    <w:autoRedefine/>
    <w:pPr>
      <w:spacing w:line="360" w:lineRule="auto"/>
      <w:ind w:left="220"/>
    </w:pPr>
    <w:rPr>
      <w:rFonts w:ascii="Times New Roman" w:hAnsi="Times New Roman"/>
      <w:szCs w:val="20"/>
    </w:rPr>
  </w:style>
  <w:style w:type="paragraph" w:styleId="TOC3">
    <w:name w:val="toc 3"/>
    <w:basedOn w:val="Normal"/>
    <w:next w:val="Normal"/>
    <w:autoRedefine/>
    <w:pPr>
      <w:spacing w:line="360" w:lineRule="auto"/>
      <w:ind w:left="440"/>
    </w:pPr>
    <w:rPr>
      <w:rFonts w:ascii="Times New Roman" w:hAnsi="Times New Roman"/>
      <w:szCs w:val="20"/>
    </w:rPr>
  </w:style>
  <w:style w:type="paragraph" w:styleId="TOC4">
    <w:name w:val="toc 4"/>
    <w:basedOn w:val="Normal"/>
    <w:next w:val="Normal"/>
    <w:autoRedefine/>
    <w:pPr>
      <w:spacing w:line="360" w:lineRule="auto"/>
      <w:ind w:left="660"/>
    </w:pPr>
    <w:rPr>
      <w:rFonts w:ascii="Times New Roman" w:hAnsi="Times New Roman"/>
      <w:szCs w:val="20"/>
    </w:rPr>
  </w:style>
  <w:style w:type="paragraph" w:styleId="TOC5">
    <w:name w:val="toc 5"/>
    <w:basedOn w:val="Normal"/>
    <w:next w:val="Normal"/>
    <w:autoRedefine/>
    <w:pPr>
      <w:spacing w:line="360" w:lineRule="auto"/>
      <w:ind w:left="880"/>
    </w:pPr>
    <w:rPr>
      <w:rFonts w:ascii="Times New Roman" w:hAnsi="Times New Roman"/>
      <w:szCs w:val="20"/>
    </w:rPr>
  </w:style>
  <w:style w:type="paragraph" w:styleId="TOC6">
    <w:name w:val="toc 6"/>
    <w:basedOn w:val="Normal"/>
    <w:next w:val="Normal"/>
    <w:autoRedefine/>
    <w:uiPriority w:val="39"/>
    <w:pPr>
      <w:spacing w:line="360" w:lineRule="auto"/>
      <w:ind w:left="1100"/>
    </w:pPr>
    <w:rPr>
      <w:rFonts w:ascii="Times New Roman" w:hAnsi="Times New Roman"/>
      <w:szCs w:val="20"/>
    </w:rPr>
  </w:style>
  <w:style w:type="paragraph" w:styleId="TOC7">
    <w:name w:val="toc 7"/>
    <w:basedOn w:val="Normal"/>
    <w:next w:val="Normal"/>
    <w:autoRedefine/>
    <w:pPr>
      <w:spacing w:line="360" w:lineRule="auto"/>
      <w:ind w:left="1320"/>
    </w:pPr>
    <w:rPr>
      <w:rFonts w:ascii="Times New Roman" w:hAnsi="Times New Roman"/>
      <w:szCs w:val="20"/>
    </w:rPr>
  </w:style>
  <w:style w:type="paragraph" w:styleId="TOC8">
    <w:name w:val="toc 8"/>
    <w:basedOn w:val="Normal"/>
    <w:next w:val="Normal"/>
    <w:autoRedefine/>
    <w:pPr>
      <w:spacing w:line="360" w:lineRule="auto"/>
      <w:ind w:left="1540"/>
    </w:pPr>
    <w:rPr>
      <w:rFonts w:ascii="Times New Roman" w:hAnsi="Times New Roman"/>
      <w:szCs w:val="20"/>
    </w:rPr>
  </w:style>
  <w:style w:type="paragraph" w:styleId="TOC9">
    <w:name w:val="toc 9"/>
    <w:basedOn w:val="Normal"/>
    <w:next w:val="Normal"/>
    <w:autoRedefine/>
    <w:pPr>
      <w:spacing w:line="360" w:lineRule="auto"/>
      <w:ind w:left="1760"/>
    </w:pPr>
    <w:rPr>
      <w:rFonts w:ascii="Times New Roman" w:hAnsi="Times New Roman"/>
      <w:szCs w:val="20"/>
    </w:rPr>
  </w:style>
  <w:style w:type="character" w:styleId="FollowedHyperlink">
    <w:name w:val="FollowedHyperlink"/>
    <w:rPr>
      <w:color w:val="800080"/>
      <w:u w:val="single"/>
    </w:rPr>
  </w:style>
  <w:style w:type="paragraph" w:styleId="BlockText">
    <w:name w:val="Block Text"/>
    <w:basedOn w:val="Normal"/>
    <w:pPr>
      <w:widowControl w:val="0"/>
      <w:tabs>
        <w:tab w:val="left" w:pos="5760"/>
        <w:tab w:val="left" w:pos="6480"/>
        <w:tab w:val="center" w:pos="7200"/>
      </w:tabs>
      <w:suppressAutoHyphens/>
      <w:spacing w:after="0"/>
      <w:ind w:left="5040" w:right="-334"/>
    </w:pPr>
    <w:rPr>
      <w:rFonts w:ascii="Times New Roman" w:hAnsi="Times New Roman"/>
      <w:b/>
      <w:spacing w:val="-3"/>
      <w:sz w:val="24"/>
      <w:szCs w:val="20"/>
    </w:rPr>
  </w:style>
  <w:style w:type="paragraph" w:customStyle="1" w:styleId="BulletDash">
    <w:name w:val="Bullet Dash"/>
    <w:basedOn w:val="Normal"/>
    <w:pPr>
      <w:spacing w:after="288"/>
      <w:ind w:left="720" w:hanging="720"/>
    </w:pPr>
    <w:rPr>
      <w:rFonts w:ascii="Times New Roman" w:hAnsi="Times New Roman"/>
      <w:sz w:val="24"/>
      <w:szCs w:val="24"/>
    </w:rPr>
  </w:style>
  <w:style w:type="paragraph" w:styleId="DocumentMap">
    <w:name w:val="Document Map"/>
    <w:basedOn w:val="Normal"/>
    <w:link w:val="DocumentMapChar"/>
    <w:pPr>
      <w:shd w:val="clear" w:color="auto" w:fill="000080"/>
      <w:spacing w:line="360" w:lineRule="auto"/>
    </w:pPr>
    <w:rPr>
      <w:rFonts w:ascii="Tahoma" w:hAnsi="Tahoma" w:cs="Tahoma"/>
      <w:sz w:val="20"/>
      <w:szCs w:val="20"/>
    </w:rPr>
  </w:style>
  <w:style w:type="character" w:customStyle="1" w:styleId="DocumentMapChar">
    <w:name w:val="Document Map Char"/>
    <w:link w:val="DocumentMap"/>
    <w:rPr>
      <w:rFonts w:ascii="Tahoma" w:eastAsia="Times New Roman" w:hAnsi="Tahoma" w:cs="Tahoma"/>
      <w:shd w:val="clear" w:color="auto" w:fill="000080"/>
      <w:lang w:eastAsia="en-US"/>
    </w:rPr>
  </w:style>
  <w:style w:type="paragraph" w:customStyle="1" w:styleId="blueheading">
    <w:name w:val="blueheading"/>
    <w:basedOn w:val="Normal"/>
    <w:pPr>
      <w:spacing w:before="100" w:beforeAutospacing="1" w:after="100" w:afterAutospacing="1"/>
    </w:pPr>
    <w:rPr>
      <w:rFonts w:ascii="Times New Roman" w:hAnsi="Times New Roman"/>
      <w:sz w:val="24"/>
      <w:szCs w:val="24"/>
      <w:lang w:eastAsia="en-GB"/>
    </w:rPr>
  </w:style>
  <w:style w:type="paragraph" w:customStyle="1" w:styleId="Default">
    <w:name w:val="Default"/>
    <w:uiPriority w:val="99"/>
    <w:pPr>
      <w:autoSpaceDE w:val="0"/>
      <w:autoSpaceDN w:val="0"/>
      <w:adjustRightInd w:val="0"/>
    </w:pPr>
    <w:rPr>
      <w:rFonts w:ascii="Times New Roman" w:eastAsia="Times New Roman" w:hAnsi="Times New Roman"/>
      <w:color w:val="000000"/>
      <w:sz w:val="24"/>
      <w:szCs w:val="24"/>
      <w:lang w:val="en-US" w:eastAsia="en-US"/>
    </w:rPr>
  </w:style>
  <w:style w:type="paragraph" w:styleId="EndnoteText">
    <w:name w:val="endnote text"/>
    <w:basedOn w:val="Normal"/>
    <w:link w:val="EndnoteTextChar"/>
    <w:pPr>
      <w:widowControl w:val="0"/>
      <w:spacing w:after="0"/>
    </w:pPr>
    <w:rPr>
      <w:rFonts w:ascii="Courier" w:hAnsi="Courier"/>
      <w:sz w:val="24"/>
      <w:szCs w:val="20"/>
    </w:rPr>
  </w:style>
  <w:style w:type="character" w:customStyle="1" w:styleId="EndnoteTextChar">
    <w:name w:val="Endnote Text Char"/>
    <w:link w:val="EndnoteText"/>
    <w:rPr>
      <w:rFonts w:ascii="Courier" w:eastAsia="Times New Roman" w:hAnsi="Courier"/>
      <w:sz w:val="24"/>
      <w:lang w:eastAsia="en-US"/>
    </w:rPr>
  </w:style>
  <w:style w:type="character" w:styleId="EndnoteReference">
    <w:name w:val="endnote reference"/>
    <w:rPr>
      <w:vertAlign w:val="superscript"/>
    </w:rPr>
  </w:style>
  <w:style w:type="table" w:styleId="TableGrid">
    <w:name w:val="Table Grid"/>
    <w:basedOn w:val="TableNormal"/>
    <w:uiPriority w:val="59"/>
    <w:rPr>
      <w:color w:val="00000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pPr>
      <w:tabs>
        <w:tab w:val="num" w:pos="360"/>
      </w:tabs>
      <w:spacing w:before="120" w:after="0"/>
      <w:ind w:left="360" w:hanging="360"/>
    </w:pPr>
    <w:rPr>
      <w:rFonts w:ascii="Times New Roman" w:hAnsi="Times New Roman"/>
      <w:snapToGrid w:val="0"/>
      <w:sz w:val="24"/>
      <w:szCs w:val="20"/>
    </w:rPr>
  </w:style>
  <w:style w:type="paragraph" w:customStyle="1" w:styleId="text1">
    <w:name w:val="text 1"/>
    <w:basedOn w:val="Normal"/>
    <w:pPr>
      <w:spacing w:before="320" w:after="0" w:line="320" w:lineRule="atLeast"/>
      <w:ind w:left="720"/>
    </w:pPr>
    <w:rPr>
      <w:rFonts w:ascii="Arial" w:hAnsi="Arial"/>
      <w:szCs w:val="20"/>
    </w:rPr>
  </w:style>
  <w:style w:type="paragraph" w:customStyle="1" w:styleId="text0">
    <w:name w:val="text 0"/>
    <w:basedOn w:val="Normal"/>
    <w:link w:val="text0Char"/>
    <w:uiPriority w:val="99"/>
    <w:pPr>
      <w:spacing w:before="320" w:after="0" w:line="320" w:lineRule="atLeast"/>
    </w:pPr>
    <w:rPr>
      <w:rFonts w:ascii="Arial" w:hAnsi="Arial"/>
      <w:szCs w:val="20"/>
    </w:rPr>
  </w:style>
  <w:style w:type="character" w:customStyle="1" w:styleId="text0Char">
    <w:name w:val="text 0 Char"/>
    <w:link w:val="text0"/>
    <w:uiPriority w:val="99"/>
    <w:locked/>
    <w:rPr>
      <w:rFonts w:ascii="Arial" w:eastAsia="Times New Roman" w:hAnsi="Arial"/>
      <w:sz w:val="22"/>
      <w:lang w:eastAsia="en-US"/>
    </w:rPr>
  </w:style>
  <w:style w:type="paragraph" w:customStyle="1" w:styleId="NtocHeading1">
    <w:name w:val="NtocHeading 1"/>
    <w:basedOn w:val="Normal"/>
    <w:next w:val="text0"/>
    <w:pPr>
      <w:widowControl w:val="0"/>
      <w:spacing w:before="320" w:after="0" w:line="320" w:lineRule="atLeast"/>
    </w:pPr>
    <w:rPr>
      <w:rFonts w:ascii="Arial" w:hAnsi="Arial"/>
      <w:b/>
      <w:szCs w:val="20"/>
    </w:rPr>
  </w:style>
  <w:style w:type="paragraph" w:customStyle="1" w:styleId="ScheduleHeading1">
    <w:name w:val="Schedule Heading 1"/>
    <w:next w:val="ScheduleNumber1"/>
    <w:pPr>
      <w:widowControl w:val="0"/>
      <w:spacing w:before="320" w:line="320" w:lineRule="atLeast"/>
    </w:pPr>
    <w:rPr>
      <w:rFonts w:ascii="Arial" w:eastAsia="Times New Roman" w:hAnsi="Arial"/>
      <w:color w:val="FF0000"/>
      <w:lang w:eastAsia="en-US"/>
    </w:rPr>
  </w:style>
  <w:style w:type="paragraph" w:customStyle="1" w:styleId="ScheduleNumber1">
    <w:name w:val="Schedule Number 1"/>
    <w:pPr>
      <w:keepNext/>
      <w:keepLines/>
      <w:tabs>
        <w:tab w:val="num" w:pos="360"/>
      </w:tabs>
      <w:spacing w:before="320" w:line="320" w:lineRule="atLeast"/>
    </w:pPr>
    <w:rPr>
      <w:rFonts w:ascii="Arial" w:eastAsia="Times New Roman" w:hAnsi="Arial"/>
      <w:lang w:eastAsia="en-US"/>
    </w:rPr>
  </w:style>
  <w:style w:type="paragraph" w:customStyle="1" w:styleId="ScheduleNumber2">
    <w:name w:val="Schedule Number 2"/>
    <w:basedOn w:val="ScheduleNumber1"/>
    <w:pPr>
      <w:tabs>
        <w:tab w:val="clear" w:pos="360"/>
      </w:tabs>
      <w:ind w:left="1440" w:hanging="720"/>
    </w:pPr>
  </w:style>
  <w:style w:type="paragraph" w:customStyle="1" w:styleId="ScheduleNumber3">
    <w:name w:val="Schedule Number 3"/>
    <w:basedOn w:val="ScheduleNumber2"/>
    <w:pPr>
      <w:ind w:left="2160"/>
    </w:pPr>
  </w:style>
  <w:style w:type="paragraph" w:customStyle="1" w:styleId="ScheduleNumber4">
    <w:name w:val="Schedule Number 4"/>
    <w:basedOn w:val="ScheduleNumber3"/>
    <w:pPr>
      <w:ind w:left="2880"/>
    </w:pPr>
  </w:style>
  <w:style w:type="paragraph" w:customStyle="1" w:styleId="TableStyle">
    <w:name w:val="Table Style"/>
    <w:basedOn w:val="Normal"/>
    <w:pPr>
      <w:widowControl w:val="0"/>
      <w:spacing w:before="60" w:after="60"/>
    </w:pPr>
    <w:rPr>
      <w:rFonts w:ascii="Arial" w:hAnsi="Arial"/>
      <w:szCs w:val="20"/>
    </w:rPr>
  </w:style>
  <w:style w:type="paragraph" w:customStyle="1" w:styleId="ScheduleNumber5">
    <w:name w:val="Schedule Number 5"/>
    <w:basedOn w:val="ScheduleNumber4"/>
    <w:pPr>
      <w:ind w:left="3600"/>
    </w:pPr>
  </w:style>
  <w:style w:type="paragraph" w:customStyle="1" w:styleId="ScheduleNumber6">
    <w:name w:val="Schedule Number 6"/>
    <w:basedOn w:val="ScheduleNumber5"/>
    <w:pPr>
      <w:ind w:left="4320"/>
    </w:pPr>
  </w:style>
  <w:style w:type="paragraph" w:customStyle="1" w:styleId="ColorfulList-Accent11">
    <w:name w:val="Colorful List - Accent 11"/>
    <w:basedOn w:val="Normal"/>
    <w:uiPriority w:val="99"/>
    <w:qFormat/>
    <w:pPr>
      <w:spacing w:line="360" w:lineRule="auto"/>
      <w:ind w:left="720"/>
    </w:pPr>
    <w:rPr>
      <w:rFonts w:ascii="Times New Roman" w:hAnsi="Times New Roman"/>
      <w:szCs w:val="20"/>
    </w:rPr>
  </w:style>
  <w:style w:type="character" w:customStyle="1" w:styleId="st1">
    <w:name w:val="st1"/>
  </w:style>
  <w:style w:type="paragraph" w:customStyle="1" w:styleId="NumText">
    <w:name w:val="NumText"/>
    <w:basedOn w:val="Normal"/>
    <w:uiPriority w:val="99"/>
    <w:pPr>
      <w:spacing w:after="284"/>
    </w:pPr>
    <w:rPr>
      <w:rFonts w:eastAsia="MS Mincho"/>
      <w:lang w:eastAsia="ja-JP"/>
    </w:rPr>
  </w:style>
  <w:style w:type="paragraph" w:customStyle="1" w:styleId="DLFrontPage">
    <w:name w:val="DLFrontPage"/>
    <w:basedOn w:val="Normal"/>
    <w:pPr>
      <w:tabs>
        <w:tab w:val="left" w:pos="5940"/>
        <w:tab w:val="left" w:pos="6480"/>
      </w:tabs>
      <w:spacing w:after="220"/>
    </w:pPr>
    <w:rPr>
      <w:rFonts w:ascii="Trebuchet MS" w:hAnsi="Trebuchet MS"/>
      <w:szCs w:val="24"/>
    </w:rPr>
  </w:style>
  <w:style w:type="paragraph" w:styleId="NormalWeb">
    <w:name w:val="Normal (Web)"/>
    <w:basedOn w:val="Normal"/>
    <w:uiPriority w:val="99"/>
    <w:unhideWhenUsed/>
    <w:pPr>
      <w:spacing w:after="0"/>
    </w:pPr>
    <w:rPr>
      <w:rFonts w:ascii="Times New Roman" w:hAnsi="Times New Roman"/>
      <w:sz w:val="24"/>
      <w:szCs w:val="24"/>
      <w:lang w:eastAsia="en-GB"/>
    </w:rPr>
  </w:style>
  <w:style w:type="character" w:styleId="Emphasis">
    <w:name w:val="Emphasis"/>
    <w:qFormat/>
    <w:rPr>
      <w:i/>
      <w:iCs/>
    </w:rPr>
  </w:style>
  <w:style w:type="character" w:styleId="Strong">
    <w:name w:val="Strong"/>
    <w:uiPriority w:val="22"/>
    <w:qFormat/>
    <w:rPr>
      <w:b/>
      <w:bCs/>
    </w:rPr>
  </w:style>
  <w:style w:type="paragraph" w:customStyle="1" w:styleId="Level2">
    <w:name w:val="Level 2"/>
    <w:basedOn w:val="Normal"/>
    <w:uiPriority w:val="99"/>
    <w:pPr>
      <w:tabs>
        <w:tab w:val="num" w:pos="851"/>
      </w:tabs>
      <w:ind w:left="851" w:hanging="851"/>
      <w:outlineLvl w:val="1"/>
    </w:pPr>
    <w:rPr>
      <w:rFonts w:ascii="Arial" w:hAnsi="Arial"/>
      <w:sz w:val="20"/>
      <w:szCs w:val="20"/>
      <w:lang w:eastAsia="en-GB"/>
    </w:rPr>
  </w:style>
  <w:style w:type="paragraph" w:customStyle="1" w:styleId="Level3">
    <w:name w:val="Level 3"/>
    <w:basedOn w:val="Normal"/>
    <w:uiPriority w:val="99"/>
    <w:pPr>
      <w:tabs>
        <w:tab w:val="num" w:pos="1702"/>
      </w:tabs>
      <w:ind w:left="1702" w:hanging="851"/>
      <w:outlineLvl w:val="2"/>
    </w:pPr>
    <w:rPr>
      <w:rFonts w:ascii="Arial" w:hAnsi="Arial"/>
      <w:sz w:val="20"/>
      <w:szCs w:val="20"/>
      <w:lang w:eastAsia="en-GB"/>
    </w:rPr>
  </w:style>
  <w:style w:type="paragraph" w:customStyle="1" w:styleId="Level4">
    <w:name w:val="Level 4"/>
    <w:basedOn w:val="Normal"/>
    <w:uiPriority w:val="99"/>
    <w:pPr>
      <w:tabs>
        <w:tab w:val="num" w:pos="2553"/>
      </w:tabs>
      <w:ind w:left="2553" w:hanging="851"/>
      <w:outlineLvl w:val="3"/>
    </w:pPr>
    <w:rPr>
      <w:rFonts w:ascii="Arial" w:hAnsi="Arial"/>
      <w:sz w:val="20"/>
      <w:szCs w:val="20"/>
      <w:lang w:eastAsia="en-GB"/>
    </w:rPr>
  </w:style>
  <w:style w:type="paragraph" w:customStyle="1" w:styleId="Level5">
    <w:name w:val="Level 5"/>
    <w:basedOn w:val="Normal"/>
    <w:uiPriority w:val="99"/>
    <w:pPr>
      <w:tabs>
        <w:tab w:val="num" w:pos="3404"/>
      </w:tabs>
      <w:ind w:left="3404" w:hanging="851"/>
      <w:outlineLvl w:val="4"/>
    </w:pPr>
    <w:rPr>
      <w:rFonts w:ascii="Arial" w:hAnsi="Arial"/>
      <w:sz w:val="20"/>
      <w:szCs w:val="20"/>
      <w:lang w:eastAsia="en-GB"/>
    </w:rPr>
  </w:style>
  <w:style w:type="paragraph" w:customStyle="1" w:styleId="Level6">
    <w:name w:val="Level 6"/>
    <w:basedOn w:val="Normal"/>
    <w:uiPriority w:val="99"/>
    <w:pPr>
      <w:tabs>
        <w:tab w:val="num" w:pos="4255"/>
      </w:tabs>
      <w:ind w:left="4255" w:hanging="851"/>
      <w:outlineLvl w:val="5"/>
    </w:pPr>
    <w:rPr>
      <w:rFonts w:ascii="Arial" w:hAnsi="Arial"/>
      <w:sz w:val="20"/>
      <w:szCs w:val="20"/>
      <w:lang w:eastAsia="en-GB"/>
    </w:rPr>
  </w:style>
  <w:style w:type="paragraph" w:customStyle="1" w:styleId="MOJStyle0">
    <w:name w:val="MOJ Style0"/>
    <w:basedOn w:val="Normal"/>
    <w:autoRedefine/>
    <w:uiPriority w:val="99"/>
    <w:pPr>
      <w:numPr>
        <w:numId w:val="5"/>
      </w:numPr>
      <w:suppressAutoHyphens/>
      <w:spacing w:after="0" w:line="360" w:lineRule="auto"/>
    </w:pPr>
    <w:rPr>
      <w:rFonts w:ascii="Arial" w:eastAsia="MS Mincho" w:hAnsi="Arial"/>
      <w:b/>
      <w:lang w:eastAsia="ja-JP"/>
    </w:rPr>
  </w:style>
  <w:style w:type="paragraph" w:customStyle="1" w:styleId="MOJLevel1">
    <w:name w:val="MOJ Level 1"/>
    <w:basedOn w:val="Normal"/>
    <w:next w:val="MOJLevel2"/>
    <w:autoRedefine/>
    <w:uiPriority w:val="99"/>
    <w:pPr>
      <w:numPr>
        <w:ilvl w:val="1"/>
        <w:numId w:val="5"/>
      </w:numPr>
      <w:suppressAutoHyphens/>
      <w:spacing w:before="240" w:after="0" w:line="360" w:lineRule="auto"/>
    </w:pPr>
    <w:rPr>
      <w:rFonts w:ascii="Arial" w:eastAsia="MS Mincho" w:hAnsi="Arial"/>
      <w:b/>
      <w:lang w:eastAsia="ja-JP"/>
    </w:rPr>
  </w:style>
  <w:style w:type="paragraph" w:customStyle="1" w:styleId="MOJLevel2">
    <w:name w:val="MOJ Level 2"/>
    <w:basedOn w:val="Normal"/>
    <w:autoRedefine/>
    <w:uiPriority w:val="99"/>
    <w:pPr>
      <w:numPr>
        <w:ilvl w:val="2"/>
        <w:numId w:val="5"/>
      </w:numPr>
      <w:spacing w:after="0" w:line="360" w:lineRule="auto"/>
    </w:pPr>
    <w:rPr>
      <w:rFonts w:ascii="Arial" w:eastAsia="MS Mincho" w:hAnsi="Arial"/>
      <w:bCs/>
      <w:lang w:eastAsia="ja-JP"/>
    </w:rPr>
  </w:style>
  <w:style w:type="paragraph" w:customStyle="1" w:styleId="MOJLevel3">
    <w:name w:val="MOJ Level 3"/>
    <w:basedOn w:val="Normal"/>
    <w:autoRedefine/>
    <w:uiPriority w:val="99"/>
    <w:pPr>
      <w:numPr>
        <w:ilvl w:val="3"/>
        <w:numId w:val="5"/>
      </w:numPr>
      <w:tabs>
        <w:tab w:val="num" w:pos="1620"/>
      </w:tabs>
      <w:spacing w:after="0" w:line="360" w:lineRule="auto"/>
    </w:pPr>
    <w:rPr>
      <w:rFonts w:ascii="Arial" w:eastAsia="MS Mincho" w:hAnsi="Arial"/>
      <w:bCs/>
      <w:lang w:eastAsia="ja-JP"/>
    </w:rPr>
  </w:style>
  <w:style w:type="paragraph" w:customStyle="1" w:styleId="MOJLevel4">
    <w:name w:val="MOJ Level 4"/>
    <w:basedOn w:val="Normal"/>
    <w:autoRedefine/>
    <w:uiPriority w:val="99"/>
    <w:pPr>
      <w:numPr>
        <w:ilvl w:val="4"/>
        <w:numId w:val="5"/>
      </w:numPr>
      <w:spacing w:after="0" w:line="360" w:lineRule="auto"/>
    </w:pPr>
    <w:rPr>
      <w:rFonts w:ascii="Arial" w:eastAsia="MS Mincho" w:hAnsi="Arial"/>
      <w:lang w:eastAsia="ja-JP"/>
    </w:rPr>
  </w:style>
  <w:style w:type="paragraph" w:customStyle="1" w:styleId="DefinitionNumbering1">
    <w:name w:val="Definition Numbering 1"/>
    <w:basedOn w:val="Normal"/>
    <w:pPr>
      <w:tabs>
        <w:tab w:val="num" w:pos="1800"/>
      </w:tabs>
      <w:ind w:left="1800" w:hanging="1080"/>
      <w:outlineLvl w:val="0"/>
    </w:pPr>
    <w:rPr>
      <w:rFonts w:ascii="Times New Roman" w:eastAsia="STZhongsong" w:hAnsi="Times New Roman"/>
      <w:szCs w:val="20"/>
      <w:lang w:eastAsia="zh-CN"/>
    </w:rPr>
  </w:style>
  <w:style w:type="paragraph" w:customStyle="1" w:styleId="DefinitionNumbering2">
    <w:name w:val="Definition Numbering 2"/>
    <w:basedOn w:val="Normal"/>
    <w:pPr>
      <w:tabs>
        <w:tab w:val="num" w:pos="2880"/>
      </w:tabs>
      <w:ind w:left="2880" w:hanging="1080"/>
      <w:outlineLvl w:val="1"/>
    </w:pPr>
    <w:rPr>
      <w:rFonts w:ascii="Times New Roman" w:eastAsia="STZhongsong" w:hAnsi="Times New Roman"/>
      <w:szCs w:val="20"/>
      <w:lang w:eastAsia="zh-CN"/>
    </w:rPr>
  </w:style>
  <w:style w:type="paragraph" w:customStyle="1" w:styleId="DefinitionNumbering3">
    <w:name w:val="Definition Numbering 3"/>
    <w:basedOn w:val="Normal"/>
    <w:pPr>
      <w:tabs>
        <w:tab w:val="num" w:pos="3600"/>
      </w:tabs>
      <w:ind w:left="3600" w:hanging="720"/>
      <w:outlineLvl w:val="2"/>
    </w:pPr>
    <w:rPr>
      <w:rFonts w:ascii="Times New Roman" w:eastAsia="STZhongsong" w:hAnsi="Times New Roman"/>
      <w:szCs w:val="20"/>
      <w:lang w:eastAsia="zh-CN"/>
    </w:rPr>
  </w:style>
  <w:style w:type="paragraph" w:customStyle="1" w:styleId="DefinitionNumbering4">
    <w:name w:val="Definition Numbering 4"/>
    <w:basedOn w:val="Normal"/>
    <w:pPr>
      <w:tabs>
        <w:tab w:val="num" w:pos="2880"/>
      </w:tabs>
      <w:ind w:left="2880" w:hanging="1080"/>
      <w:outlineLvl w:val="3"/>
    </w:pPr>
    <w:rPr>
      <w:rFonts w:ascii="Times New Roman" w:eastAsia="STZhongsong" w:hAnsi="Times New Roman"/>
      <w:szCs w:val="20"/>
      <w:lang w:eastAsia="zh-CN"/>
    </w:rPr>
  </w:style>
  <w:style w:type="paragraph" w:customStyle="1" w:styleId="DefinitionNumbering5">
    <w:name w:val="Definition Numbering 5"/>
    <w:basedOn w:val="Normal"/>
    <w:pPr>
      <w:tabs>
        <w:tab w:val="num" w:pos="2880"/>
      </w:tabs>
      <w:ind w:left="2880" w:hanging="1080"/>
      <w:outlineLvl w:val="4"/>
    </w:pPr>
    <w:rPr>
      <w:rFonts w:ascii="Times New Roman" w:eastAsia="STZhongsong" w:hAnsi="Times New Roman"/>
      <w:szCs w:val="20"/>
      <w:lang w:eastAsia="zh-CN"/>
    </w:rPr>
  </w:style>
  <w:style w:type="paragraph" w:customStyle="1" w:styleId="DefinitionNumbering6">
    <w:name w:val="Definition Numbering 6"/>
    <w:basedOn w:val="Normal"/>
    <w:pPr>
      <w:tabs>
        <w:tab w:val="num" w:pos="2880"/>
      </w:tabs>
      <w:ind w:left="2880" w:hanging="1080"/>
      <w:outlineLvl w:val="5"/>
    </w:pPr>
    <w:rPr>
      <w:rFonts w:ascii="Times New Roman" w:eastAsia="STZhongsong" w:hAnsi="Times New Roman"/>
      <w:szCs w:val="20"/>
      <w:lang w:eastAsia="zh-CN"/>
    </w:rPr>
  </w:style>
  <w:style w:type="paragraph" w:customStyle="1" w:styleId="DefinitionNumbering7">
    <w:name w:val="Definition Numbering 7"/>
    <w:basedOn w:val="Normal"/>
    <w:pPr>
      <w:tabs>
        <w:tab w:val="num" w:pos="2880"/>
      </w:tabs>
      <w:ind w:left="2880" w:hanging="1080"/>
      <w:outlineLvl w:val="6"/>
    </w:pPr>
    <w:rPr>
      <w:rFonts w:ascii="Times New Roman" w:eastAsia="STZhongsong" w:hAnsi="Times New Roman"/>
      <w:szCs w:val="20"/>
      <w:lang w:eastAsia="zh-CN"/>
    </w:rPr>
  </w:style>
  <w:style w:type="paragraph" w:customStyle="1" w:styleId="DefinitionNumbering8">
    <w:name w:val="Definition Numbering 8"/>
    <w:basedOn w:val="Normal"/>
    <w:pPr>
      <w:numPr>
        <w:ilvl w:val="7"/>
        <w:numId w:val="6"/>
      </w:numPr>
      <w:outlineLvl w:val="7"/>
    </w:pPr>
    <w:rPr>
      <w:rFonts w:ascii="Times New Roman" w:eastAsia="STZhongsong" w:hAnsi="Times New Roman"/>
      <w:szCs w:val="20"/>
      <w:lang w:eastAsia="zh-CN"/>
    </w:rPr>
  </w:style>
  <w:style w:type="paragraph" w:customStyle="1" w:styleId="DefinitionNumbering9">
    <w:name w:val="Definition Numbering 9"/>
    <w:basedOn w:val="Normal"/>
    <w:pPr>
      <w:numPr>
        <w:ilvl w:val="8"/>
        <w:numId w:val="6"/>
      </w:numPr>
      <w:outlineLvl w:val="8"/>
    </w:pPr>
    <w:rPr>
      <w:rFonts w:ascii="Times New Roman" w:eastAsia="STZhongsong" w:hAnsi="Times New Roman"/>
      <w:szCs w:val="20"/>
      <w:lang w:eastAsia="zh-CN"/>
    </w:rPr>
  </w:style>
  <w:style w:type="paragraph" w:customStyle="1" w:styleId="SchPart">
    <w:name w:val="SchPart"/>
    <w:basedOn w:val="Normal"/>
    <w:next w:val="MarginText"/>
    <w:pPr>
      <w:keepNext/>
      <w:ind w:left="3118"/>
      <w:jc w:val="center"/>
      <w:outlineLvl w:val="1"/>
    </w:pPr>
    <w:rPr>
      <w:rFonts w:ascii="Times New Roman" w:eastAsia="STZhongsong" w:hAnsi="Times New Roman"/>
      <w:b/>
      <w:szCs w:val="20"/>
      <w:lang w:eastAsia="zh-CN"/>
    </w:rPr>
  </w:style>
  <w:style w:type="paragraph" w:customStyle="1" w:styleId="SchSection">
    <w:name w:val="SchSection"/>
    <w:basedOn w:val="Normal"/>
    <w:next w:val="MarginText"/>
    <w:pPr>
      <w:keepNext/>
      <w:ind w:left="3118"/>
      <w:jc w:val="center"/>
      <w:outlineLvl w:val="2"/>
    </w:pPr>
    <w:rPr>
      <w:rFonts w:ascii="Times New Roman" w:eastAsia="STZhongsong" w:hAnsi="Times New Roman"/>
      <w:b/>
      <w:szCs w:val="20"/>
      <w:lang w:eastAsia="zh-CN"/>
    </w:rPr>
  </w:style>
  <w:style w:type="paragraph" w:customStyle="1" w:styleId="Body">
    <w:name w:val="Body"/>
    <w:basedOn w:val="Normal"/>
    <w:qFormat/>
    <w:rPr>
      <w:rFonts w:ascii="Arial" w:hAnsi="Arial"/>
      <w:szCs w:val="20"/>
    </w:rPr>
  </w:style>
  <w:style w:type="paragraph" w:customStyle="1" w:styleId="heading2numberedbutnotbold">
    <w:name w:val="heading 2 numbered but not bold"/>
    <w:basedOn w:val="Heading2"/>
    <w:link w:val="heading2numberedbutnotboldChar"/>
    <w:qFormat/>
    <w:pPr>
      <w:keepNext w:val="0"/>
      <w:keepLines w:val="0"/>
      <w:tabs>
        <w:tab w:val="num" w:pos="1713"/>
      </w:tabs>
      <w:ind w:left="1713"/>
    </w:pPr>
    <w:rPr>
      <w:rFonts w:ascii="Arial" w:eastAsia="STZhongsong" w:hAnsi="Arial"/>
      <w:b w:val="0"/>
      <w:bCs w:val="0"/>
      <w:sz w:val="20"/>
      <w:szCs w:val="20"/>
      <w:lang w:eastAsia="zh-CN"/>
    </w:rPr>
  </w:style>
  <w:style w:type="character" w:customStyle="1" w:styleId="heading2numberedbutnotboldChar">
    <w:name w:val="heading 2 numbered but not bold Char"/>
    <w:link w:val="heading2numberedbutnotbold"/>
    <w:rPr>
      <w:rFonts w:ascii="Arial" w:eastAsia="STZhongsong" w:hAnsi="Arial" w:cs="Arial"/>
      <w:lang w:eastAsia="zh-CN"/>
    </w:rPr>
  </w:style>
  <w:style w:type="paragraph" w:customStyle="1" w:styleId="PartHeadingboldcentered">
    <w:name w:val="Part Heading bold centered"/>
    <w:basedOn w:val="MarginText"/>
    <w:link w:val="PartHeadingboldcenteredChar"/>
    <w:qFormat/>
    <w:pPr>
      <w:keepNext/>
      <w:ind w:left="0"/>
      <w:jc w:val="center"/>
    </w:pPr>
    <w:rPr>
      <w:rFonts w:ascii="Arial" w:eastAsia="STZhongsong" w:hAnsi="Arial"/>
      <w:b/>
      <w:sz w:val="20"/>
      <w:szCs w:val="20"/>
      <w:lang w:eastAsia="zh-CN"/>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keepNext/>
      <w:numPr>
        <w:numId w:val="16"/>
      </w:numPr>
      <w:overflowPunct/>
      <w:autoSpaceDE/>
      <w:autoSpaceDN/>
      <w:spacing w:before="120"/>
      <w:textAlignment w:val="auto"/>
      <w:outlineLvl w:val="0"/>
    </w:pPr>
    <w:rPr>
      <w:rFonts w:eastAsia="STZhongsong" w:cs="Times New Roman"/>
      <w:b/>
      <w:caps/>
      <w:szCs w:val="20"/>
      <w:lang w:eastAsia="zh-CN"/>
    </w:rPr>
  </w:style>
  <w:style w:type="paragraph" w:customStyle="1" w:styleId="ScheduleL2">
    <w:name w:val="Schedule L2"/>
    <w:basedOn w:val="Normal"/>
    <w:link w:val="ScheduleL2Char"/>
    <w:pPr>
      <w:numPr>
        <w:ilvl w:val="1"/>
        <w:numId w:val="16"/>
      </w:numPr>
      <w:tabs>
        <w:tab w:val="left" w:pos="993"/>
      </w:tabs>
      <w:overflowPunct/>
      <w:autoSpaceDE/>
      <w:autoSpaceDN/>
      <w:spacing w:before="120" w:after="120"/>
      <w:textAlignment w:val="auto"/>
      <w:outlineLvl w:val="1"/>
    </w:pPr>
    <w:rPr>
      <w:rFonts w:eastAsia="STZhongsong" w:cs="Times New Roman"/>
      <w:szCs w:val="20"/>
      <w:lang w:val="en-US" w:eastAsia="zh-CN"/>
    </w:rPr>
  </w:style>
  <w:style w:type="character" w:customStyle="1" w:styleId="ScheduleL2Char">
    <w:name w:val="Schedule L2 Char"/>
    <w:link w:val="ScheduleL2"/>
    <w:rPr>
      <w:rFonts w:eastAsia="STZhongsong"/>
      <w:sz w:val="22"/>
      <w:lang w:val="en-US" w:eastAsia="zh-CN"/>
    </w:rPr>
  </w:style>
  <w:style w:type="paragraph" w:customStyle="1" w:styleId="ScheduleL3">
    <w:name w:val="Schedule L3"/>
    <w:basedOn w:val="Normal"/>
    <w:pPr>
      <w:numPr>
        <w:ilvl w:val="2"/>
        <w:numId w:val="16"/>
      </w:numPr>
      <w:overflowPunct/>
      <w:autoSpaceDE/>
      <w:autoSpaceDN/>
      <w:spacing w:before="120" w:after="120"/>
      <w:textAlignment w:val="auto"/>
      <w:outlineLvl w:val="2"/>
    </w:pPr>
    <w:rPr>
      <w:rFonts w:eastAsia="STZhongsong" w:cs="Times New Roman"/>
      <w:szCs w:val="20"/>
      <w:lang w:eastAsia="zh-CN"/>
    </w:rPr>
  </w:style>
  <w:style w:type="paragraph" w:customStyle="1" w:styleId="ScheduleL4">
    <w:name w:val="Schedule L4"/>
    <w:basedOn w:val="Normal"/>
    <w:pPr>
      <w:numPr>
        <w:ilvl w:val="3"/>
        <w:numId w:val="16"/>
      </w:numPr>
      <w:overflowPunct/>
      <w:autoSpaceDE/>
      <w:autoSpaceDN/>
      <w:spacing w:before="120" w:after="120"/>
      <w:textAlignment w:val="auto"/>
      <w:outlineLvl w:val="3"/>
    </w:pPr>
    <w:rPr>
      <w:rFonts w:eastAsia="STZhongsong" w:cs="Times New Roman"/>
      <w:szCs w:val="20"/>
      <w:lang w:eastAsia="zh-CN"/>
    </w:rPr>
  </w:style>
  <w:style w:type="paragraph" w:customStyle="1" w:styleId="ScheduleL5">
    <w:name w:val="Schedule L5"/>
    <w:basedOn w:val="Normal"/>
    <w:pPr>
      <w:numPr>
        <w:ilvl w:val="4"/>
        <w:numId w:val="16"/>
      </w:numPr>
      <w:overflowPunct/>
      <w:autoSpaceDE/>
      <w:autoSpaceDN/>
      <w:textAlignment w:val="auto"/>
      <w:outlineLvl w:val="4"/>
    </w:pPr>
    <w:rPr>
      <w:rFonts w:ascii="Times New Roman" w:eastAsia="STZhongsong" w:hAnsi="Times New Roman" w:cs="Times New Roman"/>
      <w:szCs w:val="20"/>
      <w:lang w:eastAsia="zh-CN"/>
    </w:rPr>
  </w:style>
  <w:style w:type="paragraph" w:customStyle="1" w:styleId="ScheduleL6">
    <w:name w:val="Schedule L6"/>
    <w:basedOn w:val="Normal"/>
    <w:pPr>
      <w:numPr>
        <w:ilvl w:val="5"/>
        <w:numId w:val="16"/>
      </w:numPr>
      <w:outlineLvl w:val="5"/>
    </w:pPr>
    <w:rPr>
      <w:rFonts w:ascii="Times New Roman" w:eastAsia="STZhongsong" w:hAnsi="Times New Roman"/>
      <w:szCs w:val="20"/>
      <w:lang w:eastAsia="zh-CN"/>
    </w:rPr>
  </w:style>
  <w:style w:type="paragraph" w:customStyle="1" w:styleId="ScheduleL7">
    <w:name w:val="Schedule L7"/>
    <w:basedOn w:val="Normal"/>
    <w:pPr>
      <w:numPr>
        <w:ilvl w:val="6"/>
        <w:numId w:val="16"/>
      </w:numPr>
      <w:outlineLvl w:val="6"/>
    </w:pPr>
    <w:rPr>
      <w:rFonts w:ascii="Times New Roman" w:eastAsia="STZhongsong" w:hAnsi="Times New Roman"/>
      <w:szCs w:val="20"/>
      <w:lang w:eastAsia="zh-CN"/>
    </w:rPr>
  </w:style>
  <w:style w:type="paragraph" w:customStyle="1" w:styleId="ScheduleL8">
    <w:name w:val="Schedule L8"/>
    <w:basedOn w:val="Normal"/>
    <w:pPr>
      <w:numPr>
        <w:ilvl w:val="7"/>
        <w:numId w:val="16"/>
      </w:numPr>
      <w:outlineLvl w:val="7"/>
    </w:pPr>
    <w:rPr>
      <w:rFonts w:ascii="Times New Roman" w:eastAsia="STZhongsong" w:hAnsi="Times New Roman"/>
      <w:szCs w:val="20"/>
      <w:lang w:eastAsia="zh-CN"/>
    </w:rPr>
  </w:style>
  <w:style w:type="paragraph" w:customStyle="1" w:styleId="ScheduleL9">
    <w:name w:val="Schedule L9"/>
    <w:basedOn w:val="Normal"/>
    <w:pPr>
      <w:numPr>
        <w:ilvl w:val="8"/>
        <w:numId w:val="16"/>
      </w:numPr>
      <w:outlineLvl w:val="8"/>
    </w:pPr>
    <w:rPr>
      <w:rFonts w:ascii="Times New Roman" w:eastAsia="STZhongsong" w:hAnsi="Times New Roman"/>
      <w:szCs w:val="20"/>
      <w:lang w:eastAsia="zh-CN"/>
    </w:rPr>
  </w:style>
  <w:style w:type="paragraph" w:customStyle="1" w:styleId="bodystrong">
    <w:name w:val="body strong"/>
    <w:basedOn w:val="Body"/>
    <w:link w:val="bodystrongChar"/>
    <w:pPr>
      <w:spacing w:after="0"/>
      <w:jc w:val="left"/>
    </w:pPr>
    <w:rPr>
      <w:rFonts w:eastAsia="SimSun" w:cs="Times New Roman"/>
      <w:b/>
      <w:sz w:val="20"/>
      <w:szCs w:val="24"/>
    </w:rPr>
  </w:style>
  <w:style w:type="character" w:customStyle="1" w:styleId="bodystrongChar">
    <w:name w:val="body strong Char"/>
    <w:link w:val="bodystrong"/>
    <w:rPr>
      <w:rFonts w:ascii="Arial" w:eastAsia="SimSun" w:hAnsi="Arial"/>
      <w:b/>
      <w:szCs w:val="24"/>
      <w:lang w:eastAsia="en-US"/>
    </w:rPr>
  </w:style>
  <w:style w:type="character" w:customStyle="1" w:styleId="searchword1">
    <w:name w:val="searchword1"/>
    <w:rPr>
      <w:shd w:val="clear" w:color="auto" w:fill="FFFF00"/>
    </w:rPr>
  </w:style>
  <w:style w:type="character" w:customStyle="1" w:styleId="searchword2">
    <w:name w:val="searchword2"/>
    <w:rPr>
      <w:shd w:val="clear" w:color="auto" w:fill="FFFF00"/>
    </w:rPr>
  </w:style>
  <w:style w:type="character" w:customStyle="1" w:styleId="searchword3">
    <w:name w:val="searchword3"/>
    <w:rPr>
      <w:shd w:val="clear" w:color="auto" w:fill="FFFF00"/>
    </w:rPr>
  </w:style>
  <w:style w:type="character" w:customStyle="1" w:styleId="searchword4">
    <w:name w:val="searchword4"/>
    <w:rPr>
      <w:shd w:val="clear" w:color="auto" w:fill="FFFF00"/>
    </w:rPr>
  </w:style>
  <w:style w:type="character" w:customStyle="1" w:styleId="Defterm">
    <w:name w:val="Defterm"/>
    <w:rPr>
      <w:b/>
      <w:color w:val="000000"/>
      <w:sz w:val="22"/>
    </w:rPr>
  </w:style>
  <w:style w:type="paragraph" w:customStyle="1" w:styleId="Sch1styleclause">
    <w:name w:val="Sch  (1style) clause"/>
    <w:basedOn w:val="Normal"/>
    <w:pPr>
      <w:numPr>
        <w:ilvl w:val="2"/>
        <w:numId w:val="7"/>
      </w:numPr>
      <w:spacing w:before="320" w:after="0" w:line="300" w:lineRule="atLeast"/>
      <w:outlineLvl w:val="0"/>
    </w:pPr>
    <w:rPr>
      <w:rFonts w:ascii="Times New Roman" w:hAnsi="Times New Roman"/>
      <w:b/>
      <w:smallCaps/>
      <w:szCs w:val="20"/>
    </w:rPr>
  </w:style>
  <w:style w:type="paragraph" w:customStyle="1" w:styleId="Sch1stylesubclause">
    <w:name w:val="Sch  (1style) sub clause"/>
    <w:basedOn w:val="Normal"/>
    <w:pPr>
      <w:numPr>
        <w:ilvl w:val="3"/>
        <w:numId w:val="7"/>
      </w:numPr>
      <w:spacing w:before="280" w:after="120" w:line="300" w:lineRule="atLeast"/>
      <w:outlineLvl w:val="1"/>
    </w:pPr>
    <w:rPr>
      <w:rFonts w:ascii="Times New Roman" w:hAnsi="Times New Roman"/>
      <w:color w:val="000000"/>
      <w:szCs w:val="20"/>
    </w:rPr>
  </w:style>
  <w:style w:type="paragraph" w:customStyle="1" w:styleId="Sch1stylepara">
    <w:name w:val="Sch (1style) para"/>
    <w:basedOn w:val="Normal"/>
    <w:pPr>
      <w:tabs>
        <w:tab w:val="num" w:pos="1559"/>
      </w:tabs>
      <w:spacing w:after="120" w:line="300" w:lineRule="atLeast"/>
      <w:ind w:left="1559" w:hanging="567"/>
    </w:pPr>
    <w:rPr>
      <w:rFonts w:ascii="Times New Roman" w:hAnsi="Times New Roman"/>
      <w:szCs w:val="20"/>
    </w:rPr>
  </w:style>
  <w:style w:type="paragraph" w:customStyle="1" w:styleId="Sch1stylesubpara">
    <w:name w:val="Sch (1style) sub para"/>
    <w:basedOn w:val="Heading4"/>
    <w:pPr>
      <w:keepLines w:val="0"/>
      <w:tabs>
        <w:tab w:val="left" w:pos="2261"/>
        <w:tab w:val="num" w:pos="2421"/>
      </w:tabs>
      <w:spacing w:after="120" w:line="300" w:lineRule="atLeast"/>
      <w:ind w:left="2268" w:hanging="567"/>
    </w:pPr>
    <w:rPr>
      <w:rFonts w:ascii="Times New Roman" w:eastAsia="Times New Roman" w:hAnsi="Times New Roman"/>
      <w:bCs w:val="0"/>
      <w:szCs w:val="20"/>
    </w:rPr>
  </w:style>
  <w:style w:type="paragraph" w:customStyle="1" w:styleId="StyleHeading3ServiceConformance3Arial">
    <w:name w:val="Style Heading 3Service Conformance 3 + Arial"/>
    <w:basedOn w:val="Heading3"/>
    <w:link w:val="StyleHeading3ServiceConformance3ArialCharChar"/>
    <w:pPr>
      <w:keepLines w:val="0"/>
      <w:tabs>
        <w:tab w:val="num" w:pos="0"/>
      </w:tabs>
      <w:spacing w:line="360" w:lineRule="auto"/>
      <w:ind w:left="2194" w:hanging="737"/>
    </w:pPr>
    <w:rPr>
      <w:rFonts w:ascii="Times New Roman" w:eastAsia="Times New Roman" w:hAnsi="Times New Roman"/>
      <w:bCs w:val="0"/>
      <w:szCs w:val="20"/>
    </w:rPr>
  </w:style>
  <w:style w:type="character" w:customStyle="1" w:styleId="StyleHeading3ServiceConformance3ArialCharChar">
    <w:name w:val="Style Heading 3Service Conformance 3 + Arial Char Char"/>
    <w:link w:val="StyleHeading3ServiceConformance3Arial"/>
    <w:locked/>
    <w:rPr>
      <w:rFonts w:ascii="Times New Roman" w:eastAsia="Times New Roman" w:hAnsi="Times New Roman"/>
      <w:sz w:val="22"/>
      <w:lang w:eastAsia="en-US"/>
    </w:rPr>
  </w:style>
  <w:style w:type="paragraph" w:customStyle="1" w:styleId="StyleHeading5ServiceConformance4HeadingHeading5unusedLev">
    <w:name w:val="Style Heading 5Service Conformance 4HeadingHeading 5(unused)Lev..."/>
    <w:basedOn w:val="Heading5"/>
    <w:link w:val="StyleHeading5ServiceConformance4HeadingHeading5unusedLevChar"/>
    <w:pPr>
      <w:keepLines w:val="0"/>
      <w:numPr>
        <w:numId w:val="2"/>
      </w:numPr>
      <w:spacing w:line="360" w:lineRule="auto"/>
      <w:jc w:val="left"/>
    </w:pPr>
    <w:rPr>
      <w:rFonts w:ascii="Times New Roman" w:eastAsia="Times New Roman" w:hAnsi="Times New Roman"/>
      <w:bCs w:val="0"/>
      <w:szCs w:val="20"/>
    </w:rPr>
  </w:style>
  <w:style w:type="character" w:customStyle="1" w:styleId="StyleHeading5ServiceConformance4HeadingHeading5unusedLevChar">
    <w:name w:val="Style Heading 5Service Conformance 4HeadingHeading 5(unused)Lev... Char"/>
    <w:link w:val="StyleHeading5ServiceConformance4HeadingHeading5unusedLev"/>
    <w:locked/>
    <w:rPr>
      <w:rFonts w:ascii="Times New Roman" w:eastAsia="Times New Roman" w:hAnsi="Times New Roman" w:cs="Arial"/>
      <w:sz w:val="22"/>
      <w:lang w:eastAsia="en-US"/>
    </w:rPr>
  </w:style>
  <w:style w:type="character" w:customStyle="1" w:styleId="MediumGrid11">
    <w:name w:val="Medium Grid 11"/>
    <w:uiPriority w:val="99"/>
    <w:semiHidden/>
    <w:rPr>
      <w:color w:val="808080"/>
    </w:rPr>
  </w:style>
  <w:style w:type="paragraph" w:customStyle="1" w:styleId="FFWLevel1">
    <w:name w:val="FFW Level 1"/>
    <w:basedOn w:val="Normal"/>
    <w:next w:val="FFWLevel2"/>
    <w:locked/>
    <w:pPr>
      <w:keepNext/>
      <w:numPr>
        <w:numId w:val="8"/>
      </w:numPr>
      <w:spacing w:before="240" w:after="0" w:line="260" w:lineRule="atLeast"/>
    </w:pPr>
    <w:rPr>
      <w:rFonts w:ascii="Arial" w:hAnsi="Arial"/>
      <w:b/>
      <w:sz w:val="20"/>
      <w:szCs w:val="24"/>
      <w:lang w:eastAsia="fr-FR"/>
    </w:rPr>
  </w:style>
  <w:style w:type="paragraph" w:customStyle="1" w:styleId="FFWLevel2">
    <w:name w:val="FFW Level 2"/>
    <w:basedOn w:val="Normal"/>
    <w:link w:val="FFWLevel2Char"/>
    <w:locked/>
    <w:pPr>
      <w:numPr>
        <w:ilvl w:val="1"/>
        <w:numId w:val="8"/>
      </w:numPr>
      <w:spacing w:before="240" w:after="0" w:line="260" w:lineRule="atLeast"/>
    </w:pPr>
    <w:rPr>
      <w:rFonts w:ascii="Arial" w:hAnsi="Arial"/>
      <w:sz w:val="20"/>
      <w:szCs w:val="24"/>
      <w:lang w:eastAsia="fr-FR"/>
    </w:rPr>
  </w:style>
  <w:style w:type="character" w:customStyle="1" w:styleId="FFWLevel2Char">
    <w:name w:val="FFW Level 2 Char"/>
    <w:link w:val="FFWLevel2"/>
    <w:rPr>
      <w:rFonts w:ascii="Arial" w:eastAsia="Times New Roman" w:hAnsi="Arial" w:cs="Arial"/>
      <w:szCs w:val="24"/>
      <w:lang w:eastAsia="fr-FR"/>
    </w:rPr>
  </w:style>
  <w:style w:type="paragraph" w:customStyle="1" w:styleId="FFWLevel3">
    <w:name w:val="FFW Level 3"/>
    <w:basedOn w:val="Normal"/>
    <w:locked/>
    <w:pPr>
      <w:numPr>
        <w:ilvl w:val="3"/>
        <w:numId w:val="8"/>
      </w:numPr>
      <w:spacing w:before="240" w:after="0" w:line="260" w:lineRule="atLeast"/>
    </w:pPr>
    <w:rPr>
      <w:rFonts w:ascii="Arial" w:hAnsi="Arial"/>
      <w:sz w:val="20"/>
      <w:szCs w:val="24"/>
      <w:lang w:eastAsia="fr-FR"/>
    </w:rPr>
  </w:style>
  <w:style w:type="paragraph" w:customStyle="1" w:styleId="FFWLevel4">
    <w:name w:val="FFW Level 4"/>
    <w:basedOn w:val="Normal"/>
    <w:link w:val="FFWLevel4Char"/>
    <w:locked/>
    <w:pPr>
      <w:tabs>
        <w:tab w:val="num" w:pos="1587"/>
      </w:tabs>
      <w:spacing w:before="240" w:after="0" w:line="260" w:lineRule="atLeast"/>
      <w:ind w:left="1587" w:hanging="793"/>
    </w:pPr>
    <w:rPr>
      <w:rFonts w:ascii="Arial" w:hAnsi="Arial"/>
      <w:sz w:val="20"/>
      <w:szCs w:val="24"/>
      <w:lang w:eastAsia="fr-FR"/>
    </w:rPr>
  </w:style>
  <w:style w:type="character" w:customStyle="1" w:styleId="FFWLevel4Char">
    <w:name w:val="FFW Level 4 Char"/>
    <w:link w:val="FFWLevel4"/>
    <w:rPr>
      <w:rFonts w:ascii="Arial" w:eastAsia="Times New Roman" w:hAnsi="Arial" w:cs="Arial"/>
      <w:szCs w:val="24"/>
      <w:lang w:eastAsia="fr-FR"/>
    </w:rPr>
  </w:style>
  <w:style w:type="paragraph" w:customStyle="1" w:styleId="FFWLevel5">
    <w:name w:val="FFW Level 5"/>
    <w:basedOn w:val="Normal"/>
    <w:locked/>
    <w:pPr>
      <w:tabs>
        <w:tab w:val="num" w:pos="2381"/>
      </w:tabs>
      <w:spacing w:before="240" w:after="0" w:line="260" w:lineRule="atLeast"/>
      <w:ind w:left="2381" w:hanging="794"/>
    </w:pPr>
    <w:rPr>
      <w:rFonts w:ascii="Arial" w:hAnsi="Arial"/>
      <w:sz w:val="20"/>
      <w:szCs w:val="24"/>
      <w:lang w:eastAsia="fr-FR"/>
    </w:rPr>
  </w:style>
  <w:style w:type="paragraph" w:customStyle="1" w:styleId="FFWLevel6">
    <w:name w:val="FFW Level 6"/>
    <w:basedOn w:val="Normal"/>
    <w:locked/>
    <w:pPr>
      <w:numPr>
        <w:ilvl w:val="5"/>
        <w:numId w:val="8"/>
      </w:numPr>
      <w:spacing w:before="240" w:after="0" w:line="260" w:lineRule="atLeast"/>
    </w:pPr>
    <w:rPr>
      <w:rFonts w:ascii="Arial" w:hAnsi="Arial"/>
      <w:sz w:val="20"/>
      <w:szCs w:val="24"/>
      <w:lang w:eastAsia="fr-FR"/>
    </w:rPr>
  </w:style>
  <w:style w:type="paragraph" w:customStyle="1" w:styleId="FFWBody1">
    <w:name w:val="FFW Body 1"/>
    <w:basedOn w:val="Normal"/>
    <w:locked/>
    <w:pPr>
      <w:spacing w:before="240" w:after="0" w:line="260" w:lineRule="atLeast"/>
      <w:ind w:left="794"/>
    </w:pPr>
    <w:rPr>
      <w:rFonts w:ascii="Arial" w:hAnsi="Arial"/>
      <w:sz w:val="20"/>
      <w:szCs w:val="24"/>
      <w:lang w:eastAsia="fr-FR"/>
    </w:rPr>
  </w:style>
  <w:style w:type="paragraph" w:customStyle="1" w:styleId="FFWDefinitionColumnLevel1">
    <w:name w:val="FFW Definition Column Level 1"/>
    <w:basedOn w:val="Normal"/>
    <w:locked/>
    <w:pPr>
      <w:numPr>
        <w:numId w:val="9"/>
      </w:numPr>
      <w:spacing w:before="240" w:after="0" w:line="260" w:lineRule="atLeast"/>
    </w:pPr>
    <w:rPr>
      <w:rFonts w:ascii="Arial" w:hAnsi="Arial"/>
      <w:sz w:val="20"/>
      <w:szCs w:val="24"/>
      <w:lang w:eastAsia="fr-FR"/>
    </w:rPr>
  </w:style>
  <w:style w:type="paragraph" w:customStyle="1" w:styleId="FFWDefinitionColumnLevel2">
    <w:name w:val="FFW Definition Column Level 2"/>
    <w:basedOn w:val="Normal"/>
    <w:locked/>
    <w:pPr>
      <w:numPr>
        <w:ilvl w:val="1"/>
        <w:numId w:val="9"/>
      </w:numPr>
      <w:spacing w:before="240" w:after="0" w:line="260" w:lineRule="atLeast"/>
    </w:pPr>
    <w:rPr>
      <w:rFonts w:ascii="Arial" w:hAnsi="Arial"/>
      <w:sz w:val="20"/>
      <w:szCs w:val="24"/>
      <w:lang w:eastAsia="fr-FR"/>
    </w:rPr>
  </w:style>
  <w:style w:type="paragraph" w:customStyle="1" w:styleId="FFWBody3">
    <w:name w:val="FFW Body 3"/>
    <w:basedOn w:val="Normal"/>
    <w:locked/>
    <w:pPr>
      <w:spacing w:before="240" w:after="0" w:line="260" w:lineRule="atLeast"/>
      <w:ind w:left="794"/>
    </w:pPr>
    <w:rPr>
      <w:rFonts w:ascii="Arial" w:hAnsi="Arial"/>
      <w:sz w:val="20"/>
      <w:szCs w:val="20"/>
    </w:rPr>
  </w:style>
  <w:style w:type="paragraph" w:customStyle="1" w:styleId="FFWDefinitionLevel1">
    <w:name w:val="FFW Definition Level 1"/>
    <w:basedOn w:val="Normal"/>
    <w:locked/>
    <w:pPr>
      <w:numPr>
        <w:numId w:val="10"/>
      </w:numPr>
      <w:spacing w:before="240" w:after="0" w:line="260" w:lineRule="atLeast"/>
    </w:pPr>
    <w:rPr>
      <w:rFonts w:ascii="Arial" w:hAnsi="Arial"/>
      <w:sz w:val="20"/>
      <w:szCs w:val="24"/>
      <w:lang w:eastAsia="en-GB"/>
    </w:rPr>
  </w:style>
  <w:style w:type="paragraph" w:customStyle="1" w:styleId="MediumGrid21">
    <w:name w:val="Medium Grid 21"/>
    <w:uiPriority w:val="1"/>
    <w:qFormat/>
    <w:rPr>
      <w:rFonts w:ascii="Arial" w:eastAsia="Times New Roman" w:hAnsi="Arial" w:cs="Arial"/>
      <w:sz w:val="24"/>
      <w:szCs w:val="24"/>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locked/>
    <w:rPr>
      <w:rFonts w:ascii="Arial Bold" w:eastAsia="STZhongsong" w:hAnsi="Arial Bold"/>
      <w:b/>
      <w:caps/>
      <w:sz w:val="22"/>
      <w:szCs w:val="22"/>
      <w:lang w:eastAsia="zh-CN"/>
    </w:rPr>
  </w:style>
  <w:style w:type="paragraph" w:customStyle="1" w:styleId="FFWDefinitionLevel2">
    <w:name w:val="FFW Definition Level 2"/>
    <w:basedOn w:val="Normal"/>
    <w:locked/>
    <w:pPr>
      <w:tabs>
        <w:tab w:val="num" w:pos="1587"/>
      </w:tabs>
      <w:spacing w:before="240" w:after="0" w:line="260" w:lineRule="atLeast"/>
      <w:ind w:left="1587" w:hanging="794"/>
    </w:pPr>
    <w:rPr>
      <w:rFonts w:ascii="Arial" w:hAnsi="Arial"/>
      <w:sz w:val="20"/>
      <w:szCs w:val="24"/>
      <w:lang w:eastAsia="fr-FR"/>
    </w:rPr>
  </w:style>
  <w:style w:type="table" w:customStyle="1" w:styleId="TableGrid1">
    <w:name w:val="Table Grid1"/>
    <w:basedOn w:val="TableNormal"/>
    <w:next w:val="TableGrid"/>
    <w:uiPriority w:val="59"/>
    <w:pPr>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DefinitionTerm">
    <w:name w:val="GPS Definition Term"/>
    <w:basedOn w:val="Normal"/>
    <w:uiPriority w:val="99"/>
    <w:qFormat/>
    <w:pPr>
      <w:spacing w:after="120"/>
      <w:ind w:left="-108"/>
      <w:jc w:val="left"/>
    </w:pPr>
    <w:rPr>
      <w:b/>
    </w:rPr>
  </w:style>
  <w:style w:type="paragraph" w:styleId="BodyText2">
    <w:name w:val="Body Text 2"/>
    <w:basedOn w:val="Normal"/>
    <w:link w:val="BodyText2Char"/>
    <w:uiPriority w:val="99"/>
    <w:unhideWhenUsed/>
    <w:pPr>
      <w:spacing w:after="120" w:line="480" w:lineRule="auto"/>
    </w:pPr>
  </w:style>
  <w:style w:type="character" w:customStyle="1" w:styleId="BodyText2Char">
    <w:name w:val="Body Text 2 Char"/>
    <w:link w:val="BodyText2"/>
    <w:uiPriority w:val="99"/>
    <w:rPr>
      <w:sz w:val="22"/>
      <w:szCs w:val="22"/>
      <w:lang w:eastAsia="en-US"/>
    </w:rPr>
  </w:style>
  <w:style w:type="paragraph" w:customStyle="1" w:styleId="GPSL1CLAUSEHEADING">
    <w:name w:val="GPS L1 CLAUSE HEADING"/>
    <w:basedOn w:val="Normal"/>
    <w:next w:val="Normal"/>
    <w:link w:val="GPSL1CLAUSEHEADINGChar"/>
    <w:uiPriority w:val="99"/>
    <w:qFormat/>
    <w:pPr>
      <w:numPr>
        <w:numId w:val="15"/>
      </w:numPr>
      <w:tabs>
        <w:tab w:val="left" w:pos="142"/>
      </w:tabs>
      <w:overflowPunct/>
      <w:autoSpaceDE/>
      <w:autoSpaceDN/>
      <w:spacing w:before="120"/>
      <w:textAlignment w:val="auto"/>
      <w:outlineLvl w:val="1"/>
    </w:pPr>
    <w:rPr>
      <w:rFonts w:eastAsia="STZhongsong"/>
      <w:b/>
      <w:caps/>
      <w:lang w:eastAsia="zh-CN"/>
    </w:rPr>
  </w:style>
  <w:style w:type="paragraph" w:customStyle="1" w:styleId="GPSL2numberedclause">
    <w:name w:val="GPS L2 numbered clause"/>
    <w:basedOn w:val="Normal"/>
    <w:link w:val="GPSL2numberedclauseChar1"/>
    <w:qFormat/>
    <w:pPr>
      <w:tabs>
        <w:tab w:val="left" w:pos="1134"/>
      </w:tabs>
      <w:overflowPunct/>
      <w:autoSpaceDE/>
      <w:autoSpaceDN/>
      <w:spacing w:before="120" w:after="120"/>
      <w:ind w:left="1134" w:hanging="567"/>
      <w:textAlignment w:val="auto"/>
    </w:pPr>
    <w:rPr>
      <w:lang w:eastAsia="zh-CN"/>
    </w:rPr>
  </w:style>
  <w:style w:type="paragraph" w:customStyle="1" w:styleId="GPSL3numberedclause">
    <w:name w:val="GPS L3 numbered clause"/>
    <w:basedOn w:val="Normal"/>
    <w:link w:val="GPSL3numberedclauseChar"/>
    <w:qFormat/>
    <w:pPr>
      <w:numPr>
        <w:ilvl w:val="2"/>
        <w:numId w:val="15"/>
      </w:numPr>
      <w:tabs>
        <w:tab w:val="left" w:pos="1985"/>
      </w:tabs>
      <w:overflowPunct/>
      <w:autoSpaceDE/>
      <w:autoSpaceDN/>
      <w:spacing w:before="120" w:after="120"/>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clear" w:pos="1985"/>
      </w:tabs>
    </w:pPr>
  </w:style>
  <w:style w:type="character" w:customStyle="1" w:styleId="GPSL2numberedclauseChar1">
    <w:name w:val="GPS L2 numbered clause Char1"/>
    <w:link w:val="GPSL2numberedclause"/>
    <w:rPr>
      <w:rFonts w:eastAsia="Times New Roman" w:cs="Arial"/>
      <w:sz w:val="22"/>
      <w:szCs w:val="22"/>
      <w:lang w:eastAsia="zh-CN"/>
    </w:rPr>
  </w:style>
  <w:style w:type="paragraph" w:customStyle="1" w:styleId="GPSL5numberedclause">
    <w:name w:val="GPS L5 numbered clause"/>
    <w:basedOn w:val="GPSL4numberedclause"/>
    <w:link w:val="GPSL5numberedclauseChar"/>
    <w:qFormat/>
    <w:pPr>
      <w:numPr>
        <w:ilvl w:val="4"/>
      </w:numPr>
      <w:tabs>
        <w:tab w:val="left" w:pos="3119"/>
      </w:tabs>
    </w:pPr>
  </w:style>
  <w:style w:type="paragraph" w:customStyle="1" w:styleId="GPSL6numbered">
    <w:name w:val="GPS L6 numbered"/>
    <w:basedOn w:val="GPSL5numberedclause"/>
    <w:uiPriority w:val="99"/>
    <w:qFormat/>
    <w:pPr>
      <w:numPr>
        <w:ilvl w:val="5"/>
      </w:numPr>
      <w:tabs>
        <w:tab w:val="left" w:pos="3686"/>
      </w:tabs>
    </w:pPr>
  </w:style>
  <w:style w:type="character" w:customStyle="1" w:styleId="GPSL3numberedclauseChar">
    <w:name w:val="GPS L3 numbered clause Char"/>
    <w:link w:val="GPSL3numberedclause"/>
    <w:rPr>
      <w:rFonts w:eastAsia="Times New Roman" w:cs="Arial"/>
      <w:sz w:val="22"/>
      <w:szCs w:val="22"/>
      <w:lang w:eastAsia="zh-CN"/>
    </w:rPr>
  </w:style>
  <w:style w:type="paragraph" w:customStyle="1" w:styleId="ColorfulShading-Accent11">
    <w:name w:val="Colorful Shading - Accent 11"/>
    <w:hidden/>
    <w:uiPriority w:val="99"/>
    <w:semiHidden/>
    <w:rPr>
      <w:lang w:eastAsia="en-US"/>
    </w:rPr>
  </w:style>
  <w:style w:type="paragraph" w:customStyle="1" w:styleId="GPSL2Numbered">
    <w:name w:val="GPS L2 Numbered"/>
    <w:basedOn w:val="GPSL2NumberedBoldHeading"/>
    <w:link w:val="GPSL2NumberedChar"/>
    <w:qFormat/>
    <w:pPr>
      <w:numPr>
        <w:ilvl w:val="0"/>
        <w:numId w:val="0"/>
      </w:numPr>
      <w:tabs>
        <w:tab w:val="clear" w:pos="1134"/>
      </w:tabs>
    </w:pPr>
    <w:rPr>
      <w:b w:val="0"/>
    </w:rPr>
  </w:style>
  <w:style w:type="character" w:customStyle="1" w:styleId="GPSL2NumberedChar">
    <w:name w:val="GPS L2 Numbered Char"/>
    <w:link w:val="GPSL2Numbered"/>
    <w:locked/>
    <w:rPr>
      <w:rFonts w:eastAsia="Times New Roman" w:cs="Arial"/>
      <w:sz w:val="22"/>
      <w:szCs w:val="22"/>
      <w:lang w:eastAsia="zh-CN"/>
    </w:rPr>
  </w:style>
  <w:style w:type="paragraph" w:customStyle="1" w:styleId="GPSL1SCHEDULEHeading">
    <w:name w:val="GPS L1 SCHEDULE Heading"/>
    <w:basedOn w:val="GPSL1CLAUSEHEADING"/>
    <w:link w:val="GPSL1SCHEDULEHeadingChar"/>
    <w:qFormat/>
    <w:pPr>
      <w:numPr>
        <w:numId w:val="0"/>
      </w:numPr>
      <w:outlineLvl w:val="9"/>
    </w:pPr>
  </w:style>
  <w:style w:type="character" w:customStyle="1" w:styleId="GPSL1SCHEDULEHeadingChar">
    <w:name w:val="GPS L1 SCHEDULE Heading Char"/>
    <w:link w:val="GPSL1SCHEDULEHeading"/>
    <w:locked/>
    <w:rPr>
      <w:rFonts w:eastAsia="STZhongsong" w:cs="Arial"/>
      <w:b/>
      <w:caps/>
      <w:sz w:val="22"/>
      <w:szCs w:val="22"/>
      <w:lang w:eastAsia="zh-CN"/>
    </w:rPr>
  </w:style>
  <w:style w:type="paragraph" w:customStyle="1" w:styleId="GPSL2NumberedBoldHeading">
    <w:name w:val="GPS L2 Numbered Bold Heading"/>
    <w:basedOn w:val="Normal"/>
    <w:link w:val="GPSL2NumberedBoldHeadingChar"/>
    <w:qFormat/>
    <w:pPr>
      <w:numPr>
        <w:ilvl w:val="1"/>
        <w:numId w:val="15"/>
      </w:numPr>
      <w:tabs>
        <w:tab w:val="left" w:pos="1134"/>
      </w:tabs>
      <w:overflowPunct/>
      <w:autoSpaceDE/>
      <w:autoSpaceDN/>
      <w:spacing w:before="120" w:after="120"/>
      <w:textAlignment w:val="auto"/>
    </w:pPr>
    <w:rPr>
      <w:b/>
      <w:lang w:eastAsia="zh-CN"/>
    </w:rPr>
  </w:style>
  <w:style w:type="paragraph" w:customStyle="1" w:styleId="GPsDefinition">
    <w:name w:val="GPs Definition"/>
    <w:basedOn w:val="Normal"/>
    <w:uiPriority w:val="99"/>
    <w:qFormat/>
    <w:pPr>
      <w:numPr>
        <w:numId w:val="14"/>
      </w:numPr>
      <w:tabs>
        <w:tab w:val="left" w:pos="175"/>
      </w:tabs>
      <w:spacing w:after="120"/>
    </w:pPr>
  </w:style>
  <w:style w:type="paragraph" w:customStyle="1" w:styleId="GPSDefinitionL2">
    <w:name w:val="GPS Definition L2"/>
    <w:basedOn w:val="GPsDefinition"/>
    <w:uiPriority w:val="99"/>
    <w:qFormat/>
    <w:pPr>
      <w:numPr>
        <w:ilvl w:val="1"/>
      </w:numPr>
    </w:pPr>
  </w:style>
  <w:style w:type="paragraph" w:customStyle="1" w:styleId="GPSDefinitionL3">
    <w:name w:val="GPS Definition L3"/>
    <w:basedOn w:val="GPSDefinitionL2"/>
    <w:uiPriority w:val="99"/>
    <w:qFormat/>
    <w:pPr>
      <w:numPr>
        <w:ilvl w:val="2"/>
      </w:numPr>
    </w:pPr>
  </w:style>
  <w:style w:type="paragraph" w:customStyle="1" w:styleId="GPSDefinitionL4">
    <w:name w:val="GPS Definition L4"/>
    <w:basedOn w:val="GPSDefinitionL3"/>
    <w:uiPriority w:val="99"/>
    <w:qFormat/>
    <w:pPr>
      <w:numPr>
        <w:ilvl w:val="3"/>
      </w:numPr>
    </w:pPr>
  </w:style>
  <w:style w:type="character" w:customStyle="1" w:styleId="GPSL1CLAUSEHEADINGChar">
    <w:name w:val="GPS L1 CLAUSE HEADING Char"/>
    <w:link w:val="GPSL1CLAUSEHEADING"/>
    <w:uiPriority w:val="99"/>
    <w:rPr>
      <w:rFonts w:eastAsia="STZhongsong" w:cs="Arial"/>
      <w:b/>
      <w:caps/>
      <w:sz w:val="22"/>
      <w:szCs w:val="22"/>
      <w:lang w:eastAsia="zh-CN"/>
    </w:rPr>
  </w:style>
  <w:style w:type="character" w:customStyle="1" w:styleId="GPSL2NumberedBoldHeadingChar">
    <w:name w:val="GPS L2 Numbered Bold Heading Char"/>
    <w:link w:val="GPSL2NumberedBoldHeading"/>
    <w:locked/>
    <w:rPr>
      <w:rFonts w:eastAsia="Times New Roman" w:cs="Arial"/>
      <w:b/>
      <w:sz w:val="22"/>
      <w:szCs w:val="22"/>
      <w:lang w:eastAsia="zh-CN"/>
    </w:rPr>
  </w:style>
  <w:style w:type="character" w:customStyle="1" w:styleId="GPSL4numberedclauseChar">
    <w:name w:val="GPS L4 numbered clause Char"/>
    <w:link w:val="GPSL4numberedclause"/>
    <w:locked/>
    <w:rPr>
      <w:rFonts w:eastAsia="Times New Roman" w:cs="Arial"/>
      <w:sz w:val="22"/>
      <w:szCs w:val="22"/>
      <w:lang w:eastAsia="zh-CN"/>
    </w:rPr>
  </w:style>
  <w:style w:type="character" w:customStyle="1" w:styleId="GPSL5numberedclauseChar">
    <w:name w:val="GPS L5 numbered clause Char"/>
    <w:link w:val="GPSL5numberedclause"/>
    <w:locked/>
    <w:rPr>
      <w:rFonts w:eastAsia="Times New Roman" w:cs="Arial"/>
      <w:sz w:val="22"/>
      <w:szCs w:val="22"/>
      <w:lang w:eastAsia="zh-CN"/>
    </w:rPr>
  </w:style>
  <w:style w:type="paragraph" w:customStyle="1" w:styleId="GPSmacrorestart">
    <w:name w:val="GPS macro restart"/>
    <w:basedOn w:val="Normal"/>
    <w:qFormat/>
    <w:pPr>
      <w:spacing w:after="0"/>
    </w:pPr>
    <w:rPr>
      <w:color w:val="FFFFFF"/>
      <w:sz w:val="16"/>
      <w:szCs w:val="16"/>
    </w:rPr>
  </w:style>
  <w:style w:type="paragraph" w:customStyle="1" w:styleId="Normal1">
    <w:name w:val="Normal1"/>
    <w:pPr>
      <w:widowControl w:val="0"/>
      <w:spacing w:after="80"/>
    </w:pPr>
    <w:rPr>
      <w:color w:val="000000"/>
      <w:lang w:eastAsia="en-US"/>
    </w:rPr>
  </w:style>
  <w:style w:type="paragraph" w:styleId="ListParagraph">
    <w:name w:val="List Paragraph"/>
    <w:basedOn w:val="Normal"/>
    <w:uiPriority w:val="34"/>
    <w:qFormat/>
    <w:rsid w:val="006630B3"/>
    <w:pPr>
      <w:overflowPunct/>
      <w:autoSpaceDE/>
      <w:autoSpaceDN/>
      <w:adjustRightInd/>
      <w:ind w:left="720"/>
      <w:textAlignment w:val="auto"/>
    </w:pPr>
    <w:rPr>
      <w:rFonts w:asciiTheme="minorHAnsi" w:eastAsiaTheme="minorHAnsi" w:hAnsiTheme="minorHAnsi" w:cstheme="minorBidi"/>
    </w:rPr>
  </w:style>
  <w:style w:type="paragraph" w:customStyle="1" w:styleId="aDefinition">
    <w:name w:val="(a) Definition"/>
    <w:basedOn w:val="Body"/>
    <w:qFormat/>
    <w:rsid w:val="008C76D4"/>
    <w:pPr>
      <w:tabs>
        <w:tab w:val="num" w:pos="851"/>
      </w:tabs>
      <w:overflowPunct/>
      <w:autoSpaceDE/>
      <w:autoSpaceDN/>
      <w:adjustRightInd/>
      <w:ind w:left="851" w:hanging="851"/>
      <w:textAlignment w:val="auto"/>
    </w:pPr>
    <w:rPr>
      <w:rFonts w:ascii="Verdana" w:hAnsi="Verdana" w:cs="Times New Roman"/>
      <w:sz w:val="18"/>
      <w:szCs w:val="18"/>
      <w:lang w:eastAsia="zh-CN"/>
    </w:rPr>
  </w:style>
  <w:style w:type="paragraph" w:customStyle="1" w:styleId="iDefinition">
    <w:name w:val="(i) Definition"/>
    <w:basedOn w:val="Body"/>
    <w:qFormat/>
    <w:rsid w:val="008C76D4"/>
    <w:pPr>
      <w:tabs>
        <w:tab w:val="num" w:pos="1843"/>
      </w:tabs>
      <w:overflowPunct/>
      <w:autoSpaceDE/>
      <w:autoSpaceDN/>
      <w:adjustRightInd/>
      <w:ind w:left="1843" w:hanging="992"/>
      <w:textAlignment w:val="auto"/>
    </w:pPr>
    <w:rPr>
      <w:rFonts w:ascii="Verdana" w:hAnsi="Verdana" w:cs="Times New Roman"/>
      <w:sz w:val="18"/>
      <w:szCs w:val="18"/>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ixzx3dggu975jqFFc+qlI81lZ0Q==">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19103</Words>
  <Characters>108891</Characters>
  <Application>Microsoft Office Word</Application>
  <DocSecurity>0</DocSecurity>
  <Lines>907</Lines>
  <Paragraphs>255</Paragraphs>
  <ScaleCrop>false</ScaleCrop>
  <Company/>
  <LinksUpToDate>false</LinksUpToDate>
  <CharactersWithSpaces>127739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Jason Alford</cp:lastModifiedBy>
  <cp:revision>2</cp:revision>
  <dcterms:created xsi:type="dcterms:W3CDTF">2024-08-09T11:22:00Z</dcterms:created>
  <dcterms:modified xsi:type="dcterms:W3CDTF">2024-08-09T11:22:00Z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D1V2</vt:lpwstr>
  </property>
  <property fmtid="{D5CDD505-2E9C-101B-9397-08002B2CF9AE}" pid="3" name="DOCID">
    <vt:lpwstr/>
  </property>
  <property fmtid="{D5CDD505-2E9C-101B-9397-08002B2CF9AE}" pid="4" name="COMPANYID">
    <vt:i4>2122615613</vt:i4>
  </property>
  <property fmtid="{D5CDD505-2E9C-101B-9397-08002B2CF9AE}" pid="5" name="SERIALNO">
    <vt:i4>11311</vt:i4>
  </property>
  <property fmtid="{D5CDD505-2E9C-101B-9397-08002B2CF9AE}" pid="6" name="EDITION">
    <vt:lpwstr>FM</vt:lpwstr>
  </property>
  <property fmtid="{D5CDD505-2E9C-101B-9397-08002B2CF9AE}" pid="7" name="CLIENTID">
    <vt:i4>4275</vt:i4>
  </property>
  <property fmtid="{D5CDD505-2E9C-101B-9397-08002B2CF9AE}" pid="8" name="FILEID">
    <vt:i4>268975</vt:i4>
  </property>
  <property fmtid="{D5CDD505-2E9C-101B-9397-08002B2CF9AE}" pid="9" name="ASSOCID">
    <vt:i4>1176589</vt:i4>
  </property>
  <property fmtid="{D5CDD505-2E9C-101B-9397-08002B2CF9AE}" pid="10" name="iManageFooter">
    <vt:lpwstr>#109517331v3&lt;L_LIVE_EMEA1&gt; - PPA v3.0 (Call-Off Schedule 02 - Staff Transfer v3.3)</vt:lpwstr>
  </property>
</Properties>
</file>