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861E6" w:rsidRDefault="000861E6">
      <w:pPr>
        <w:pBdr>
          <w:top w:val="nil"/>
          <w:left w:val="nil"/>
          <w:bottom w:val="nil"/>
          <w:right w:val="nil"/>
          <w:between w:val="nil"/>
        </w:pBdr>
        <w:spacing w:before="120" w:after="120" w:line="240" w:lineRule="auto"/>
        <w:ind w:left="1996" w:hanging="720"/>
        <w:rPr>
          <w:rFonts w:ascii="Arial" w:eastAsia="Arial" w:hAnsi="Arial" w:cs="Arial"/>
          <w:b/>
          <w:color w:val="000000"/>
          <w:sz w:val="36"/>
          <w:szCs w:val="36"/>
        </w:rPr>
      </w:pPr>
    </w:p>
    <w:p w14:paraId="00000002" w14:textId="77777777" w:rsidR="000861E6" w:rsidRDefault="00366A23">
      <w:pPr>
        <w:rPr>
          <w:rFonts w:ascii="Arial" w:eastAsia="Arial" w:hAnsi="Arial" w:cs="Arial"/>
          <w:sz w:val="36"/>
          <w:szCs w:val="36"/>
        </w:rPr>
      </w:pPr>
      <w:r>
        <w:rPr>
          <w:rFonts w:ascii="Arial" w:eastAsia="Arial" w:hAnsi="Arial" w:cs="Arial"/>
          <w:b/>
          <w:sz w:val="36"/>
          <w:szCs w:val="36"/>
        </w:rPr>
        <w:t>Call-Off Schedule 19 (Scottish Law)</w:t>
      </w:r>
      <w:r>
        <w:rPr>
          <w:rFonts w:ascii="Arial" w:eastAsia="Arial" w:hAnsi="Arial" w:cs="Arial"/>
          <w:sz w:val="36"/>
          <w:szCs w:val="36"/>
        </w:rPr>
        <w:t xml:space="preserve"> </w:t>
      </w:r>
    </w:p>
    <w:p w14:paraId="00000003" w14:textId="77777777" w:rsidR="000861E6" w:rsidRDefault="00366A23">
      <w:pPr>
        <w:keepNext/>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When you should use this Schedule</w:t>
      </w:r>
    </w:p>
    <w:p w14:paraId="00000004" w14:textId="6E8B49BA" w:rsidR="000861E6" w:rsidRDefault="00366A23">
      <w:pPr>
        <w:keepNext/>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This Call-Off Schedule 19 may be included to adapt the Core Terms and Schedules so that the Call</w:t>
      </w:r>
      <w:r w:rsidR="00B80ADD">
        <w:rPr>
          <w:rFonts w:ascii="Arial" w:eastAsia="Arial" w:hAnsi="Arial" w:cs="Arial"/>
          <w:color w:val="000000"/>
          <w:sz w:val="24"/>
          <w:szCs w:val="24"/>
        </w:rPr>
        <w:t>-</w:t>
      </w:r>
      <w:r>
        <w:rPr>
          <w:rFonts w:ascii="Arial" w:eastAsia="Arial" w:hAnsi="Arial" w:cs="Arial"/>
          <w:color w:val="000000"/>
          <w:sz w:val="24"/>
          <w:szCs w:val="24"/>
        </w:rPr>
        <w:t>Off Contract is under Scottish Law.</w:t>
      </w:r>
    </w:p>
    <w:p w14:paraId="00000005" w14:textId="77777777" w:rsidR="000861E6" w:rsidRDefault="00366A23">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Core Terms</w:t>
      </w:r>
    </w:p>
    <w:p w14:paraId="00000006" w14:textId="70985D94" w:rsidR="000861E6" w:rsidRDefault="00366A23">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19, (Other people’s rights in </w:t>
      </w:r>
      <w:r w:rsidR="007151B8">
        <w:rPr>
          <w:rFonts w:ascii="Arial" w:eastAsia="Arial" w:hAnsi="Arial" w:cs="Arial"/>
          <w:color w:val="000000"/>
          <w:sz w:val="24"/>
          <w:szCs w:val="24"/>
        </w:rPr>
        <w:t xml:space="preserve">a </w:t>
      </w:r>
      <w:r>
        <w:rPr>
          <w:rFonts w:ascii="Arial" w:eastAsia="Arial" w:hAnsi="Arial" w:cs="Arial"/>
          <w:color w:val="000000"/>
          <w:sz w:val="24"/>
          <w:szCs w:val="24"/>
        </w:rPr>
        <w:t xml:space="preserve">contract) – “Contract Rights of Third Parties Act (CRTPA)” shall be replaced by </w:t>
      </w:r>
      <w:r>
        <w:rPr>
          <w:rFonts w:ascii="Arial" w:eastAsia="Arial" w:hAnsi="Arial" w:cs="Arial"/>
          <w:i/>
          <w:color w:val="000000"/>
          <w:sz w:val="24"/>
          <w:szCs w:val="24"/>
        </w:rPr>
        <w:t>“</w:t>
      </w:r>
      <w:r>
        <w:rPr>
          <w:rFonts w:ascii="Arial" w:eastAsia="Arial" w:hAnsi="Arial" w:cs="Arial"/>
          <w:color w:val="000000"/>
          <w:sz w:val="24"/>
          <w:szCs w:val="24"/>
        </w:rPr>
        <w:t>Contract (Third Party Rights) (Scotland) Act 2017 (CTPRSA)</w:t>
      </w:r>
      <w:r>
        <w:rPr>
          <w:rFonts w:ascii="Arial" w:eastAsia="Arial" w:hAnsi="Arial" w:cs="Arial"/>
          <w:i/>
          <w:color w:val="000000"/>
          <w:sz w:val="24"/>
          <w:szCs w:val="24"/>
        </w:rPr>
        <w:t>”.</w:t>
      </w:r>
      <w:r>
        <w:rPr>
          <w:rFonts w:ascii="Arial" w:eastAsia="Arial" w:hAnsi="Arial" w:cs="Arial"/>
          <w:color w:val="000000"/>
          <w:sz w:val="24"/>
          <w:szCs w:val="24"/>
        </w:rPr>
        <w:t xml:space="preserve"> References to “</w:t>
      </w:r>
      <w:r>
        <w:rPr>
          <w:rFonts w:ascii="Arial" w:eastAsia="Arial" w:hAnsi="Arial" w:cs="Arial"/>
          <w:i/>
          <w:color w:val="000000"/>
          <w:sz w:val="24"/>
          <w:szCs w:val="24"/>
        </w:rPr>
        <w:t>CRTPA</w:t>
      </w:r>
      <w:r>
        <w:rPr>
          <w:rFonts w:ascii="Arial" w:eastAsia="Arial" w:hAnsi="Arial" w:cs="Arial"/>
          <w:color w:val="000000"/>
          <w:sz w:val="24"/>
          <w:szCs w:val="24"/>
        </w:rPr>
        <w:t>” shall be replaced by “</w:t>
      </w:r>
      <w:r>
        <w:rPr>
          <w:rFonts w:ascii="Arial" w:eastAsia="Arial" w:hAnsi="Arial" w:cs="Arial"/>
          <w:i/>
          <w:color w:val="000000"/>
          <w:sz w:val="24"/>
          <w:szCs w:val="24"/>
        </w:rPr>
        <w:t>CTPRSA</w:t>
      </w:r>
      <w:r>
        <w:rPr>
          <w:rFonts w:ascii="Arial" w:eastAsia="Arial" w:hAnsi="Arial" w:cs="Arial"/>
          <w:color w:val="000000"/>
          <w:sz w:val="24"/>
          <w:szCs w:val="24"/>
        </w:rPr>
        <w:t>”.</w:t>
      </w:r>
    </w:p>
    <w:p w14:paraId="00000007" w14:textId="204ADE18" w:rsidR="000861E6" w:rsidRDefault="00366A23">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34 (Resolving </w:t>
      </w:r>
      <w:r w:rsidR="007151B8">
        <w:rPr>
          <w:rFonts w:ascii="Arial" w:eastAsia="Arial" w:hAnsi="Arial" w:cs="Arial"/>
          <w:color w:val="000000"/>
          <w:sz w:val="24"/>
          <w:szCs w:val="24"/>
        </w:rPr>
        <w:t>d</w:t>
      </w:r>
      <w:r>
        <w:rPr>
          <w:rFonts w:ascii="Arial" w:eastAsia="Arial" w:hAnsi="Arial" w:cs="Arial"/>
          <w:color w:val="000000"/>
          <w:sz w:val="24"/>
          <w:szCs w:val="24"/>
        </w:rPr>
        <w:t>isputes):</w:t>
      </w:r>
    </w:p>
    <w:p w14:paraId="00000008" w14:textId="77777777" w:rsidR="000861E6" w:rsidRDefault="00366A23">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Clause 34.2 – add the following wording: “The governing law and jurisdiction provisions of CEDR’s Model Mediation Agreement shall be deemed to be amended to refer to the laws of Scotland and the Court of Session.”</w:t>
      </w:r>
    </w:p>
    <w:p w14:paraId="00000009" w14:textId="3CB1BFEF" w:rsidR="000861E6" w:rsidRDefault="00366A23">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34.3 </w:t>
      </w:r>
      <w:r w:rsidR="007151B8">
        <w:rPr>
          <w:rFonts w:ascii="Arial" w:eastAsia="Arial" w:hAnsi="Arial" w:cs="Arial"/>
          <w:color w:val="000000"/>
          <w:sz w:val="24"/>
          <w:szCs w:val="24"/>
        </w:rPr>
        <w:t>–</w:t>
      </w:r>
      <w:r>
        <w:rPr>
          <w:rFonts w:ascii="Arial" w:eastAsia="Arial" w:hAnsi="Arial" w:cs="Arial"/>
          <w:color w:val="000000"/>
          <w:sz w:val="24"/>
          <w:szCs w:val="24"/>
        </w:rPr>
        <w:t xml:space="preserve"> The term “Courts of England and Wales” shall be amended to read </w:t>
      </w:r>
      <w:r>
        <w:rPr>
          <w:rFonts w:ascii="Arial" w:eastAsia="Arial" w:hAnsi="Arial" w:cs="Arial"/>
          <w:i/>
          <w:color w:val="000000"/>
          <w:sz w:val="24"/>
          <w:szCs w:val="24"/>
        </w:rPr>
        <w:t xml:space="preserve">“Court of Session” </w:t>
      </w:r>
    </w:p>
    <w:p w14:paraId="0000000A" w14:textId="77777777" w:rsidR="000861E6" w:rsidRDefault="00366A23">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34.4 – Conduct of Arbitration. </w:t>
      </w:r>
    </w:p>
    <w:p w14:paraId="0000000B" w14:textId="77777777" w:rsidR="000861E6" w:rsidRDefault="00366A23">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i/>
          <w:color w:val="000000"/>
          <w:sz w:val="24"/>
          <w:szCs w:val="24"/>
        </w:rPr>
        <w:t>under the London Court of International Arbitration rules current at the time of the Dispute</w:t>
      </w:r>
      <w:r>
        <w:rPr>
          <w:rFonts w:ascii="Arial" w:eastAsia="Arial" w:hAnsi="Arial" w:cs="Arial"/>
          <w:color w:val="000000"/>
          <w:sz w:val="24"/>
          <w:szCs w:val="24"/>
        </w:rPr>
        <w:t>” shall be deleted.</w:t>
      </w:r>
    </w:p>
    <w:p w14:paraId="0000000C" w14:textId="77777777" w:rsidR="000861E6" w:rsidRDefault="00366A23">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seat or legal place of the arbitration shall be amended so that it takes place in “</w:t>
      </w:r>
      <w:r>
        <w:rPr>
          <w:rFonts w:ascii="Arial" w:eastAsia="Arial" w:hAnsi="Arial" w:cs="Arial"/>
          <w:i/>
          <w:color w:val="000000"/>
          <w:sz w:val="24"/>
          <w:szCs w:val="24"/>
        </w:rPr>
        <w:t>Edinburgh</w:t>
      </w:r>
      <w:r>
        <w:rPr>
          <w:rFonts w:ascii="Arial" w:eastAsia="Arial" w:hAnsi="Arial" w:cs="Arial"/>
          <w:color w:val="000000"/>
          <w:sz w:val="24"/>
          <w:szCs w:val="24"/>
        </w:rPr>
        <w:t>” as opposed to “</w:t>
      </w:r>
      <w:r>
        <w:rPr>
          <w:rFonts w:ascii="Arial" w:eastAsia="Arial" w:hAnsi="Arial" w:cs="Arial"/>
          <w:i/>
          <w:color w:val="000000"/>
          <w:sz w:val="24"/>
          <w:szCs w:val="24"/>
        </w:rPr>
        <w:t>London</w:t>
      </w:r>
      <w:r>
        <w:rPr>
          <w:rFonts w:ascii="Arial" w:eastAsia="Arial" w:hAnsi="Arial" w:cs="Arial"/>
          <w:color w:val="000000"/>
          <w:sz w:val="24"/>
          <w:szCs w:val="24"/>
        </w:rPr>
        <w:t>”.</w:t>
      </w:r>
    </w:p>
    <w:p w14:paraId="0000000D" w14:textId="77777777" w:rsidR="000861E6" w:rsidRDefault="00366A23">
      <w:pPr>
        <w:numPr>
          <w:ilvl w:val="3"/>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Add the following wording “</w:t>
      </w:r>
      <w:r>
        <w:rPr>
          <w:rFonts w:ascii="Arial" w:eastAsia="Arial" w:hAnsi="Arial" w:cs="Arial"/>
          <w:i/>
          <w:color w:val="000000"/>
          <w:sz w:val="24"/>
          <w:szCs w:val="24"/>
        </w:rPr>
        <w:t>The arbitration shall be conducted in accordance with the Arbitration (Scotland) Act 2010 subject to disapplication in whole or in part of any of the default rules of the Scottish Arbitration Rules comprising Schedule 1 to that Act as the Parties may agree</w:t>
      </w:r>
      <w:r>
        <w:rPr>
          <w:rFonts w:ascii="Arial" w:eastAsia="Arial" w:hAnsi="Arial" w:cs="Arial"/>
          <w:color w:val="000000"/>
          <w:sz w:val="24"/>
          <w:szCs w:val="24"/>
        </w:rPr>
        <w:t>.”</w:t>
      </w:r>
    </w:p>
    <w:p w14:paraId="0000000E" w14:textId="5E4C352A" w:rsidR="000861E6" w:rsidRDefault="00366A23">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Clause 35 (Which </w:t>
      </w:r>
      <w:r w:rsidR="007151B8">
        <w:rPr>
          <w:rFonts w:ascii="Arial" w:eastAsia="Arial" w:hAnsi="Arial" w:cs="Arial"/>
          <w:color w:val="000000"/>
          <w:sz w:val="24"/>
          <w:szCs w:val="24"/>
        </w:rPr>
        <w:t>l</w:t>
      </w:r>
      <w:r>
        <w:rPr>
          <w:rFonts w:ascii="Arial" w:eastAsia="Arial" w:hAnsi="Arial" w:cs="Arial"/>
          <w:color w:val="000000"/>
          <w:sz w:val="24"/>
          <w:szCs w:val="24"/>
        </w:rPr>
        <w:t>aw appl</w:t>
      </w:r>
      <w:r w:rsidR="007151B8">
        <w:rPr>
          <w:rFonts w:ascii="Arial" w:eastAsia="Arial" w:hAnsi="Arial" w:cs="Arial"/>
          <w:color w:val="000000"/>
          <w:sz w:val="24"/>
          <w:szCs w:val="24"/>
        </w:rPr>
        <w:t>ies</w:t>
      </w:r>
      <w:r>
        <w:rPr>
          <w:rFonts w:ascii="Arial" w:eastAsia="Arial" w:hAnsi="Arial" w:cs="Arial"/>
          <w:color w:val="000000"/>
          <w:sz w:val="24"/>
          <w:szCs w:val="24"/>
        </w:rPr>
        <w:t>) – the words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w:t>
      </w:r>
    </w:p>
    <w:p w14:paraId="0000000F" w14:textId="77777777" w:rsidR="000861E6" w:rsidRDefault="00366A23">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the Joint Schedules</w:t>
      </w:r>
    </w:p>
    <w:p w14:paraId="00000010" w14:textId="77777777" w:rsidR="000861E6" w:rsidRDefault="00366A23">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Joint Schedule 1 – Definitions shall be amended as follows:</w:t>
      </w:r>
    </w:p>
    <w:p w14:paraId="00000011" w14:textId="262AB0FE" w:rsidR="000861E6" w:rsidRDefault="00366A23">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definition of “CRTPA” shall be replaced by “”CTPRSA” the Contract (Third Party Rights) (Scotland) Act 2017”.</w:t>
      </w:r>
    </w:p>
    <w:p w14:paraId="4ED4CA60" w14:textId="77777777" w:rsidR="008557B9" w:rsidRPr="00D52C78" w:rsidRDefault="008557B9" w:rsidP="00D52C78">
      <w:pPr>
        <w:rPr>
          <w:rFonts w:ascii="Arial" w:eastAsia="Arial" w:hAnsi="Arial" w:cs="Arial"/>
          <w:sz w:val="24"/>
          <w:szCs w:val="24"/>
        </w:rPr>
      </w:pPr>
    </w:p>
    <w:p w14:paraId="00000012" w14:textId="77777777" w:rsidR="000861E6" w:rsidRDefault="00366A23">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lastRenderedPageBreak/>
        <w:t>In the definition of “Dispute” the reference to “</w:t>
      </w:r>
      <w:r>
        <w:rPr>
          <w:rFonts w:ascii="Arial" w:eastAsia="Arial" w:hAnsi="Arial" w:cs="Arial"/>
          <w:i/>
          <w:color w:val="000000"/>
          <w:sz w:val="24"/>
          <w:szCs w:val="24"/>
        </w:rPr>
        <w:t>English law</w:t>
      </w:r>
      <w:r>
        <w:rPr>
          <w:rFonts w:ascii="Arial" w:eastAsia="Arial" w:hAnsi="Arial" w:cs="Arial"/>
          <w:color w:val="000000"/>
          <w:sz w:val="24"/>
          <w:szCs w:val="24"/>
        </w:rPr>
        <w:t>” shall be replaced by “</w:t>
      </w:r>
      <w:r>
        <w:rPr>
          <w:rFonts w:ascii="Arial" w:eastAsia="Arial" w:hAnsi="Arial" w:cs="Arial"/>
          <w:i/>
          <w:color w:val="000000"/>
          <w:sz w:val="24"/>
          <w:szCs w:val="24"/>
        </w:rPr>
        <w:t>the Law of Scotland</w:t>
      </w:r>
      <w:r>
        <w:rPr>
          <w:rFonts w:ascii="Arial" w:eastAsia="Arial" w:hAnsi="Arial" w:cs="Arial"/>
          <w:color w:val="000000"/>
          <w:sz w:val="24"/>
          <w:szCs w:val="24"/>
        </w:rPr>
        <w:t>” and the reference to the “</w:t>
      </w:r>
      <w:r>
        <w:rPr>
          <w:rFonts w:ascii="Arial" w:eastAsia="Arial" w:hAnsi="Arial" w:cs="Arial"/>
          <w:i/>
          <w:color w:val="000000"/>
          <w:sz w:val="24"/>
          <w:szCs w:val="24"/>
        </w:rPr>
        <w:t>English courts</w:t>
      </w:r>
      <w:r>
        <w:rPr>
          <w:rFonts w:ascii="Arial" w:eastAsia="Arial" w:hAnsi="Arial" w:cs="Arial"/>
          <w:color w:val="000000"/>
          <w:sz w:val="24"/>
          <w:szCs w:val="24"/>
        </w:rPr>
        <w:t>” shall be replaced by the “</w:t>
      </w:r>
      <w:r>
        <w:rPr>
          <w:rFonts w:ascii="Arial" w:eastAsia="Arial" w:hAnsi="Arial" w:cs="Arial"/>
          <w:i/>
          <w:color w:val="000000"/>
          <w:sz w:val="24"/>
          <w:szCs w:val="24"/>
        </w:rPr>
        <w:t>courts of Scotland</w:t>
      </w:r>
      <w:r>
        <w:rPr>
          <w:rFonts w:ascii="Arial" w:eastAsia="Arial" w:hAnsi="Arial" w:cs="Arial"/>
          <w:color w:val="000000"/>
          <w:sz w:val="24"/>
          <w:szCs w:val="24"/>
        </w:rPr>
        <w:t>”.</w:t>
      </w:r>
    </w:p>
    <w:p w14:paraId="00000013" w14:textId="77777777" w:rsidR="000861E6" w:rsidRDefault="00366A23">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In the definition of “Insolvency Event” – the word </w:t>
      </w:r>
      <w:r>
        <w:rPr>
          <w:rFonts w:ascii="Arial" w:eastAsia="Arial" w:hAnsi="Arial" w:cs="Arial"/>
          <w:i/>
          <w:color w:val="000000"/>
          <w:sz w:val="24"/>
          <w:szCs w:val="24"/>
        </w:rPr>
        <w:t>“Assignment”</w:t>
      </w:r>
      <w:r>
        <w:rPr>
          <w:rFonts w:ascii="Arial" w:eastAsia="Arial" w:hAnsi="Arial" w:cs="Arial"/>
          <w:color w:val="000000"/>
          <w:sz w:val="24"/>
          <w:szCs w:val="24"/>
        </w:rPr>
        <w:t xml:space="preserve"> replaced by </w:t>
      </w:r>
      <w:r>
        <w:rPr>
          <w:rFonts w:ascii="Arial" w:eastAsia="Arial" w:hAnsi="Arial" w:cs="Arial"/>
          <w:i/>
          <w:color w:val="000000"/>
          <w:sz w:val="24"/>
          <w:szCs w:val="24"/>
        </w:rPr>
        <w:t>“Assignation”.</w:t>
      </w:r>
    </w:p>
    <w:p w14:paraId="00000014" w14:textId="77777777" w:rsidR="000861E6" w:rsidRDefault="00366A23">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the definition of “Losses” the</w:t>
      </w:r>
      <w:r>
        <w:rPr>
          <w:rFonts w:ascii="Arial" w:eastAsia="Arial" w:hAnsi="Arial" w:cs="Arial"/>
          <w:i/>
          <w:color w:val="000000"/>
          <w:sz w:val="24"/>
          <w:szCs w:val="24"/>
        </w:rPr>
        <w:t xml:space="preserve"> </w:t>
      </w:r>
      <w:r>
        <w:rPr>
          <w:rFonts w:ascii="Arial" w:eastAsia="Arial" w:hAnsi="Arial" w:cs="Arial"/>
          <w:color w:val="000000"/>
          <w:sz w:val="24"/>
          <w:szCs w:val="24"/>
        </w:rPr>
        <w:t>word</w:t>
      </w:r>
      <w:r>
        <w:rPr>
          <w:rFonts w:ascii="Arial" w:eastAsia="Arial" w:hAnsi="Arial" w:cs="Arial"/>
          <w:i/>
          <w:color w:val="000000"/>
          <w:sz w:val="24"/>
          <w:szCs w:val="24"/>
        </w:rPr>
        <w:t xml:space="preserve"> “tort”</w:t>
      </w:r>
      <w:r>
        <w:rPr>
          <w:rFonts w:ascii="Arial" w:eastAsia="Arial" w:hAnsi="Arial" w:cs="Arial"/>
          <w:color w:val="000000"/>
          <w:sz w:val="24"/>
          <w:szCs w:val="24"/>
        </w:rPr>
        <w:t xml:space="preserve"> shall be replaced with </w:t>
      </w:r>
      <w:r>
        <w:rPr>
          <w:rFonts w:ascii="Arial" w:eastAsia="Arial" w:hAnsi="Arial" w:cs="Arial"/>
          <w:i/>
          <w:color w:val="000000"/>
          <w:sz w:val="24"/>
          <w:szCs w:val="24"/>
        </w:rPr>
        <w:t>“delict”.</w:t>
      </w:r>
    </w:p>
    <w:p w14:paraId="00000015" w14:textId="77777777" w:rsidR="000861E6" w:rsidRDefault="00366A23">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part (a) of the definition of “Intellectual Property Rights</w:t>
      </w:r>
      <w:r>
        <w:rPr>
          <w:rFonts w:ascii="Arial" w:eastAsia="Arial" w:hAnsi="Arial" w:cs="Arial"/>
          <w:i/>
          <w:color w:val="000000"/>
          <w:sz w:val="24"/>
          <w:szCs w:val="24"/>
        </w:rPr>
        <w:t xml:space="preserve">” </w:t>
      </w:r>
      <w:r>
        <w:rPr>
          <w:rFonts w:ascii="Arial" w:eastAsia="Arial" w:hAnsi="Arial" w:cs="Arial"/>
          <w:color w:val="000000"/>
          <w:sz w:val="24"/>
          <w:szCs w:val="24"/>
        </w:rPr>
        <w:t>the words</w:t>
      </w:r>
      <w:r>
        <w:rPr>
          <w:rFonts w:ascii="Arial" w:eastAsia="Arial" w:hAnsi="Arial" w:cs="Arial"/>
          <w:i/>
          <w:color w:val="000000"/>
          <w:sz w:val="24"/>
          <w:szCs w:val="24"/>
        </w:rPr>
        <w:t xml:space="preserve"> “Know-How” </w:t>
      </w:r>
      <w:r>
        <w:rPr>
          <w:rFonts w:ascii="Arial" w:eastAsia="Arial" w:hAnsi="Arial" w:cs="Arial"/>
          <w:color w:val="000000"/>
          <w:sz w:val="24"/>
          <w:szCs w:val="24"/>
        </w:rPr>
        <w:t>and</w:t>
      </w:r>
      <w:r>
        <w:rPr>
          <w:rFonts w:ascii="Arial" w:eastAsia="Arial" w:hAnsi="Arial" w:cs="Arial"/>
          <w:i/>
          <w:color w:val="000000"/>
          <w:sz w:val="24"/>
          <w:szCs w:val="24"/>
        </w:rPr>
        <w:t xml:space="preserve"> “trade secrets” </w:t>
      </w:r>
      <w:r>
        <w:rPr>
          <w:rFonts w:ascii="Arial" w:eastAsia="Arial" w:hAnsi="Arial" w:cs="Arial"/>
          <w:color w:val="000000"/>
          <w:sz w:val="24"/>
          <w:szCs w:val="24"/>
        </w:rPr>
        <w:t>refer to pre-existing know-how and trade secrets only</w:t>
      </w:r>
      <w:r>
        <w:rPr>
          <w:rFonts w:ascii="Arial" w:eastAsia="Arial" w:hAnsi="Arial" w:cs="Arial"/>
          <w:i/>
          <w:color w:val="000000"/>
          <w:sz w:val="24"/>
          <w:szCs w:val="24"/>
        </w:rPr>
        <w:t xml:space="preserve">. </w:t>
      </w:r>
    </w:p>
    <w:p w14:paraId="00000016" w14:textId="77777777" w:rsidR="000861E6" w:rsidRDefault="00366A23">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“Working Day”: reference to “England and Wales” replaced by “Scotland”</w:t>
      </w:r>
    </w:p>
    <w:p w14:paraId="00000017" w14:textId="77777777" w:rsidR="000861E6" w:rsidRDefault="00366A23">
      <w:pPr>
        <w:numPr>
          <w:ilvl w:val="1"/>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Where a Guarantee is selected, the following provisions of Joint Schedule 8 – Guarantee shall be amended as follows: </w:t>
      </w:r>
    </w:p>
    <w:p w14:paraId="00000018" w14:textId="6D4FFB8F" w:rsidR="000861E6" w:rsidRDefault="00366A23">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Throughout the whole Schedule delete all references to “deed of Guarantee” </w:t>
      </w:r>
      <w:r w:rsidR="007151B8">
        <w:rPr>
          <w:rFonts w:ascii="Arial" w:eastAsia="Arial" w:hAnsi="Arial" w:cs="Arial"/>
          <w:color w:val="000000"/>
          <w:sz w:val="24"/>
          <w:szCs w:val="24"/>
        </w:rPr>
        <w:t xml:space="preserve">and </w:t>
      </w:r>
      <w:r>
        <w:rPr>
          <w:rFonts w:ascii="Arial" w:eastAsia="Arial" w:hAnsi="Arial" w:cs="Arial"/>
          <w:color w:val="000000"/>
          <w:sz w:val="24"/>
          <w:szCs w:val="24"/>
        </w:rPr>
        <w:t xml:space="preserve">merely express as “Guarantee” </w:t>
      </w:r>
    </w:p>
    <w:p w14:paraId="00000019" w14:textId="77777777" w:rsidR="000861E6" w:rsidRDefault="00366A23">
      <w:pPr>
        <w:numPr>
          <w:ilvl w:val="2"/>
          <w:numId w:val="1"/>
        </w:num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In Annex 1 - Form of Guarantee:</w:t>
      </w:r>
    </w:p>
    <w:p w14:paraId="0000001A" w14:textId="77777777" w:rsidR="000861E6" w:rsidRDefault="00366A23">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WHEREAS (B) “deed” replaced by “contract”</w:t>
      </w:r>
    </w:p>
    <w:p w14:paraId="0000001B" w14:textId="77777777" w:rsidR="000861E6" w:rsidRDefault="00366A23">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Clause 4.1 Delete references to “England and Wales” when referring to addresses.</w:t>
      </w:r>
    </w:p>
    <w:p w14:paraId="0000001C" w14:textId="77777777" w:rsidR="000861E6" w:rsidRDefault="00366A23">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12 – the word “</w:t>
      </w:r>
      <w:r>
        <w:rPr>
          <w:rFonts w:ascii="Arial" w:eastAsia="Arial" w:hAnsi="Arial" w:cs="Arial"/>
          <w:i/>
          <w:color w:val="000000"/>
          <w:sz w:val="24"/>
          <w:szCs w:val="24"/>
        </w:rPr>
        <w:t xml:space="preserve">assignment” </w:t>
      </w:r>
      <w:r>
        <w:rPr>
          <w:rFonts w:ascii="Arial" w:eastAsia="Arial" w:hAnsi="Arial" w:cs="Arial"/>
          <w:color w:val="000000"/>
          <w:sz w:val="24"/>
          <w:szCs w:val="24"/>
        </w:rPr>
        <w:t>shall be amended to “assignation”.</w:t>
      </w:r>
    </w:p>
    <w:p w14:paraId="0000001D" w14:textId="77777777" w:rsidR="000861E6" w:rsidRDefault="00366A23">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Clause 14 – “Contract (Rights of Third Parties) Act 1999” shall be amended to “Contract (Third Party Rights) (Scotland) Act 2017”.</w:t>
      </w:r>
    </w:p>
    <w:p w14:paraId="0000001E" w14:textId="77777777" w:rsidR="000861E6" w:rsidRDefault="00366A23">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Clause 16 Governing Law (add “and Jurisdiction”). References to </w:t>
      </w:r>
      <w:r>
        <w:rPr>
          <w:rFonts w:ascii="Arial" w:eastAsia="Arial" w:hAnsi="Arial" w:cs="Arial"/>
          <w:i/>
          <w:color w:val="000000"/>
          <w:sz w:val="24"/>
          <w:szCs w:val="24"/>
        </w:rPr>
        <w:t>“Courts of England”</w:t>
      </w:r>
      <w:r>
        <w:rPr>
          <w:rFonts w:ascii="Arial" w:eastAsia="Arial" w:hAnsi="Arial" w:cs="Arial"/>
          <w:color w:val="000000"/>
          <w:sz w:val="24"/>
          <w:szCs w:val="24"/>
        </w:rPr>
        <w:t xml:space="preserve"> to be replaced by </w:t>
      </w:r>
      <w:r>
        <w:rPr>
          <w:rFonts w:ascii="Arial" w:eastAsia="Arial" w:hAnsi="Arial" w:cs="Arial"/>
          <w:i/>
          <w:color w:val="000000"/>
          <w:sz w:val="24"/>
          <w:szCs w:val="24"/>
        </w:rPr>
        <w:t>“Court of Session”.</w:t>
      </w:r>
      <w:r>
        <w:rPr>
          <w:rFonts w:ascii="Arial" w:eastAsia="Arial" w:hAnsi="Arial" w:cs="Arial"/>
          <w:color w:val="000000"/>
          <w:sz w:val="24"/>
          <w:szCs w:val="24"/>
        </w:rPr>
        <w:t xml:space="preserve"> References to </w:t>
      </w:r>
      <w:r>
        <w:rPr>
          <w:rFonts w:ascii="Arial" w:eastAsia="Arial" w:hAnsi="Arial" w:cs="Arial"/>
          <w:i/>
          <w:color w:val="000000"/>
          <w:sz w:val="24"/>
          <w:szCs w:val="24"/>
        </w:rPr>
        <w:t>“English”</w:t>
      </w:r>
      <w:r>
        <w:rPr>
          <w:rFonts w:ascii="Arial" w:eastAsia="Arial" w:hAnsi="Arial" w:cs="Arial"/>
          <w:color w:val="000000"/>
          <w:sz w:val="24"/>
          <w:szCs w:val="24"/>
        </w:rPr>
        <w:t xml:space="preserve"> to be replaced by </w:t>
      </w:r>
      <w:r>
        <w:rPr>
          <w:rFonts w:ascii="Arial" w:eastAsia="Arial" w:hAnsi="Arial" w:cs="Arial"/>
          <w:i/>
          <w:color w:val="000000"/>
          <w:sz w:val="24"/>
          <w:szCs w:val="24"/>
        </w:rPr>
        <w:t>“Scottish”</w:t>
      </w:r>
      <w:r>
        <w:rPr>
          <w:rFonts w:ascii="Arial" w:eastAsia="Arial" w:hAnsi="Arial" w:cs="Arial"/>
          <w:color w:val="000000"/>
          <w:sz w:val="24"/>
          <w:szCs w:val="24"/>
        </w:rPr>
        <w:t>. References to “</w:t>
      </w:r>
      <w:r>
        <w:rPr>
          <w:rFonts w:ascii="Arial" w:eastAsia="Arial" w:hAnsi="Arial" w:cs="Arial"/>
          <w:i/>
          <w:color w:val="000000"/>
          <w:sz w:val="24"/>
          <w:szCs w:val="24"/>
        </w:rPr>
        <w:t>England and Wales</w:t>
      </w:r>
      <w:r>
        <w:rPr>
          <w:rFonts w:ascii="Arial" w:eastAsia="Arial" w:hAnsi="Arial" w:cs="Arial"/>
          <w:color w:val="000000"/>
          <w:sz w:val="24"/>
          <w:szCs w:val="24"/>
        </w:rPr>
        <w:t>” to be replaced by “</w:t>
      </w:r>
      <w:r>
        <w:rPr>
          <w:rFonts w:ascii="Arial" w:eastAsia="Arial" w:hAnsi="Arial" w:cs="Arial"/>
          <w:i/>
          <w:color w:val="000000"/>
          <w:sz w:val="24"/>
          <w:szCs w:val="24"/>
        </w:rPr>
        <w:t>Scotland</w:t>
      </w:r>
      <w:r>
        <w:rPr>
          <w:rFonts w:ascii="Arial" w:eastAsia="Arial" w:hAnsi="Arial" w:cs="Arial"/>
          <w:color w:val="000000"/>
          <w:sz w:val="24"/>
          <w:szCs w:val="24"/>
        </w:rPr>
        <w:t>”.</w:t>
      </w:r>
    </w:p>
    <w:p w14:paraId="0000001F" w14:textId="77777777" w:rsidR="000861E6" w:rsidRDefault="00366A23">
      <w:pPr>
        <w:numPr>
          <w:ilvl w:val="3"/>
          <w:numId w:val="1"/>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Alter execution strip to read as follows:</w:t>
      </w:r>
    </w:p>
    <w:p w14:paraId="00000020" w14:textId="77777777" w:rsidR="000861E6" w:rsidRDefault="00366A2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“IN WITNESS WHEREOF these presents consisting of this page and the [ ] preceding pages are executed in duplicate as follows:</w:t>
      </w:r>
    </w:p>
    <w:p w14:paraId="00000021" w14:textId="77777777" w:rsidR="000861E6" w:rsidRDefault="00366A2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SIGNATURE:</w:t>
      </w:r>
    </w:p>
    <w:p w14:paraId="00000022" w14:textId="77777777" w:rsidR="000861E6" w:rsidRDefault="00366A2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 xml:space="preserve">Name: </w:t>
      </w:r>
    </w:p>
    <w:p w14:paraId="00000023" w14:textId="77777777" w:rsidR="000861E6" w:rsidRDefault="00366A2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Position:</w:t>
      </w:r>
    </w:p>
    <w:p w14:paraId="00000024" w14:textId="77777777" w:rsidR="000861E6" w:rsidRDefault="00366A2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lastRenderedPageBreak/>
        <w:t>Place of signing:</w:t>
      </w:r>
    </w:p>
    <w:p w14:paraId="00000025" w14:textId="77777777" w:rsidR="000861E6" w:rsidRDefault="00366A2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Date:</w:t>
      </w:r>
    </w:p>
    <w:p w14:paraId="00000026" w14:textId="77777777" w:rsidR="000861E6" w:rsidRDefault="00366A2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w:t>
      </w:r>
    </w:p>
    <w:p w14:paraId="00000027" w14:textId="77777777" w:rsidR="000861E6" w:rsidRDefault="00366A2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name:</w:t>
      </w:r>
    </w:p>
    <w:p w14:paraId="00000028" w14:textId="77777777" w:rsidR="000861E6" w:rsidRDefault="00366A23">
      <w:pPr>
        <w:pBdr>
          <w:top w:val="nil"/>
          <w:left w:val="nil"/>
          <w:bottom w:val="nil"/>
          <w:right w:val="nil"/>
          <w:between w:val="nil"/>
        </w:pBdr>
        <w:tabs>
          <w:tab w:val="left" w:pos="142"/>
        </w:tabs>
        <w:spacing w:before="240" w:after="120" w:line="240" w:lineRule="auto"/>
        <w:ind w:left="2880" w:hanging="720"/>
        <w:rPr>
          <w:rFonts w:ascii="Arial" w:eastAsia="Arial" w:hAnsi="Arial" w:cs="Arial"/>
          <w:i/>
          <w:smallCaps/>
          <w:color w:val="000000"/>
          <w:sz w:val="24"/>
          <w:szCs w:val="24"/>
        </w:rPr>
      </w:pPr>
      <w:r>
        <w:rPr>
          <w:rFonts w:ascii="Arial" w:eastAsia="Arial" w:hAnsi="Arial" w:cs="Arial"/>
          <w:i/>
          <w:smallCaps/>
          <w:color w:val="000000"/>
          <w:sz w:val="24"/>
          <w:szCs w:val="24"/>
        </w:rPr>
        <w:t>Witness address:”</w:t>
      </w:r>
    </w:p>
    <w:p w14:paraId="00000029" w14:textId="77777777" w:rsidR="000861E6" w:rsidRDefault="000861E6">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p w14:paraId="0000002A" w14:textId="77777777" w:rsidR="000861E6" w:rsidRDefault="00366A23">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Changes to Call-Off Schedules</w:t>
      </w:r>
    </w:p>
    <w:p w14:paraId="0000002B" w14:textId="77777777" w:rsidR="000861E6" w:rsidRDefault="000861E6"/>
    <w:p w14:paraId="0000002C" w14:textId="77777777" w:rsidR="000861E6" w:rsidRDefault="00366A23">
      <w:r>
        <w:rPr>
          <w:b/>
          <w:highlight w:val="yellow"/>
        </w:rPr>
        <w:t>[Buyer Guidance</w:t>
      </w:r>
      <w:r>
        <w:t xml:space="preserve"> Insert any amendments to the Call-Off schedules where Scottish Law applies]</w:t>
      </w:r>
    </w:p>
    <w:p w14:paraId="0000002D" w14:textId="77777777" w:rsidR="000861E6" w:rsidRDefault="000861E6"/>
    <w:p w14:paraId="0000002E" w14:textId="77777777" w:rsidR="000861E6" w:rsidRDefault="00366A23">
      <w:pPr>
        <w:numPr>
          <w:ilvl w:val="0"/>
          <w:numId w:val="1"/>
        </w:numPr>
        <w:pBdr>
          <w:top w:val="nil"/>
          <w:left w:val="nil"/>
          <w:bottom w:val="nil"/>
          <w:right w:val="nil"/>
          <w:between w:val="nil"/>
        </w:pBdr>
        <w:tabs>
          <w:tab w:val="left" w:pos="142"/>
        </w:tabs>
        <w:spacing w:before="240" w:after="120" w:line="240" w:lineRule="auto"/>
        <w:rPr>
          <w:rFonts w:ascii="Arial" w:eastAsia="Arial" w:hAnsi="Arial" w:cs="Arial"/>
          <w:b/>
          <w:color w:val="000000"/>
          <w:sz w:val="24"/>
          <w:szCs w:val="24"/>
        </w:rPr>
      </w:pPr>
      <w:r>
        <w:rPr>
          <w:rFonts w:ascii="Arial" w:eastAsia="Arial" w:hAnsi="Arial" w:cs="Arial"/>
          <w:b/>
          <w:color w:val="000000"/>
          <w:sz w:val="24"/>
          <w:szCs w:val="24"/>
        </w:rPr>
        <w:t>References to Legislation</w:t>
      </w:r>
    </w:p>
    <w:p w14:paraId="0000002F" w14:textId="2CA0789B" w:rsidR="000861E6" w:rsidRDefault="00366A23">
      <w:pPr>
        <w:pBdr>
          <w:top w:val="nil"/>
          <w:left w:val="nil"/>
          <w:bottom w:val="nil"/>
          <w:right w:val="nil"/>
          <w:between w:val="nil"/>
        </w:pBdr>
        <w:spacing w:before="120" w:after="120" w:line="240" w:lineRule="auto"/>
        <w:ind w:left="1440" w:hanging="576"/>
        <w:jc w:val="both"/>
        <w:rPr>
          <w:rFonts w:ascii="Arial" w:eastAsia="Arial" w:hAnsi="Arial" w:cs="Arial"/>
          <w:color w:val="000000"/>
          <w:sz w:val="24"/>
          <w:szCs w:val="24"/>
        </w:rPr>
      </w:pPr>
      <w:r>
        <w:rPr>
          <w:rFonts w:ascii="Arial" w:eastAsia="Arial" w:hAnsi="Arial" w:cs="Arial"/>
          <w:color w:val="000000"/>
          <w:sz w:val="24"/>
          <w:szCs w:val="24"/>
        </w:rPr>
        <w:t>Where legislation applicable to England and Wales only is expressly mentioned in this Call</w:t>
      </w:r>
      <w:r w:rsidR="00B80ADD">
        <w:rPr>
          <w:rFonts w:ascii="Arial" w:eastAsia="Arial" w:hAnsi="Arial" w:cs="Arial"/>
          <w:color w:val="000000"/>
          <w:sz w:val="24"/>
          <w:szCs w:val="24"/>
        </w:rPr>
        <w:t>-</w:t>
      </w:r>
      <w:r>
        <w:rPr>
          <w:rFonts w:ascii="Arial" w:eastAsia="Arial" w:hAnsi="Arial" w:cs="Arial"/>
          <w:color w:val="000000"/>
          <w:sz w:val="24"/>
          <w:szCs w:val="24"/>
        </w:rPr>
        <w:t xml:space="preserve">Off Contract it shall have the effect of substituting the equivalent legislation applicable in Scotland. </w:t>
      </w:r>
    </w:p>
    <w:p w14:paraId="00000030" w14:textId="77777777" w:rsidR="000861E6" w:rsidRDefault="000861E6">
      <w:pPr>
        <w:pBdr>
          <w:top w:val="nil"/>
          <w:left w:val="nil"/>
          <w:bottom w:val="nil"/>
          <w:right w:val="nil"/>
          <w:between w:val="nil"/>
        </w:pBdr>
        <w:spacing w:before="120" w:after="120" w:line="240" w:lineRule="auto"/>
        <w:ind w:left="1996" w:hanging="720"/>
        <w:rPr>
          <w:rFonts w:ascii="Arial" w:eastAsia="Arial" w:hAnsi="Arial" w:cs="Arial"/>
          <w:color w:val="000000"/>
          <w:sz w:val="24"/>
          <w:szCs w:val="24"/>
        </w:rPr>
      </w:pPr>
    </w:p>
    <w:sectPr w:rsidR="000861E6">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BAFB85" w14:textId="77777777" w:rsidR="003F7369" w:rsidRDefault="00366A23">
      <w:pPr>
        <w:spacing w:after="0" w:line="240" w:lineRule="auto"/>
      </w:pPr>
      <w:r>
        <w:separator/>
      </w:r>
    </w:p>
  </w:endnote>
  <w:endnote w:type="continuationSeparator" w:id="0">
    <w:p w14:paraId="7EF36F11" w14:textId="77777777" w:rsidR="003F7369" w:rsidRDefault="00366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TZhongsong">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2CA36" w14:textId="77777777" w:rsidR="00D52C78" w:rsidRDefault="00D52C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5" w14:textId="77777777" w:rsidR="000861E6" w:rsidRDefault="000861E6">
    <w:pPr>
      <w:tabs>
        <w:tab w:val="center" w:pos="4513"/>
        <w:tab w:val="right" w:pos="9026"/>
      </w:tabs>
      <w:spacing w:after="0"/>
      <w:rPr>
        <w:rFonts w:ascii="Arial" w:eastAsia="Arial" w:hAnsi="Arial" w:cs="Arial"/>
        <w:sz w:val="20"/>
        <w:szCs w:val="20"/>
      </w:rPr>
    </w:pPr>
  </w:p>
  <w:p w14:paraId="00000037" w14:textId="64A5E5A2" w:rsidR="000861E6" w:rsidRDefault="008557B9">
    <w:pPr>
      <w:tabs>
        <w:tab w:val="center" w:pos="4513"/>
        <w:tab w:val="right" w:pos="9026"/>
      </w:tabs>
      <w:spacing w:after="0"/>
      <w:rPr>
        <w:rFonts w:ascii="Arial" w:eastAsia="Arial" w:hAnsi="Arial" w:cs="Arial"/>
        <w:sz w:val="20"/>
        <w:szCs w:val="20"/>
      </w:rPr>
    </w:pPr>
    <w:r w:rsidRPr="008557B9">
      <w:rPr>
        <w:rFonts w:ascii="Arial" w:eastAsia="Arial" w:hAnsi="Arial" w:cs="Arial"/>
        <w:sz w:val="20"/>
        <w:szCs w:val="20"/>
      </w:rPr>
      <w:t>Framework Ref: RM6289 Provision of Power Purchase Agreement</w:t>
    </w:r>
    <w:r w:rsidR="00D52C78">
      <w:rPr>
        <w:rFonts w:ascii="Arial" w:eastAsia="Arial" w:hAnsi="Arial" w:cs="Arial"/>
        <w:sz w:val="20"/>
        <w:szCs w:val="20"/>
      </w:rPr>
      <w:t xml:space="preserve"> </w:t>
    </w:r>
    <w:r w:rsidR="00366A23">
      <w:rPr>
        <w:rFonts w:ascii="Arial" w:eastAsia="Arial" w:hAnsi="Arial" w:cs="Arial"/>
        <w:sz w:val="20"/>
        <w:szCs w:val="20"/>
      </w:rPr>
      <w:t>Project Version: v1.0</w:t>
    </w:r>
    <w:r w:rsidR="00366A23">
      <w:rPr>
        <w:rFonts w:ascii="Arial" w:eastAsia="Arial" w:hAnsi="Arial" w:cs="Arial"/>
        <w:sz w:val="20"/>
        <w:szCs w:val="20"/>
      </w:rPr>
      <w:tab/>
    </w:r>
    <w:r w:rsidR="00366A23">
      <w:rPr>
        <w:rFonts w:ascii="Arial" w:eastAsia="Arial" w:hAnsi="Arial" w:cs="Arial"/>
        <w:sz w:val="20"/>
        <w:szCs w:val="20"/>
      </w:rPr>
      <w:tab/>
    </w:r>
    <w:r w:rsidR="00366A23">
      <w:rPr>
        <w:rFonts w:ascii="Arial" w:eastAsia="Arial" w:hAnsi="Arial" w:cs="Arial"/>
        <w:sz w:val="20"/>
        <w:szCs w:val="20"/>
      </w:rPr>
      <w:tab/>
      <w:t xml:space="preserve"> </w:t>
    </w:r>
  </w:p>
  <w:p w14:paraId="00000038" w14:textId="712BBDA1" w:rsidR="000861E6" w:rsidRDefault="00366A23">
    <w:pPr>
      <w:pBdr>
        <w:top w:val="nil"/>
        <w:left w:val="nil"/>
        <w:bottom w:val="nil"/>
        <w:right w:val="nil"/>
        <w:between w:val="nil"/>
      </w:pBdr>
      <w:tabs>
        <w:tab w:val="center" w:pos="4513"/>
        <w:tab w:val="right" w:pos="9026"/>
      </w:tabs>
      <w:spacing w:after="0" w:line="240" w:lineRule="auto"/>
      <w:rPr>
        <w:rFonts w:cs="Calibri"/>
        <w:color w:val="000000"/>
      </w:rPr>
    </w:pPr>
    <w:r>
      <w:rPr>
        <w:rFonts w:ascii="Arial" w:eastAsia="Arial" w:hAnsi="Arial" w:cs="Arial"/>
        <w:color w:val="000000"/>
        <w:sz w:val="20"/>
        <w:szCs w:val="20"/>
      </w:rPr>
      <w:t>Model Version: v1.0</w:t>
    </w:r>
    <w:r w:rsidR="00D52C78">
      <w:rPr>
        <w:rFonts w:ascii="Arial" w:eastAsia="Arial" w:hAnsi="Arial" w:cs="Arial"/>
        <w:color w:val="000000"/>
        <w:sz w:val="20"/>
        <w:szCs w:val="20"/>
      </w:rPr>
      <w:tab/>
    </w:r>
    <w:r w:rsidR="00D52C78">
      <w:rPr>
        <w:rFonts w:ascii="Arial" w:eastAsia="Arial" w:hAnsi="Arial" w:cs="Arial"/>
        <w:color w:val="000000"/>
        <w:sz w:val="20"/>
        <w:szCs w:val="20"/>
      </w:rPr>
      <w:fldChar w:fldCharType="begin"/>
    </w:r>
    <w:r w:rsidR="00D52C78">
      <w:rPr>
        <w:rFonts w:ascii="Arial" w:eastAsia="Arial" w:hAnsi="Arial" w:cs="Arial"/>
        <w:color w:val="000000"/>
        <w:sz w:val="20"/>
        <w:szCs w:val="20"/>
      </w:rPr>
      <w:instrText xml:space="preserve"> DOCPROPERTY iManageFooter \* MERGEFORMAT </w:instrText>
    </w:r>
    <w:r w:rsidR="00D52C78">
      <w:rPr>
        <w:rFonts w:ascii="Arial" w:eastAsia="Arial" w:hAnsi="Arial" w:cs="Arial"/>
        <w:color w:val="000000"/>
        <w:sz w:val="20"/>
        <w:szCs w:val="20"/>
      </w:rPr>
      <w:fldChar w:fldCharType="separate"/>
    </w:r>
    <w:r w:rsidR="006A09A0">
      <w:rPr>
        <w:rFonts w:ascii="Arial" w:eastAsia="Arial" w:hAnsi="Arial" w:cs="Arial"/>
        <w:color w:val="000000"/>
        <w:sz w:val="20"/>
        <w:szCs w:val="20"/>
      </w:rPr>
      <w:t>#109517324v4&lt;L_LIVE_EMEA1&gt; - PPA v3.0 (Call-Off Schedule 19 - Scottish Law)</w:t>
    </w:r>
    <w:r w:rsidR="00D52C78">
      <w:rPr>
        <w:rFonts w:ascii="Arial" w:eastAsia="Arial" w:hAnsi="Arial" w:cs="Arial"/>
        <w:color w:val="000000"/>
        <w:sz w:val="20"/>
        <w:szCs w:val="20"/>
      </w:rPr>
      <w:fldChar w:fldCharType="end"/>
    </w:r>
    <w:r w:rsidR="00D52C78">
      <w:rPr>
        <w:rFonts w:ascii="Arial" w:eastAsia="Arial" w:hAnsi="Arial" w:cs="Arial"/>
        <w:color w:val="000000"/>
        <w:sz w:val="20"/>
        <w:szCs w:val="20"/>
      </w:rPr>
      <w:t xml:space="preserve"> </w:t>
    </w:r>
    <w:r w:rsidR="00D52C78">
      <w:rPr>
        <w:rFonts w:ascii="Arial" w:eastAsia="Arial" w:hAnsi="Arial" w:cs="Arial"/>
        <w:color w:val="000000"/>
        <w:sz w:val="20"/>
        <w:szCs w:val="20"/>
      </w:rPr>
      <w:tab/>
    </w:r>
    <w:r w:rsidR="00D52C78">
      <w:rPr>
        <w:rFonts w:ascii="Arial" w:eastAsia="Arial" w:hAnsi="Arial" w:cs="Arial"/>
        <w:color w:val="000000"/>
        <w:sz w:val="20"/>
        <w:szCs w:val="20"/>
      </w:rPr>
      <w:tab/>
    </w:r>
    <w:r w:rsidR="00D52C78" w:rsidRPr="00D52C78">
      <w:rPr>
        <w:rFonts w:ascii="Arial" w:eastAsia="Arial" w:hAnsi="Arial" w:cs="Arial"/>
        <w:color w:val="000000"/>
        <w:sz w:val="20"/>
        <w:szCs w:val="20"/>
      </w:rPr>
      <w:fldChar w:fldCharType="begin"/>
    </w:r>
    <w:r w:rsidR="00D52C78" w:rsidRPr="00D52C78">
      <w:rPr>
        <w:rFonts w:ascii="Arial" w:eastAsia="Arial" w:hAnsi="Arial" w:cs="Arial"/>
        <w:color w:val="000000"/>
        <w:sz w:val="20"/>
        <w:szCs w:val="20"/>
      </w:rPr>
      <w:instrText xml:space="preserve"> PAGE   \* MERGEFORMAT </w:instrText>
    </w:r>
    <w:r w:rsidR="00D52C78" w:rsidRPr="00D52C78">
      <w:rPr>
        <w:rFonts w:ascii="Arial" w:eastAsia="Arial" w:hAnsi="Arial" w:cs="Arial"/>
        <w:color w:val="000000"/>
        <w:sz w:val="20"/>
        <w:szCs w:val="20"/>
      </w:rPr>
      <w:fldChar w:fldCharType="separate"/>
    </w:r>
    <w:r w:rsidR="00D52C78" w:rsidRPr="00D52C78">
      <w:rPr>
        <w:rFonts w:ascii="Arial" w:eastAsia="Arial" w:hAnsi="Arial" w:cs="Arial"/>
        <w:noProof/>
        <w:color w:val="000000"/>
        <w:sz w:val="20"/>
        <w:szCs w:val="20"/>
      </w:rPr>
      <w:t>1</w:t>
    </w:r>
    <w:r w:rsidR="00D52C78" w:rsidRPr="00D52C78">
      <w:rPr>
        <w:rFonts w:ascii="Arial" w:eastAsia="Arial" w:hAnsi="Arial" w:cs="Arial"/>
        <w:noProof/>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8BCC7" w14:textId="77777777" w:rsidR="00D52C78" w:rsidRDefault="00D52C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205DF1" w14:textId="77777777" w:rsidR="003F7369" w:rsidRDefault="00366A23">
      <w:pPr>
        <w:spacing w:after="0" w:line="240" w:lineRule="auto"/>
      </w:pPr>
      <w:r>
        <w:separator/>
      </w:r>
    </w:p>
  </w:footnote>
  <w:footnote w:type="continuationSeparator" w:id="0">
    <w:p w14:paraId="2D0223F8" w14:textId="77777777" w:rsidR="003F7369" w:rsidRDefault="00366A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3B6D7" w14:textId="77777777" w:rsidR="00D52C78" w:rsidRDefault="00D52C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31" w14:textId="77777777" w:rsidR="000861E6" w:rsidRDefault="00366A23">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Call-Off Schedule 19 (Scottish Law)</w:t>
    </w:r>
  </w:p>
  <w:p w14:paraId="00000032" w14:textId="77777777" w:rsidR="000861E6" w:rsidRDefault="00366A2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33" w14:textId="252B8440" w:rsidR="000861E6" w:rsidRDefault="00366A23">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w:t>
    </w:r>
    <w:r>
      <w:rPr>
        <w:rFonts w:ascii="Arial" w:eastAsia="Arial" w:hAnsi="Arial" w:cs="Arial"/>
        <w:sz w:val="20"/>
        <w:szCs w:val="20"/>
      </w:rPr>
      <w:t>2</w:t>
    </w:r>
    <w:r w:rsidR="00D52C78">
      <w:rPr>
        <w:rFonts w:ascii="Arial" w:eastAsia="Arial" w:hAnsi="Arial" w:cs="Arial"/>
        <w:sz w:val="20"/>
        <w:szCs w:val="20"/>
      </w:rPr>
      <w:t>4</w:t>
    </w:r>
  </w:p>
  <w:p w14:paraId="00000034" w14:textId="77777777" w:rsidR="000861E6" w:rsidRDefault="000861E6">
    <w:pPr>
      <w:pBdr>
        <w:top w:val="nil"/>
        <w:left w:val="nil"/>
        <w:bottom w:val="nil"/>
        <w:right w:val="nil"/>
        <w:between w:val="nil"/>
      </w:pBdr>
      <w:tabs>
        <w:tab w:val="center" w:pos="4513"/>
        <w:tab w:val="right" w:pos="9026"/>
      </w:tabs>
      <w:spacing w:after="0" w:line="240" w:lineRule="auto"/>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F8659" w14:textId="77777777" w:rsidR="00D52C78" w:rsidRDefault="00D52C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7E523B"/>
    <w:multiLevelType w:val="multilevel"/>
    <w:tmpl w:val="BBF41A7C"/>
    <w:lvl w:ilvl="0">
      <w:start w:val="1"/>
      <w:numFmt w:val="decimal"/>
      <w:pStyle w:val="GPsDefinition"/>
      <w:lvlText w:val="%1."/>
      <w:lvlJc w:val="left"/>
      <w:pPr>
        <w:tabs>
          <w:tab w:val="num" w:pos="720"/>
        </w:tabs>
        <w:ind w:left="720" w:hanging="720"/>
      </w:pPr>
    </w:lvl>
    <w:lvl w:ilvl="1">
      <w:start w:val="1"/>
      <w:numFmt w:val="decimal"/>
      <w:pStyle w:val="GPSDefinitionL2"/>
      <w:lvlText w:val="%2."/>
      <w:lvlJc w:val="left"/>
      <w:pPr>
        <w:tabs>
          <w:tab w:val="num" w:pos="1440"/>
        </w:tabs>
        <w:ind w:left="1440" w:hanging="720"/>
      </w:pPr>
    </w:lvl>
    <w:lvl w:ilvl="2">
      <w:start w:val="1"/>
      <w:numFmt w:val="decimal"/>
      <w:pStyle w:val="GPSDefinitionL3"/>
      <w:lvlText w:val="%3."/>
      <w:lvlJc w:val="left"/>
      <w:pPr>
        <w:tabs>
          <w:tab w:val="num" w:pos="2160"/>
        </w:tabs>
        <w:ind w:left="2160" w:hanging="720"/>
      </w:pPr>
    </w:lvl>
    <w:lvl w:ilvl="3">
      <w:start w:val="1"/>
      <w:numFmt w:val="decimal"/>
      <w:pStyle w:val="GPSDefinition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23C7072"/>
    <w:multiLevelType w:val="multilevel"/>
    <w:tmpl w:val="36D84E94"/>
    <w:lvl w:ilvl="0">
      <w:start w:val="1"/>
      <w:numFmt w:val="decimal"/>
      <w:pStyle w:val="GPSL1CLAUSEHEADING"/>
      <w:lvlText w:val="%1."/>
      <w:lvlJc w:val="left"/>
      <w:pPr>
        <w:ind w:left="720" w:hanging="720"/>
      </w:pPr>
      <w:rPr>
        <w:rFonts w:ascii="Arial" w:eastAsia="Arial" w:hAnsi="Arial" w:cs="Arial"/>
        <w:b/>
        <w:i w:val="0"/>
        <w:smallCaps w:val="0"/>
        <w:strike w:val="0"/>
        <w:color w:val="000000"/>
        <w:sz w:val="20"/>
        <w:szCs w:val="20"/>
        <w:u w:val="none"/>
        <w:vertAlign w:val="baseline"/>
      </w:rPr>
    </w:lvl>
    <w:lvl w:ilvl="1">
      <w:start w:val="1"/>
      <w:numFmt w:val="decimal"/>
      <w:pStyle w:val="GPSL2NumberedBoldHeading"/>
      <w:lvlText w:val="%1.%2"/>
      <w:lvlJc w:val="left"/>
      <w:pPr>
        <w:ind w:left="1440" w:hanging="720"/>
      </w:pPr>
      <w:rPr>
        <w:rFonts w:ascii="Calibri" w:eastAsia="Calibri" w:hAnsi="Calibri" w:cs="Calibri"/>
        <w:b w:val="0"/>
        <w:i w:val="0"/>
        <w:smallCaps w:val="0"/>
        <w:strike w:val="0"/>
        <w:color w:val="000000"/>
        <w:sz w:val="22"/>
        <w:szCs w:val="22"/>
        <w:u w:val="none"/>
        <w:vertAlign w:val="baseline"/>
      </w:rPr>
    </w:lvl>
    <w:lvl w:ilvl="2">
      <w:start w:val="1"/>
      <w:numFmt w:val="decimal"/>
      <w:pStyle w:val="GPSL3numberedclause"/>
      <w:lvlText w:val="%1.%2.%3"/>
      <w:lvlJc w:val="left"/>
      <w:pPr>
        <w:ind w:left="1996" w:hanging="720"/>
      </w:pPr>
      <w:rPr>
        <w:rFonts w:ascii="Calibri" w:eastAsia="Calibri" w:hAnsi="Calibri" w:cs="Calibri"/>
        <w:b w:val="0"/>
        <w:i w:val="0"/>
        <w:smallCaps w:val="0"/>
        <w:strike w:val="0"/>
        <w:color w:val="000000"/>
        <w:sz w:val="22"/>
        <w:szCs w:val="22"/>
        <w:u w:val="none"/>
        <w:vertAlign w:val="baseline"/>
      </w:rPr>
    </w:lvl>
    <w:lvl w:ilvl="3">
      <w:start w:val="1"/>
      <w:numFmt w:val="lowerLetter"/>
      <w:pStyle w:val="GPSL4numberedclause"/>
      <w:lvlText w:val="(%4)"/>
      <w:lvlJc w:val="left"/>
      <w:pPr>
        <w:ind w:left="2880"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3600" w:hanging="72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50413978">
    <w:abstractNumId w:val="1"/>
  </w:num>
  <w:num w:numId="2" w16cid:durableId="1019890401">
    <w:abstractNumId w:val="0"/>
  </w:num>
  <w:num w:numId="3" w16cid:durableId="1879393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E6"/>
    <w:rsid w:val="000861E6"/>
    <w:rsid w:val="00154CD4"/>
    <w:rsid w:val="00366A23"/>
    <w:rsid w:val="003F7369"/>
    <w:rsid w:val="004625F2"/>
    <w:rsid w:val="006A09A0"/>
    <w:rsid w:val="007151B8"/>
    <w:rsid w:val="008557B9"/>
    <w:rsid w:val="00B80ADD"/>
    <w:rsid w:val="00CC6420"/>
    <w:rsid w:val="00D52C7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63DDFE"/>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qFormat/>
    <w:pPr>
      <w:numPr>
        <w:ilvl w:val="1"/>
        <w:numId w:val="1"/>
      </w:numPr>
      <w:adjustRightInd w:val="0"/>
      <w:spacing w:before="120" w:after="120" w:line="240" w:lineRule="auto"/>
      <w:ind w:left="936" w:hanging="576"/>
      <w:jc w:val="both"/>
    </w:pPr>
    <w:rPr>
      <w:rFonts w:eastAsia="Times New Roman" w:cs="Arial"/>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rPr>
  </w:style>
  <w:style w:type="character" w:customStyle="1" w:styleId="BodyTextIndentChar">
    <w:name w:val="Body Text Indent Char"/>
    <w:basedOn w:val="DefaultParagraphFont"/>
    <w:link w:val="BodyTextIndent"/>
    <w:rPr>
      <w:rFonts w:eastAsia="Times New Roman" w:cs="Times New Roma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366A23"/>
    <w:pPr>
      <w:spacing w:after="0" w:line="240" w:lineRule="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rf1STq3T1/XfgV1WKKIPWaYTuyw==">AMUW2mV1P/kiBMnxb211NIxp5bFlQ7NUkcY6WgB31m6DfDDOv5cXSGofXf6aZAaJClCWd4xQ/ntzVJT/vpEzhjslqUXgIneCOW/SkpPPosAhBfisncDNDSLwtU57sLEJoqrExuyhV10J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Stanley</dc:creator>
  <cp:lastModifiedBy>Jason Alford</cp:lastModifiedBy>
  <cp:revision>3</cp:revision>
  <dcterms:created xsi:type="dcterms:W3CDTF">2024-08-09T11:36:00Z</dcterms:created>
  <dcterms:modified xsi:type="dcterms:W3CDTF">2024-08-09T11:36:00Z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y fmtid="{D5CDD505-2E9C-101B-9397-08002B2CF9AE}" pid="3" name="iManageFooter">
    <vt:lpwstr>#109517324v4&lt;L_LIVE_EMEA1&gt; - PPA v3.0 (Call-Off Schedule 19 - Scottish Law)</vt:lpwstr>
  </property>
</Properties>
</file>