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20 (Call-Off Specification)</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This Schedule sets out the characteristics of the Deliverables that the Supplier will be required to make to the Buyers under this Call-Off Contract:</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color w:val="000000"/>
          <w:sz w:val="24"/>
          <w:szCs w:val="24"/>
        </w:rPr>
      </w:pPr>
      <w:bookmarkStart w:colFirst="0" w:colLast="0" w:name="_heading=h.30j0zll" w:id="2"/>
      <w:bookmarkEnd w:id="2"/>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Amend, delete, add or select any applicable options, based on the Buyer’s requirements and the Specification based on the Call-Off Contract.  </w:t>
      </w:r>
      <w:r w:rsidDel="00000000" w:rsidR="00000000" w:rsidRPr="00000000">
        <w:rPr>
          <w:rFonts w:ascii="Arial" w:cs="Arial" w:eastAsia="Arial" w:hAnsi="Arial"/>
          <w:b w:val="1"/>
          <w:color w:val="000000"/>
          <w:sz w:val="24"/>
          <w:szCs w:val="24"/>
          <w:rtl w:val="0"/>
        </w:rPr>
        <w:t xml:space="preserve">In all cases, </w:t>
      </w:r>
      <w:r w:rsidDel="00000000" w:rsidR="00000000" w:rsidRPr="00000000">
        <w:rPr>
          <w:rFonts w:ascii="Arial" w:cs="Arial" w:eastAsia="Arial" w:hAnsi="Arial"/>
          <w:color w:val="000000"/>
          <w:sz w:val="24"/>
          <w:szCs w:val="24"/>
          <w:rtl w:val="0"/>
        </w:rPr>
        <w:t xml:space="preserve">care should be taken to ensure that any such options are justified by reference to the Buyer's specific project requirements, are proportionate, and do not unduly restrict competition for the Call-Off Contract]</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b w:val="1"/>
          <w:color w:val="000000"/>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06">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Commencement and Conditions Precedent </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9">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0A">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0B">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0C">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Call-Off Contract Conditions Precedent </w:t>
            </w:r>
          </w:p>
        </w:tc>
        <w:tc>
          <w:tcPr/>
          <w:p w:rsidR="00000000" w:rsidDel="00000000" w:rsidP="00000000" w:rsidRDefault="00000000" w:rsidRPr="00000000" w14:paraId="0000000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If required, to be specified based on Buyer's requirements.  Note that the expectation is that the majority of the conditions listed below would be requirements in the Call-Off Procedure and met by the Supplier as a condition to the Call-Off Contract being awarded.  However, Buyers may have reasons for awarding a Call-Off Contract subject to certain of these conditions being met, in which case the Call-Off Conditions Precedent would apply following the Effective Date (i.e. signature of the Call-Off Contract) but before its Start Date.  For example, certain Suppliers will not be able to take a final investment decision on the Facility until the PPA has actually been awarded]</w:t>
            </w:r>
          </w:p>
          <w:p w:rsidR="00000000" w:rsidDel="00000000" w:rsidP="00000000" w:rsidRDefault="00000000" w:rsidRPr="00000000" w14:paraId="0000000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To the extent that these are not already bid qualifying requirements, Call-Off Contract Conditions Precedent may include one or more of the following, in each case amended where necessary to address specific Buyer requirements]</w:t>
            </w:r>
          </w:p>
          <w:p w:rsidR="00000000" w:rsidDel="00000000" w:rsidP="00000000" w:rsidRDefault="00000000" w:rsidRPr="00000000" w14:paraId="0000000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Supplier has</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made a FID or the FID being conditional only on the Call-Off Contract being signed;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detailed project plan in place demonstrating how it will meet all requirements of the Call-Off Contract, which shall include (as a minimum) the date on which the Supplier intends to commence on-site works, the date on which the Supplier intends to energise the Interconnection Point and the Expected COD;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place, or has a strategy to put in place, all Permits required to construct, own and operate the Facility;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place all contracts, agreements, arrangements, obligations or commitments relating to the connection of the Facility to the grid;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place supply contracts for major equipment for the specified generation type of the Facility;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obtained all property rights to the Site, and, if required, all right-of-way agreements, easements, Permits, and approvals from relevant authorities and property owners to access, construct and operate the Site;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disclosed copies of all relevant insurances contemplated by Joint Schedule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Insurance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required at such time, and that the relevant insurers have bound and made effective all such insurances;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a report concerning the electric energy producing potential of the Facility, prepared by an independent engineer (which assesses the [wind] [solar] resource and that provides the Expected Annual Production and the power curves of the Facility;</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demonstrated to the Buyer that the Supplier has in place the necessary funding for the development of the Facility;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the Buyer with a form of Performance Security permitted under this Call-Off Schedule 20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in accordance with Joint Schedule 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Guarantee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after="120" w:before="120" w:lineRule="auto"/>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Where amendments are made to the above, or additional Call-Off Contract Conditions Precedent are introduced, care should be taken to ensure that any such are justified by reference to the Buyer's specific project requirements, are proportionate, and do not unduly restrict competition for the Call-Off Contract.]</w:t>
            </w:r>
          </w:p>
        </w:tc>
        <w:tc>
          <w:tcPr/>
          <w:p w:rsidR="00000000" w:rsidDel="00000000" w:rsidP="00000000" w:rsidRDefault="00000000" w:rsidRPr="00000000" w14:paraId="0000002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 (</w:t>
            </w:r>
            <w:r w:rsidDel="00000000" w:rsidR="00000000" w:rsidRPr="00000000">
              <w:rPr>
                <w:rFonts w:ascii="Arial" w:cs="Arial" w:eastAsia="Arial" w:hAnsi="Arial"/>
                <w:i w:val="1"/>
                <w:color w:val="000000"/>
                <w:rtl w:val="0"/>
              </w:rPr>
              <w:t xml:space="preserve">Call-Off Contract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Conditions Precedent</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Call-Off Contract Conditions Precedent,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29">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Call-Off Contract Conditions Precedent Longstop Date </w:t>
            </w:r>
          </w:p>
        </w:tc>
        <w:tc>
          <w:tcPr/>
          <w:p w:rsidR="00000000" w:rsidDel="00000000" w:rsidP="00000000" w:rsidRDefault="00000000" w:rsidRPr="00000000" w14:paraId="0000002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2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Call-Off Contract Conditions Precedent Longstop Date,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2C">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Maximum amount payable by the Supplier on termination for failure to satisfy Call-Off Contract Conditions Precedent</w:t>
            </w:r>
          </w:p>
        </w:tc>
        <w:tc>
          <w:tcPr/>
          <w:p w:rsidR="00000000" w:rsidDel="00000000" w:rsidP="00000000" w:rsidRDefault="00000000" w:rsidRPr="00000000" w14:paraId="0000002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2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3.4 (</w:t>
            </w:r>
            <w:r w:rsidDel="00000000" w:rsidR="00000000" w:rsidRPr="00000000">
              <w:rPr>
                <w:rFonts w:ascii="Arial" w:cs="Arial" w:eastAsia="Arial" w:hAnsi="Arial"/>
                <w:i w:val="1"/>
                <w:color w:val="000000"/>
                <w:rtl w:val="0"/>
              </w:rPr>
              <w:t xml:space="preserve">Call Off Contract Conditions Precedent</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1134"/>
        </w:tabs>
        <w:spacing w:after="120" w:before="120" w:line="240" w:lineRule="auto"/>
        <w:rPr>
          <w:rFonts w:ascii="Arial" w:cs="Arial" w:eastAsia="Arial" w:hAnsi="Arial"/>
          <w:b w:val="1"/>
          <w:color w:val="000000"/>
          <w:sz w:val="24"/>
          <w:szCs w:val="24"/>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4620"/>
        <w:gridCol w:w="2151"/>
        <w:tblGridChange w:id="0">
          <w:tblGrid>
            <w:gridCol w:w="2245"/>
            <w:gridCol w:w="4620"/>
            <w:gridCol w:w="2151"/>
          </w:tblGrid>
        </w:tblGridChange>
      </w:tblGrid>
      <w:tr>
        <w:trPr>
          <w:cantSplit w:val="0"/>
          <w:tblHeader w:val="0"/>
        </w:trPr>
        <w:tc>
          <w:tcPr>
            <w:gridSpan w:val="3"/>
            <w:shd w:fill="fb515b" w:val="clear"/>
          </w:tcPr>
          <w:p w:rsidR="00000000" w:rsidDel="00000000" w:rsidP="00000000" w:rsidRDefault="00000000" w:rsidRPr="00000000" w14:paraId="00000031">
            <w:pPr>
              <w:spacing w:after="120" w:before="12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Supply Commencement, Generation Type, Capacity and Production</w:t>
            </w:r>
          </w:p>
        </w:tc>
      </w:tr>
      <w:tr>
        <w:trPr>
          <w:cantSplit w:val="0"/>
          <w:tblHeader w:val="0"/>
        </w:trPr>
        <w:tc>
          <w:tcPr>
            <w:shd w:fill="d9d9d9" w:val="clear"/>
          </w:tcPr>
          <w:p w:rsidR="00000000" w:rsidDel="00000000" w:rsidP="00000000" w:rsidRDefault="00000000" w:rsidRPr="00000000" w14:paraId="0000003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Term</w:t>
            </w:r>
          </w:p>
        </w:tc>
        <w:tc>
          <w:tcPr>
            <w:shd w:fill="d9d9d9" w:val="clear"/>
          </w:tcPr>
          <w:p w:rsidR="00000000" w:rsidDel="00000000" w:rsidP="00000000" w:rsidRDefault="00000000" w:rsidRPr="00000000" w14:paraId="00000035">
            <w:pPr>
              <w:spacing w:after="120" w:before="120" w:lineRule="auto"/>
              <w:rPr>
                <w:rFonts w:ascii="Arial" w:cs="Arial" w:eastAsia="Arial" w:hAnsi="Arial"/>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36">
            <w:pPr>
              <w:spacing w:after="120" w:before="120" w:lineRule="auto"/>
              <w:rPr>
                <w:rFonts w:ascii="Arial" w:cs="Arial" w:eastAsia="Arial" w:hAnsi="Arial"/>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37">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Supply Commencement Date</w:t>
            </w:r>
          </w:p>
        </w:tc>
        <w:tc>
          <w:tcPr/>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b w:val="1"/>
                <w:rtl w:val="0"/>
              </w:rPr>
              <w:t xml:space="preserve">[</w:t>
            </w:r>
            <w:r w:rsidDel="00000000" w:rsidR="00000000" w:rsidRPr="00000000">
              <w:rPr>
                <w:b w:val="1"/>
                <w:highlight w:val="yellow"/>
                <w:rtl w:val="0"/>
              </w:rPr>
              <w:t xml:space="preserve">Guidance Note</w:t>
            </w:r>
            <w:r w:rsidDel="00000000" w:rsidR="00000000" w:rsidRPr="00000000">
              <w:rPr>
                <w:highlight w:val="yellow"/>
                <w:rtl w:val="0"/>
              </w:rPr>
              <w:t xml:space="preserve">:</w:t>
            </w:r>
            <w:r w:rsidDel="00000000" w:rsidR="00000000" w:rsidRPr="00000000">
              <w:rPr>
                <w:rtl w:val="0"/>
              </w:rPr>
              <w:t xml:space="preserve"> To be defined by the Buyer based on its requirements and those of its Sleeving Provider using one of the following options]</w:t>
            </w:r>
            <w:r w:rsidDel="00000000" w:rsidR="00000000" w:rsidRPr="00000000">
              <w:rPr>
                <w:rtl w:val="0"/>
              </w:rPr>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Actual COD]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later to occur of (i) the Actual COD; and (ii) the Expected COD]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days] after the Actual COD]</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first day following the expiry of one month after the Actual COD] [</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This option is a specific requirement of some Sleeving Providers]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[day – month – year] [</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This option would be most suitable for a Facility that is not a New Build Facility or where the Expected COD is substantially in advance of when the Buyer requires the power.] </w:t>
            </w:r>
          </w:p>
        </w:tc>
        <w:tc>
          <w:tcPr/>
          <w:p w:rsidR="00000000" w:rsidDel="00000000" w:rsidP="00000000" w:rsidRDefault="00000000" w:rsidRPr="00000000" w14:paraId="0000003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Supply Commencement Date,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 </w:t>
            </w:r>
          </w:p>
        </w:tc>
      </w:tr>
      <w:tr>
        <w:trPr>
          <w:cantSplit w:val="0"/>
          <w:tblHeader w:val="0"/>
        </w:trPr>
        <w:tc>
          <w:tcPr/>
          <w:p w:rsidR="00000000" w:rsidDel="00000000" w:rsidP="00000000" w:rsidRDefault="00000000" w:rsidRPr="00000000" w14:paraId="0000003F">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Minimum Contracted Capacity</w:t>
            </w:r>
          </w:p>
        </w:tc>
        <w:tc>
          <w:tcPr/>
          <w:p w:rsidR="00000000" w:rsidDel="00000000" w:rsidP="00000000" w:rsidRDefault="00000000" w:rsidRPr="00000000" w14:paraId="0000004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4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Minimum Contracted Capacity,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42">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Peak Operation Months </w:t>
            </w:r>
          </w:p>
        </w:tc>
        <w:tc>
          <w:tcPr/>
          <w:p w:rsidR="00000000" w:rsidDel="00000000" w:rsidP="00000000" w:rsidRDefault="00000000" w:rsidRPr="00000000" w14:paraId="0000004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4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Peak Operation Months,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45">
      <w:pPr>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rPr>
          <w:rFonts w:ascii="Arial" w:cs="Arial" w:eastAsia="Arial" w:hAnsi="Arial"/>
          <w:color w:val="00000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47">
            <w:pPr>
              <w:spacing w:after="120" w:before="12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PPA Structure and Pricing</w:t>
            </w:r>
          </w:p>
        </w:tc>
      </w:tr>
      <w:tr>
        <w:trPr>
          <w:cantSplit w:val="0"/>
          <w:tblHeader w:val="0"/>
        </w:trPr>
        <w:tc>
          <w:tcPr>
            <w:shd w:fill="d9d9d9" w:val="clear"/>
          </w:tcPr>
          <w:p w:rsidR="00000000" w:rsidDel="00000000" w:rsidP="00000000" w:rsidRDefault="00000000" w:rsidRPr="00000000" w14:paraId="0000004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Term</w:t>
            </w:r>
          </w:p>
        </w:tc>
        <w:tc>
          <w:tcPr>
            <w:shd w:fill="d9d9d9" w:val="clear"/>
          </w:tcPr>
          <w:p w:rsidR="00000000" w:rsidDel="00000000" w:rsidP="00000000" w:rsidRDefault="00000000" w:rsidRPr="00000000" w14:paraId="0000004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Specification</w:t>
            </w:r>
          </w:p>
        </w:tc>
        <w:tc>
          <w:tcPr>
            <w:shd w:fill="d9d9d9" w:val="clear"/>
          </w:tcPr>
          <w:p w:rsidR="00000000" w:rsidDel="00000000" w:rsidP="00000000" w:rsidRDefault="00000000" w:rsidRPr="00000000" w14:paraId="0000004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Reference</w:t>
            </w:r>
          </w:p>
        </w:tc>
      </w:tr>
      <w:tr>
        <w:trPr>
          <w:cantSplit w:val="0"/>
          <w:tblHeader w:val="0"/>
        </w:trPr>
        <w:tc>
          <w:tcPr/>
          <w:p w:rsidR="00000000" w:rsidDel="00000000" w:rsidP="00000000" w:rsidRDefault="00000000" w:rsidRPr="00000000" w14:paraId="0000004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PPA Structure: </w:t>
            </w:r>
          </w:p>
        </w:tc>
        <w:tc>
          <w:tcPr/>
          <w:p w:rsidR="00000000" w:rsidDel="00000000" w:rsidP="00000000" w:rsidRDefault="00000000" w:rsidRPr="00000000" w14:paraId="0000004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[Guidance Note: To be defined by the Buyer based on its requirements. Further detailed requirements in respect of each structure will need to be added to Call-Off Schedule 32 (Contract Structure)]</w:t>
            </w:r>
          </w:p>
          <w:p w:rsidR="00000000" w:rsidDel="00000000" w:rsidP="00000000" w:rsidRDefault="00000000" w:rsidRPr="00000000" w14:paraId="0000004F">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w:t>
              <w:tab/>
              <w:t xml:space="preserve">pay as produced; and</w:t>
            </w:r>
          </w:p>
          <w:p w:rsidR="00000000" w:rsidDel="00000000" w:rsidP="00000000" w:rsidRDefault="00000000" w:rsidRPr="00000000" w14:paraId="00000051">
            <w:pPr>
              <w:spacing w:after="120" w:before="120" w:lineRule="auto"/>
              <w:ind w:left="750" w:firstLine="0"/>
              <w:rPr>
                <w:rFonts w:ascii="Arial" w:cs="Arial" w:eastAsia="Arial" w:hAnsi="Arial"/>
                <w:color w:val="000000"/>
              </w:rPr>
            </w:pPr>
            <w:r w:rsidDel="00000000" w:rsidR="00000000" w:rsidRPr="00000000">
              <w:rPr>
                <w:rFonts w:ascii="Arial" w:cs="Arial" w:eastAsia="Arial" w:hAnsi="Arial"/>
                <w:color w:val="000000"/>
                <w:rtl w:val="0"/>
              </w:rPr>
              <w:t xml:space="preserve">(b)</w:t>
              <w:tab/>
              <w:t xml:space="preserve">other options available in the market at the time of the Call-Off Tender] </w:t>
            </w:r>
          </w:p>
        </w:tc>
        <w:tc>
          <w:tcPr/>
          <w:p w:rsidR="00000000" w:rsidDel="00000000" w:rsidP="00000000" w:rsidRDefault="00000000" w:rsidRPr="00000000" w14:paraId="0000005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7 (PPA Structure), Framework Schedule 1 (Specification) and </w:t>
            </w:r>
            <w:r w:rsidDel="00000000" w:rsidR="00000000" w:rsidRPr="00000000">
              <w:rPr>
                <w:rFonts w:ascii="Arial" w:cs="Arial" w:eastAsia="Arial" w:hAnsi="Arial"/>
                <w:color w:val="000000"/>
                <w:rtl w:val="0"/>
              </w:rPr>
              <w:t xml:space="preserve">Call-Off Schedule 32 (Contract Structure)</w:t>
            </w:r>
            <w:r w:rsidDel="00000000" w:rsidR="00000000" w:rsidRPr="00000000">
              <w:rPr>
                <w:rtl w:val="0"/>
              </w:rPr>
            </w:r>
          </w:p>
        </w:tc>
      </w:tr>
      <w:tr>
        <w:trPr>
          <w:cantSplit w:val="0"/>
          <w:tblHeader w:val="0"/>
        </w:trPr>
        <w:tc>
          <w:tcPr/>
          <w:p w:rsidR="00000000" w:rsidDel="00000000" w:rsidP="00000000" w:rsidRDefault="00000000" w:rsidRPr="00000000" w14:paraId="0000005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Commercial Ancillary Services permitted</w:t>
            </w:r>
          </w:p>
        </w:tc>
        <w:tc>
          <w:tcPr/>
          <w:p w:rsidR="00000000" w:rsidDel="00000000" w:rsidP="00000000" w:rsidRDefault="00000000" w:rsidRPr="00000000" w14:paraId="0000005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[Yes/No]</w:t>
            </w:r>
          </w:p>
          <w:p w:rsidR="00000000" w:rsidDel="00000000" w:rsidP="00000000" w:rsidRDefault="00000000" w:rsidRPr="00000000" w14:paraId="00000055">
            <w:pPr>
              <w:spacing w:after="120" w:before="12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12 (Ancillary Services), Call-Off Schedule 25 (Call-Off PPA Terms)</w:t>
            </w:r>
          </w:p>
        </w:tc>
      </w:tr>
      <w:tr>
        <w:trPr>
          <w:cantSplit w:val="0"/>
          <w:tblHeader w:val="0"/>
        </w:trPr>
        <w:tc>
          <w:tcPr/>
          <w:p w:rsidR="00000000" w:rsidDel="00000000" w:rsidP="00000000" w:rsidRDefault="00000000" w:rsidRPr="00000000" w14:paraId="0000005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Sharing of benefit of Commercial Ancillary Services (if permitted), Mandatory Ancillary Services, Balancing Mechanism</w:t>
            </w:r>
          </w:p>
        </w:tc>
        <w:tc>
          <w:tcPr/>
          <w:p w:rsidR="00000000" w:rsidDel="00000000" w:rsidP="00000000" w:rsidRDefault="00000000" w:rsidRPr="00000000" w14:paraId="0000005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[Yes/No]</w:t>
            </w:r>
          </w:p>
          <w:p w:rsidR="00000000" w:rsidDel="00000000" w:rsidP="00000000" w:rsidRDefault="00000000" w:rsidRPr="00000000" w14:paraId="00000059">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yes, percentage sharing: [●] %]</w:t>
            </w:r>
          </w:p>
        </w:tc>
        <w:tc>
          <w:tcPr/>
          <w:p w:rsidR="00000000" w:rsidDel="00000000" w:rsidP="00000000" w:rsidRDefault="00000000" w:rsidRPr="00000000" w14:paraId="0000005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12 (Ancillary Services), Call-Off Schedule 25 (Call-Off PPA Terms)</w:t>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1"/>
        <w:gridCol w:w="4598"/>
        <w:gridCol w:w="2217"/>
        <w:tblGridChange w:id="0">
          <w:tblGrid>
            <w:gridCol w:w="2201"/>
            <w:gridCol w:w="4598"/>
            <w:gridCol w:w="2217"/>
          </w:tblGrid>
        </w:tblGridChange>
      </w:tblGrid>
      <w:tr>
        <w:trPr>
          <w:cantSplit w:val="0"/>
          <w:tblHeader w:val="0"/>
        </w:trPr>
        <w:tc>
          <w:tcPr>
            <w:gridSpan w:val="3"/>
            <w:shd w:fill="fb515b" w:val="clear"/>
          </w:tcPr>
          <w:p w:rsidR="00000000" w:rsidDel="00000000" w:rsidP="00000000" w:rsidRDefault="00000000" w:rsidRPr="00000000" w14:paraId="0000005E">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New Build Facility</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1">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64">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New Build Facility</w:t>
            </w:r>
          </w:p>
        </w:tc>
        <w:tc>
          <w:tcPr/>
          <w:p w:rsidR="00000000" w:rsidDel="00000000" w:rsidP="00000000" w:rsidRDefault="00000000" w:rsidRPr="00000000" w14:paraId="0000006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[Yes / No]</w:t>
            </w:r>
          </w:p>
          <w:p w:rsidR="00000000" w:rsidDel="00000000" w:rsidP="00000000" w:rsidRDefault="00000000" w:rsidRPr="00000000" w14:paraId="00000066">
            <w:pPr>
              <w:spacing w:after="120" w:before="12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3.1(b) (</w:t>
            </w:r>
            <w:r w:rsidDel="00000000" w:rsidR="00000000" w:rsidRPr="00000000">
              <w:rPr>
                <w:rFonts w:ascii="Arial" w:cs="Arial" w:eastAsia="Arial" w:hAnsi="Arial"/>
                <w:i w:val="1"/>
                <w:color w:val="000000"/>
                <w:rtl w:val="0"/>
              </w:rPr>
              <w:t xml:space="preserve">New Build or operational Facility and additionality</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4 (</w:t>
            </w:r>
            <w:r w:rsidDel="00000000" w:rsidR="00000000" w:rsidRPr="00000000">
              <w:rPr>
                <w:rFonts w:ascii="Arial" w:cs="Arial" w:eastAsia="Arial" w:hAnsi="Arial"/>
                <w:i w:val="1"/>
                <w:color w:val="000000"/>
                <w:rtl w:val="0"/>
              </w:rPr>
              <w:t xml:space="preserve">New Build Facilities</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69">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Repowered Facility permitted</w:t>
            </w:r>
          </w:p>
        </w:tc>
        <w:tc>
          <w:tcPr/>
          <w:p w:rsidR="00000000" w:rsidDel="00000000" w:rsidP="00000000" w:rsidRDefault="00000000" w:rsidRPr="00000000" w14:paraId="0000006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[Yes / No]</w:t>
            </w:r>
          </w:p>
          <w:p w:rsidR="00000000" w:rsidDel="00000000" w:rsidP="00000000" w:rsidRDefault="00000000" w:rsidRPr="00000000" w14:paraId="0000006B">
            <w:pPr>
              <w:spacing w:after="120" w:before="12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3.1(b) (</w:t>
            </w:r>
            <w:r w:rsidDel="00000000" w:rsidR="00000000" w:rsidRPr="00000000">
              <w:rPr>
                <w:rFonts w:ascii="Arial" w:cs="Arial" w:eastAsia="Arial" w:hAnsi="Arial"/>
                <w:i w:val="1"/>
                <w:color w:val="000000"/>
                <w:rtl w:val="0"/>
              </w:rPr>
              <w:t xml:space="preserve">New Build or operational Facility and additionality</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New Build Facility,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6E">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Longstop Date </w:t>
            </w:r>
          </w:p>
        </w:tc>
        <w:tc>
          <w:tcPr/>
          <w:p w:rsidR="00000000" w:rsidDel="00000000" w:rsidP="00000000" w:rsidRDefault="00000000" w:rsidRPr="00000000" w14:paraId="0000006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days after the Expected COD</w:t>
            </w:r>
          </w:p>
        </w:tc>
        <w:tc>
          <w:tcPr/>
          <w:p w:rsidR="00000000" w:rsidDel="00000000" w:rsidP="00000000" w:rsidRDefault="00000000" w:rsidRPr="00000000" w14:paraId="0000007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Longstop Date,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73">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Commercial Operation</w:t>
            </w:r>
          </w:p>
        </w:tc>
        <w:tc>
          <w:tcPr/>
          <w:p w:rsidR="00000000" w:rsidDel="00000000" w:rsidP="00000000" w:rsidRDefault="00000000" w:rsidRPr="00000000" w14:paraId="00000074">
            <w:pPr>
              <w:spacing w:after="120" w:before="120" w:lineRule="auto"/>
              <w:rPr>
                <w:color w:val="000000"/>
              </w:rPr>
            </w:pPr>
            <w:r w:rsidDel="00000000" w:rsidR="00000000" w:rsidRPr="00000000">
              <w:rPr>
                <w:color w:val="000000"/>
                <w:rtl w:val="0"/>
              </w:rPr>
              <w:t xml:space="preserve">[</w:t>
            </w:r>
            <w:r w:rsidDel="00000000" w:rsidR="00000000" w:rsidRPr="00000000">
              <w:rPr>
                <w:b w:val="1"/>
                <w:color w:val="000000"/>
                <w:highlight w:val="yellow"/>
                <w:rtl w:val="0"/>
              </w:rPr>
              <w:t xml:space="preserve">Guidance Note:</w:t>
            </w:r>
            <w:r w:rsidDel="00000000" w:rsidR="00000000" w:rsidRPr="00000000">
              <w:rPr>
                <w:color w:val="000000"/>
                <w:rtl w:val="0"/>
              </w:rPr>
              <w:t xml:space="preserve">  To be adapted as required to the nature and technology of the Facility. Commercial Operation may include one or more of the following conditions, in each case amended where necessary to address the specific Buyer requirements.]</w:t>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entered into an Interconnection Agreement for the Facility;</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connection referred to in the Interconnection Agreement has been constructed and the Interconnection Point energised, and the Supplier has provided the Buyer with evidence of such construction and energisation;</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been issued a Generation Licence, which is in full force and effect and has received all other Permits required to enable the operation of the Facility and the delivery of electricity to the Buyer under this Call-Off Contract, or the Supplier has provided evidence that it is exempt from the requirement to hold a Generation Licence;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certified to the Buyer that the Supplier and the Facility are compliant with Electricity Market Rules (including, if required, providing evidence in the form of an Interim Operational Notification from the TSO);</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Commissioned the Facility with the Minimum Contracted Capacity and the Facility is physically capable of injecting the amount of Electrical Energy that could be produced by the Facility when operating at the Minimum Contracted Capacity into the Grid System at the Interconnection Point;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installed the Metering System and the Supplier [or the Sleeving Provider] is registered as the Person responsible for the export of Metered Volume (as defined in the BSC) from the Facility and the Supplier has appointed a qualified Meter Operator Agent (as defined in the BSC) to operate the Metering System as well as any other industry standard service providers required to allow for suitable management, process and communication of data from the asset as part of the Metering System;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Guidance Note: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customise based on role of Buyer's Sleeving Provider]</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ensured all testing of all Generation Equipment has been completed per manufacturers’ recommendations, Applicable Laws and Regulations and Good Industry Practice;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having updated and confirmed in writing to the Buyer all the Facility Description;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Sleeving Provider and the Buyer have entered into an agreement implementing the key principles set out in Call-Off Schedule 30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Sleeving Arrangements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provided the Buyer with an updated Expected Annual Production reflecting the Facility as Commissioned, certified by a leading independent technical adviser;  </w:t>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informed the Sleeving Provider and the Buyer of the Nameplate Capacity;</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has acceded to each of the Electricity Market Rules to which it is required to accede, including the BSC and the CUSC and in case of a Facility connected to the Distribution System, all agreements required by the Distribution System Operator to enable the Facility to inject and transmit Electrical Energy into and through the Distribution System and has complied with all requirements under the foregoing to enable the operation of the Facility and the injection of electricity into the Grid System;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the other conditions to Commercial Operation having been met, the Supplier will be in a position to submit an application for accreditation for issuance of REGOs in accordance with Call-Off Schedule 27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Environmental Attributes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required to do so, the Supplier has provided the Buyer with a form of Performance Security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permitted under this Call-Off Schedule 20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Call-Off Specification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in accordance with Joint Schedule 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Guarantee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disclosed copies of all relevant insurances contemplated by Joint Schedule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Insurance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required for Commercial Operation, and that the relevant insurers have bound and made effective all such insurances;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a report to the Buyer verifying the technical specifications and performance criteria of the Facility prepared by an independent engineer; and </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Commercial Operation,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98">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Further Additionality Requirements</w:t>
            </w:r>
          </w:p>
        </w:tc>
        <w:tc>
          <w:tcPr/>
          <w:p w:rsidR="00000000" w:rsidDel="00000000" w:rsidP="00000000" w:rsidRDefault="00000000" w:rsidRPr="00000000" w14:paraId="0000009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9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3.1(c) (</w:t>
            </w:r>
            <w:r w:rsidDel="00000000" w:rsidR="00000000" w:rsidRPr="00000000">
              <w:rPr>
                <w:rFonts w:ascii="Arial" w:cs="Arial" w:eastAsia="Arial" w:hAnsi="Arial"/>
                <w:i w:val="1"/>
                <w:color w:val="000000"/>
                <w:rtl w:val="0"/>
              </w:rPr>
              <w:t xml:space="preserve">New Build or operational Facility and additionality</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9B">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Delay Damages – Comparable Environmental Attributes </w:t>
            </w:r>
          </w:p>
        </w:tc>
        <w:tc>
          <w:tcPr/>
          <w:p w:rsidR="00000000" w:rsidDel="00000000" w:rsidP="00000000" w:rsidRDefault="00000000" w:rsidRPr="00000000" w14:paraId="0000009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Buyer elects to receive Comparable Environmental Attributes instead of Average Environmental Attribute Value component of Delay Damages:  [Yes / No]. </w:t>
            </w:r>
          </w:p>
        </w:tc>
        <w:tc>
          <w:tcPr/>
          <w:p w:rsidR="00000000" w:rsidDel="00000000" w:rsidP="00000000" w:rsidRDefault="00000000" w:rsidRPr="00000000" w14:paraId="0000009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(B) of definition of Delay Damages, Call-Off Schedule 31 (</w:t>
            </w:r>
            <w:r w:rsidDel="00000000" w:rsidR="00000000" w:rsidRPr="00000000">
              <w:rPr>
                <w:rFonts w:ascii="Arial" w:cs="Arial" w:eastAsia="Arial" w:hAnsi="Arial"/>
                <w:i w:val="1"/>
                <w:color w:val="000000"/>
                <w:rtl w:val="0"/>
              </w:rPr>
              <w:t xml:space="preserve">New Build Facilities</w:t>
            </w:r>
            <w:r w:rsidDel="00000000" w:rsidR="00000000" w:rsidRPr="00000000">
              <w:rPr>
                <w:rFonts w:ascii="Arial" w:cs="Arial" w:eastAsia="Arial" w:hAnsi="Arial"/>
                <w:color w:val="000000"/>
                <w:rtl w:val="0"/>
              </w:rPr>
              <w:t xml:space="preserve">); </w:t>
            </w:r>
          </w:p>
        </w:tc>
      </w:tr>
      <w:tr>
        <w:trPr>
          <w:cantSplit w:val="0"/>
          <w:tblHeader w:val="0"/>
        </w:trPr>
        <w:tc>
          <w:tcPr/>
          <w:p w:rsidR="00000000" w:rsidDel="00000000" w:rsidP="00000000" w:rsidRDefault="00000000" w:rsidRPr="00000000" w14:paraId="0000009E">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information required by the Buyer for Operational Information in respect of a New Build Facility</w:t>
            </w:r>
          </w:p>
        </w:tc>
        <w:tc>
          <w:tcPr/>
          <w:p w:rsidR="00000000" w:rsidDel="00000000" w:rsidP="00000000" w:rsidRDefault="00000000" w:rsidRPr="00000000" w14:paraId="0000009F">
            <w:pPr>
              <w:spacing w:after="120" w:before="120" w:lineRule="auto"/>
              <w:rPr>
                <w:rFonts w:ascii="Arial" w:cs="Arial" w:eastAsia="Arial" w:hAnsi="Arial"/>
                <w:b w:val="1"/>
                <w:color w:val="000000"/>
                <w:highlight w:val="yellow"/>
              </w:rPr>
            </w:pPr>
            <w:r w:rsidDel="00000000" w:rsidR="00000000" w:rsidRPr="00000000">
              <w:rPr>
                <w:rFonts w:ascii="Arial" w:cs="Arial" w:eastAsia="Arial" w:hAnsi="Arial"/>
                <w:color w:val="000000"/>
                <w:rtl w:val="0"/>
              </w:rPr>
              <w:t xml:space="preserve">[●]</w:t>
            </w:r>
            <w:r w:rsidDel="00000000" w:rsidR="00000000" w:rsidRPr="00000000">
              <w:rPr>
                <w:rtl w:val="0"/>
              </w:rPr>
            </w:r>
          </w:p>
        </w:tc>
        <w:tc>
          <w:tcPr/>
          <w:p w:rsidR="00000000" w:rsidDel="00000000" w:rsidP="00000000" w:rsidRDefault="00000000" w:rsidRPr="00000000" w14:paraId="000000A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2.3(A)(g) (</w:t>
            </w:r>
            <w:r w:rsidDel="00000000" w:rsidR="00000000" w:rsidRPr="00000000">
              <w:rPr>
                <w:rFonts w:ascii="Arial" w:cs="Arial" w:eastAsia="Arial" w:hAnsi="Arial"/>
                <w:i w:val="1"/>
                <w:color w:val="000000"/>
                <w:rtl w:val="0"/>
              </w:rPr>
              <w:t xml:space="preserve">Construction and Commissioning information</w:t>
            </w:r>
            <w:r w:rsidDel="00000000" w:rsidR="00000000" w:rsidRPr="00000000">
              <w:rPr>
                <w:rFonts w:ascii="Arial" w:cs="Arial" w:eastAsia="Arial" w:hAnsi="Arial"/>
                <w:color w:val="000000"/>
                <w:rtl w:val="0"/>
              </w:rPr>
              <w:t xml:space="preserve">), Call-Off Schedule 31 (</w:t>
            </w:r>
            <w:r w:rsidDel="00000000" w:rsidR="00000000" w:rsidRPr="00000000">
              <w:rPr>
                <w:rFonts w:ascii="Arial" w:cs="Arial" w:eastAsia="Arial" w:hAnsi="Arial"/>
                <w:i w:val="1"/>
                <w:color w:val="000000"/>
                <w:rtl w:val="0"/>
              </w:rPr>
              <w:t xml:space="preserve">New Build Facilities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A1">
      <w:pPr>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A2">
            <w:pPr>
              <w:spacing w:after="120" w:before="12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Replacement Facility</w:t>
            </w:r>
          </w:p>
        </w:tc>
      </w:tr>
      <w:tr>
        <w:trPr>
          <w:cantSplit w:val="0"/>
          <w:tblHeader w:val="0"/>
        </w:trPr>
        <w:tc>
          <w:tcPr>
            <w:shd w:fill="d9d9d9" w:val="clear"/>
          </w:tcPr>
          <w:p w:rsidR="00000000" w:rsidDel="00000000" w:rsidP="00000000" w:rsidRDefault="00000000" w:rsidRPr="00000000" w14:paraId="000000A5">
            <w:pPr>
              <w:tabs>
                <w:tab w:val="left" w:leader="none" w:pos="1657"/>
              </w:tabs>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A6">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A7">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A8">
            <w:pPr>
              <w:tabs>
                <w:tab w:val="left" w:leader="none" w:pos="1657"/>
              </w:tabs>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Replacement Facility Requirements</w:t>
            </w:r>
          </w:p>
        </w:tc>
        <w:tc>
          <w:tcPr/>
          <w:p w:rsidR="00000000" w:rsidDel="00000000" w:rsidP="00000000" w:rsidRDefault="00000000" w:rsidRPr="00000000" w14:paraId="000000A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A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Replacement Facility,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AB">
            <w:pPr>
              <w:tabs>
                <w:tab w:val="left" w:leader="none" w:pos="1657"/>
              </w:tabs>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Replacement Facility Requirements imposed by the Buyer</w:t>
            </w:r>
          </w:p>
        </w:tc>
        <w:tc>
          <w:tcPr/>
          <w:p w:rsidR="00000000" w:rsidDel="00000000" w:rsidP="00000000" w:rsidRDefault="00000000" w:rsidRPr="00000000" w14:paraId="000000A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A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3.4(d) (</w:t>
            </w:r>
            <w:r w:rsidDel="00000000" w:rsidR="00000000" w:rsidRPr="00000000">
              <w:rPr>
                <w:rFonts w:ascii="Arial" w:cs="Arial" w:eastAsia="Arial" w:hAnsi="Arial"/>
                <w:i w:val="1"/>
                <w:color w:val="000000"/>
                <w:rtl w:val="0"/>
              </w:rPr>
              <w:t xml:space="preserve">Delay damages and capacity shortfall damages</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B0">
            <w:pPr>
              <w:spacing w:after="120" w:before="120" w:lineRule="auto"/>
              <w:jc w:val="center"/>
              <w:rPr>
                <w:rFonts w:ascii="Arial" w:cs="Arial" w:eastAsia="Arial" w:hAnsi="Arial"/>
                <w:color w:val="000000"/>
              </w:rPr>
            </w:pPr>
            <w:r w:rsidDel="00000000" w:rsidR="00000000" w:rsidRPr="00000000">
              <w:rPr>
                <w:rFonts w:ascii="Arial" w:cs="Arial" w:eastAsia="Arial" w:hAnsi="Arial"/>
                <w:b w:val="1"/>
                <w:color w:val="ffffff"/>
                <w:rtl w:val="0"/>
              </w:rPr>
              <w:t xml:space="preserve">Availability or Volume Guarantee</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B3">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B4">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B5">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B6">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Availability Guarantee</w:t>
            </w:r>
          </w:p>
        </w:tc>
        <w:tc>
          <w:tcPr/>
          <w:p w:rsidR="00000000" w:rsidDel="00000000" w:rsidP="00000000" w:rsidRDefault="00000000" w:rsidRPr="00000000" w14:paraId="000000B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[Yes/No]</w:t>
            </w:r>
          </w:p>
        </w:tc>
        <w:tc>
          <w:tcPr/>
          <w:p w:rsidR="00000000" w:rsidDel="00000000" w:rsidP="00000000" w:rsidRDefault="00000000" w:rsidRPr="00000000" w14:paraId="000000B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10 (</w:t>
            </w:r>
            <w:r w:rsidDel="00000000" w:rsidR="00000000" w:rsidRPr="00000000">
              <w:rPr>
                <w:rFonts w:ascii="Arial" w:cs="Arial" w:eastAsia="Arial" w:hAnsi="Arial"/>
                <w:i w:val="1"/>
                <w:color w:val="000000"/>
                <w:rtl w:val="0"/>
              </w:rPr>
              <w:t xml:space="preserve">Availability guarantee</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B9">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Availability Damages  Rate</w:t>
            </w:r>
          </w:p>
        </w:tc>
        <w:tc>
          <w:tcPr/>
          <w:p w:rsidR="00000000" w:rsidDel="00000000" w:rsidP="00000000" w:rsidRDefault="00000000" w:rsidRPr="00000000" w14:paraId="000000B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To be set by the Buyer at Call-Off. To set either an all inclusive rate including compensation for lost Environmental Attributes or for transparency, two separate elements for lost power and for lost Environmental Attributes.  Example formula for an all-inclusive rate]</w:t>
            </w:r>
          </w:p>
          <w:p w:rsidR="00000000" w:rsidDel="00000000" w:rsidP="00000000" w:rsidRDefault="00000000" w:rsidRPr="00000000" w14:paraId="000000B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GBP [●] for each [1]% of the of the result of (Guaranteed Availability – Availability)</w:t>
            </w:r>
          </w:p>
        </w:tc>
        <w:tc>
          <w:tcPr/>
          <w:p w:rsidR="00000000" w:rsidDel="00000000" w:rsidP="00000000" w:rsidRDefault="00000000" w:rsidRPr="00000000" w14:paraId="000000B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Availability Damages Rate, Call-Off Schedule 26 (</w:t>
            </w:r>
            <w:r w:rsidDel="00000000" w:rsidR="00000000" w:rsidRPr="00000000">
              <w:rPr>
                <w:rFonts w:ascii="Arial" w:cs="Arial" w:eastAsia="Arial" w:hAnsi="Arial"/>
                <w:i w:val="1"/>
                <w:color w:val="000000"/>
                <w:rtl w:val="0"/>
              </w:rPr>
              <w:t xml:space="preserve">Availability Guarantee</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BD">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Maximum number of hours of planned maintenance per Contract Year</w:t>
            </w:r>
          </w:p>
        </w:tc>
        <w:tc>
          <w:tcPr/>
          <w:p w:rsidR="00000000" w:rsidDel="00000000" w:rsidP="00000000" w:rsidRDefault="00000000" w:rsidRPr="00000000" w14:paraId="000000B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0B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Deemed Generation Period, Call-Off Schedule 26 (</w:t>
            </w:r>
            <w:r w:rsidDel="00000000" w:rsidR="00000000" w:rsidRPr="00000000">
              <w:rPr>
                <w:rFonts w:ascii="Arial" w:cs="Arial" w:eastAsia="Arial" w:hAnsi="Arial"/>
                <w:i w:val="1"/>
                <w:color w:val="000000"/>
                <w:rtl w:val="0"/>
              </w:rPr>
              <w:t xml:space="preserve">Availability Guarantee</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C0">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Guaranteed Availability</w:t>
            </w:r>
          </w:p>
        </w:tc>
        <w:tc>
          <w:tcPr/>
          <w:p w:rsidR="00000000" w:rsidDel="00000000" w:rsidP="00000000" w:rsidRDefault="00000000" w:rsidRPr="00000000" w14:paraId="000000C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C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Guaranteed Availability, Call-Off Schedule 26 (</w:t>
            </w:r>
            <w:r w:rsidDel="00000000" w:rsidR="00000000" w:rsidRPr="00000000">
              <w:rPr>
                <w:rFonts w:ascii="Arial" w:cs="Arial" w:eastAsia="Arial" w:hAnsi="Arial"/>
                <w:i w:val="1"/>
                <w:color w:val="000000"/>
                <w:rtl w:val="0"/>
              </w:rPr>
              <w:t xml:space="preserve">Availability Guarantee</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C3">
      <w:pPr>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C4">
            <w:pPr>
              <w:spacing w:after="120" w:before="12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Default</w:t>
            </w:r>
          </w:p>
        </w:tc>
      </w:tr>
      <w:tr>
        <w:trPr>
          <w:cantSplit w:val="0"/>
          <w:tblHeader w:val="0"/>
        </w:trPr>
        <w:tc>
          <w:tcPr>
            <w:shd w:fill="d9d9d9" w:val="clear"/>
          </w:tcPr>
          <w:p w:rsidR="00000000" w:rsidDel="00000000" w:rsidP="00000000" w:rsidRDefault="00000000" w:rsidRPr="00000000" w14:paraId="000000C7">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C8">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C9">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Failure to Remedy Default (Working Days)</w:t>
            </w:r>
          </w:p>
        </w:tc>
        <w:tc>
          <w:tcPr/>
          <w:p w:rsidR="00000000" w:rsidDel="00000000" w:rsidP="00000000" w:rsidRDefault="00000000" w:rsidRPr="00000000" w14:paraId="000000C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Working Days</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C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Default,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CD">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Failure to Remedy Default (Days)</w:t>
            </w:r>
          </w:p>
        </w:tc>
        <w:tc>
          <w:tcPr/>
          <w:p w:rsidR="00000000" w:rsidDel="00000000" w:rsidP="00000000" w:rsidRDefault="00000000" w:rsidRPr="00000000" w14:paraId="000000C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days</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C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Default,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D0">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Continued Availability Failure</w:t>
            </w:r>
          </w:p>
        </w:tc>
        <w:tc>
          <w:tcPr/>
          <w:p w:rsidR="00000000" w:rsidDel="00000000" w:rsidP="00000000" w:rsidRDefault="00000000" w:rsidRPr="00000000" w14:paraId="000000D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D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Default,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D3">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Minimum Volume Guarantee</w:t>
            </w:r>
          </w:p>
        </w:tc>
        <w:tc>
          <w:tcPr/>
          <w:p w:rsidR="00000000" w:rsidDel="00000000" w:rsidP="00000000" w:rsidRDefault="00000000" w:rsidRPr="00000000" w14:paraId="000000D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MW</w:t>
            </w:r>
          </w:p>
        </w:tc>
        <w:tc>
          <w:tcPr/>
          <w:p w:rsidR="00000000" w:rsidDel="00000000" w:rsidP="00000000" w:rsidRDefault="00000000" w:rsidRPr="00000000" w14:paraId="000000D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Default,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D6">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Minimum Production Threshold in relation to Minimum Volume Guarantee </w:t>
            </w:r>
          </w:p>
        </w:tc>
        <w:tc>
          <w:tcPr/>
          <w:p w:rsidR="00000000" w:rsidDel="00000000" w:rsidP="00000000" w:rsidRDefault="00000000" w:rsidRPr="00000000" w14:paraId="000000D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MW</w:t>
            </w:r>
          </w:p>
        </w:tc>
        <w:tc>
          <w:tcPr/>
          <w:p w:rsidR="00000000" w:rsidDel="00000000" w:rsidP="00000000" w:rsidRDefault="00000000" w:rsidRPr="00000000" w14:paraId="000000D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Default, Joint Schedule 1 (</w:t>
            </w:r>
            <w:r w:rsidDel="00000000" w:rsidR="00000000" w:rsidRPr="00000000">
              <w:rPr>
                <w:rFonts w:ascii="Arial" w:cs="Arial" w:eastAsia="Arial" w:hAnsi="Arial"/>
                <w:i w:val="1"/>
                <w:color w:val="000000"/>
                <w:rtl w:val="0"/>
              </w:rPr>
              <w:t xml:space="preserve">Definitions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D9">
      <w:pPr>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DA">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Performance Security / Guarantees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DD">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DE">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DF">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E0">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Supplier Credit Support Minimum Required Amount</w:t>
            </w:r>
          </w:p>
        </w:tc>
        <w:tc>
          <w:tcPr/>
          <w:p w:rsidR="00000000" w:rsidDel="00000000" w:rsidP="00000000" w:rsidRDefault="00000000" w:rsidRPr="00000000" w14:paraId="000000E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E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3.10 (</w:t>
            </w:r>
            <w:r w:rsidDel="00000000" w:rsidR="00000000" w:rsidRPr="00000000">
              <w:rPr>
                <w:rFonts w:ascii="Arial" w:cs="Arial" w:eastAsia="Arial" w:hAnsi="Arial"/>
                <w:i w:val="1"/>
                <w:color w:val="000000"/>
                <w:rtl w:val="0"/>
              </w:rPr>
              <w:t xml:space="preserve">Supplier Credit Support</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E3">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form of Performance Security</w:t>
            </w:r>
          </w:p>
        </w:tc>
        <w:tc>
          <w:tcPr/>
          <w:p w:rsidR="00000000" w:rsidDel="00000000" w:rsidP="00000000" w:rsidRDefault="00000000" w:rsidRPr="00000000" w14:paraId="000000E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Buyer to specify additional acceptable forms of security such as a surety bond]</w:t>
            </w:r>
          </w:p>
          <w:p w:rsidR="00000000" w:rsidDel="00000000" w:rsidP="00000000" w:rsidRDefault="00000000" w:rsidRPr="00000000" w14:paraId="000000E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p w:rsidR="00000000" w:rsidDel="00000000" w:rsidP="00000000" w:rsidRDefault="00000000" w:rsidRPr="00000000" w14:paraId="000000E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Definition of Performance Security and Performance Security Release Date, Joint Schedule 8 (</w:t>
            </w:r>
            <w:r w:rsidDel="00000000" w:rsidR="00000000" w:rsidRPr="00000000">
              <w:rPr>
                <w:rFonts w:ascii="Arial" w:cs="Arial" w:eastAsia="Arial" w:hAnsi="Arial"/>
                <w:i w:val="1"/>
                <w:color w:val="000000"/>
                <w:rtl w:val="0"/>
              </w:rPr>
              <w:t xml:space="preserve">Guarantee</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E7">
      <w:pPr>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E8">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Payment and Invoicing Terms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EB">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EC">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ED">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EE">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Party to calculate payment under the Call-Off Contract</w:t>
            </w:r>
          </w:p>
        </w:tc>
        <w:tc>
          <w:tcPr/>
          <w:p w:rsidR="00000000" w:rsidDel="00000000" w:rsidP="00000000" w:rsidRDefault="00000000" w:rsidRPr="00000000" w14:paraId="000000E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[Supplier / Sleeving Provider] </w:t>
            </w:r>
          </w:p>
        </w:tc>
        <w:tc>
          <w:tcPr/>
          <w:p w:rsidR="00000000" w:rsidDel="00000000" w:rsidP="00000000" w:rsidRDefault="00000000" w:rsidRPr="00000000" w14:paraId="000000F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3.9 (</w:t>
            </w:r>
            <w:r w:rsidDel="00000000" w:rsidR="00000000" w:rsidRPr="00000000">
              <w:rPr>
                <w:rFonts w:ascii="Arial" w:cs="Arial" w:eastAsia="Arial" w:hAnsi="Arial"/>
                <w:i w:val="1"/>
                <w:color w:val="000000"/>
                <w:rtl w:val="0"/>
              </w:rPr>
              <w:t xml:space="preserve">Payment Terms</w:t>
            </w:r>
            <w:r w:rsidDel="00000000" w:rsidR="00000000" w:rsidRPr="00000000">
              <w:rPr>
                <w:rFonts w:ascii="Arial" w:cs="Arial" w:eastAsia="Arial" w:hAnsi="Arial"/>
                <w:color w:val="000000"/>
                <w:rtl w:val="0"/>
              </w:rPr>
              <w:t xml:space="preserve">), Framework Schedule 1 (</w:t>
            </w:r>
            <w:r w:rsidDel="00000000" w:rsidR="00000000" w:rsidRPr="00000000">
              <w:rPr>
                <w:rFonts w:ascii="Arial" w:cs="Arial" w:eastAsia="Arial" w:hAnsi="Arial"/>
                <w:i w:val="1"/>
                <w:color w:val="000000"/>
                <w:rtl w:val="0"/>
              </w:rPr>
              <w:t xml:space="preserve">Specification</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F1">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Sleeving Provider to issue invoices </w:t>
            </w:r>
          </w:p>
        </w:tc>
        <w:tc>
          <w:tcPr/>
          <w:p w:rsidR="00000000" w:rsidDel="00000000" w:rsidP="00000000" w:rsidRDefault="00000000" w:rsidRPr="00000000" w14:paraId="000000F2">
            <w:pPr>
              <w:spacing w:after="120" w:before="120" w:lineRule="auto"/>
              <w:rPr>
                <w:rFonts w:ascii="Arial" w:cs="Arial" w:eastAsia="Arial" w:hAnsi="Arial"/>
                <w:color w:val="000000"/>
              </w:rPr>
            </w:pPr>
            <w:bookmarkStart w:colFirst="0" w:colLast="0" w:name="_heading=h.2et92p0" w:id="4"/>
            <w:bookmarkEnd w:id="4"/>
            <w:r w:rsidDel="00000000" w:rsidR="00000000" w:rsidRPr="00000000">
              <w:rPr>
                <w:rFonts w:ascii="Arial" w:cs="Arial" w:eastAsia="Arial" w:hAnsi="Arial"/>
                <w:color w:val="000000"/>
                <w:rtl w:val="0"/>
              </w:rPr>
              <w:t xml:space="preserve">[Yes / No]</w:t>
            </w:r>
          </w:p>
        </w:tc>
        <w:tc>
          <w:tcPr/>
          <w:p w:rsidR="00000000" w:rsidDel="00000000" w:rsidP="00000000" w:rsidRDefault="00000000" w:rsidRPr="00000000" w14:paraId="000000F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11.2 (</w:t>
            </w:r>
            <w:r w:rsidDel="00000000" w:rsidR="00000000" w:rsidRPr="00000000">
              <w:rPr>
                <w:rFonts w:ascii="Arial" w:cs="Arial" w:eastAsia="Arial" w:hAnsi="Arial"/>
                <w:i w:val="1"/>
                <w:color w:val="000000"/>
                <w:rtl w:val="0"/>
              </w:rPr>
              <w:t xml:space="preserve">Invoicing</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0F4">
      <w:pPr>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0F5">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Operational Records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F8">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0F9">
            <w:pPr>
              <w:spacing w:after="120" w:before="120" w:lineRule="auto"/>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0FA">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0FB">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Records - specific information required for the technology </w:t>
            </w:r>
          </w:p>
        </w:tc>
        <w:tc>
          <w:tcPr/>
          <w:p w:rsidR="00000000" w:rsidDel="00000000" w:rsidP="00000000" w:rsidRDefault="00000000" w:rsidRPr="00000000" w14:paraId="000000FC">
            <w:pPr>
              <w:spacing w:after="120" w:before="120" w:lineRule="auto"/>
              <w:rPr>
                <w:rFonts w:ascii="Arial" w:cs="Arial" w:eastAsia="Arial" w:hAnsi="Arial"/>
                <w:color w:val="000000"/>
              </w:rPr>
            </w:pPr>
            <w:r w:rsidDel="00000000" w:rsidR="00000000" w:rsidRPr="00000000">
              <w:rPr>
                <w:b w:val="1"/>
                <w:highlight w:val="yellow"/>
                <w:rtl w:val="0"/>
              </w:rPr>
              <w:t xml:space="preserve">[Guidance Note</w:t>
            </w:r>
            <w:r w:rsidDel="00000000" w:rsidR="00000000" w:rsidRPr="00000000">
              <w:rPr>
                <w:highlight w:val="yellow"/>
                <w:rtl w:val="0"/>
              </w:rPr>
              <w:t xml:space="preserve">: Examples. To be defined by the Buyer based on its requirements.</w:t>
            </w:r>
            <w:r w:rsidDel="00000000" w:rsidR="00000000" w:rsidRPr="00000000">
              <w:rPr>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F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[Rainfall, wind speed, wind direction, irradiance, temperature etc.]</w:t>
            </w:r>
          </w:p>
        </w:tc>
        <w:tc>
          <w:tcPr/>
          <w:p w:rsidR="00000000" w:rsidDel="00000000" w:rsidP="00000000" w:rsidRDefault="00000000" w:rsidRPr="00000000" w14:paraId="000000F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16.2(A)(3) (</w:t>
            </w:r>
            <w:r w:rsidDel="00000000" w:rsidR="00000000" w:rsidRPr="00000000">
              <w:rPr>
                <w:rFonts w:ascii="Arial" w:cs="Arial" w:eastAsia="Arial" w:hAnsi="Arial"/>
                <w:i w:val="1"/>
                <w:color w:val="000000"/>
                <w:rtl w:val="0"/>
              </w:rPr>
              <w:t xml:space="preserve">Technical performance</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0FF">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Outages or Curtailment Events – percentage impact upon the Facility triggering the obligation to inform the Buyer</w:t>
            </w:r>
          </w:p>
        </w:tc>
        <w:tc>
          <w:tcPr/>
          <w:p w:rsidR="00000000" w:rsidDel="00000000" w:rsidP="00000000" w:rsidRDefault="00000000" w:rsidRPr="00000000" w14:paraId="0000010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0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16.3(B) (</w:t>
            </w:r>
            <w:r w:rsidDel="00000000" w:rsidR="00000000" w:rsidRPr="00000000">
              <w:rPr>
                <w:rFonts w:ascii="Arial" w:cs="Arial" w:eastAsia="Arial" w:hAnsi="Arial"/>
                <w:i w:val="1"/>
                <w:color w:val="000000"/>
                <w:rtl w:val="0"/>
              </w:rPr>
              <w:t xml:space="preserve">Unplanned Outages and Curtailment events</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 </w:t>
            </w:r>
          </w:p>
        </w:tc>
      </w:tr>
      <w:tr>
        <w:trPr>
          <w:cantSplit w:val="0"/>
          <w:tblHeader w:val="0"/>
        </w:trPr>
        <w:tc>
          <w:tcPr/>
          <w:p w:rsidR="00000000" w:rsidDel="00000000" w:rsidP="00000000" w:rsidRDefault="00000000" w:rsidRPr="00000000" w14:paraId="00000102">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information required by the Buyer for Operational Information </w:t>
            </w:r>
          </w:p>
        </w:tc>
        <w:tc>
          <w:tcPr/>
          <w:p w:rsidR="00000000" w:rsidDel="00000000" w:rsidP="00000000" w:rsidRDefault="00000000" w:rsidRPr="00000000" w14:paraId="0000010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tc>
        <w:tc>
          <w:tcPr/>
          <w:p w:rsidR="00000000" w:rsidDel="00000000" w:rsidP="00000000" w:rsidRDefault="00000000" w:rsidRPr="00000000" w14:paraId="0000010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16.3(D) (</w:t>
            </w:r>
            <w:r w:rsidDel="00000000" w:rsidR="00000000" w:rsidRPr="00000000">
              <w:rPr>
                <w:rFonts w:ascii="Arial" w:cs="Arial" w:eastAsia="Arial" w:hAnsi="Arial"/>
                <w:i w:val="1"/>
                <w:color w:val="000000"/>
                <w:rtl w:val="0"/>
              </w:rPr>
              <w:t xml:space="preserve">Other information</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 </w:t>
            </w:r>
          </w:p>
        </w:tc>
      </w:tr>
      <w:tr>
        <w:trPr>
          <w:cantSplit w:val="0"/>
          <w:tblHeader w:val="0"/>
        </w:trPr>
        <w:tc>
          <w:tcPr/>
          <w:p w:rsidR="00000000" w:rsidDel="00000000" w:rsidP="00000000" w:rsidRDefault="00000000" w:rsidRPr="00000000" w14:paraId="00000105">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Buyer and Sleeving Provider access to read-only feed of the generation data </w:t>
            </w:r>
          </w:p>
        </w:tc>
        <w:tc>
          <w:tcPr/>
          <w:p w:rsidR="00000000" w:rsidDel="00000000" w:rsidP="00000000" w:rsidRDefault="00000000" w:rsidRPr="00000000" w14:paraId="00000106">
            <w:pPr>
              <w:spacing w:after="120" w:before="120" w:lineRule="auto"/>
              <w:rPr>
                <w:rFonts w:ascii="Arial" w:cs="Arial" w:eastAsia="Arial" w:hAnsi="Arial"/>
                <w:color w:val="000000"/>
              </w:rPr>
            </w:pPr>
            <w:bookmarkStart w:colFirst="0" w:colLast="0" w:name="_heading=h.tyjcwt" w:id="5"/>
            <w:bookmarkEnd w:id="5"/>
            <w:r w:rsidDel="00000000" w:rsidR="00000000" w:rsidRPr="00000000">
              <w:rPr>
                <w:rFonts w:ascii="Arial" w:cs="Arial" w:eastAsia="Arial" w:hAnsi="Arial"/>
                <w:color w:val="000000"/>
                <w:rtl w:val="0"/>
              </w:rPr>
              <w:t xml:space="preserve">For the duration of the Settlement Term, Suppliers to provide the Buyer and the Sleeving Provider access to a read-only feed of the generation data recorded on the Facility’s SCADA System no later than [●] minutes after that data is recorded on the Facility’s SCADA System </w:t>
            </w:r>
          </w:p>
          <w:p w:rsidR="00000000" w:rsidDel="00000000" w:rsidP="00000000" w:rsidRDefault="00000000" w:rsidRPr="00000000" w14:paraId="0000010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[Yes / No]  [</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If Supplier has confirmed if it can provide this in in the Call-Off Tender]</w:t>
            </w:r>
          </w:p>
          <w:p w:rsidR="00000000" w:rsidDel="00000000" w:rsidP="00000000" w:rsidRDefault="00000000" w:rsidRPr="00000000" w14:paraId="0000010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color w:val="000000"/>
                <w:rtl w:val="0"/>
              </w:rPr>
              <w:t xml:space="preserve"> To be adapted to technology type:]</w:t>
            </w:r>
          </w:p>
          <w:p w:rsidR="00000000" w:rsidDel="00000000" w:rsidP="00000000" w:rsidRDefault="00000000" w:rsidRPr="00000000" w14:paraId="0000010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w:t>
              <w:tab/>
              <w:t xml:space="preserve">active power (kW);</w:t>
            </w:r>
          </w:p>
          <w:p w:rsidR="00000000" w:rsidDel="00000000" w:rsidP="00000000" w:rsidRDefault="00000000" w:rsidRPr="00000000" w14:paraId="0000010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(b)</w:t>
              <w:tab/>
              <w:t xml:space="preserve">active energy exported (kWHr);</w:t>
            </w:r>
          </w:p>
          <w:p w:rsidR="00000000" w:rsidDel="00000000" w:rsidP="00000000" w:rsidRDefault="00000000" w:rsidRPr="00000000" w14:paraId="0000010B">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Solar</w:t>
            </w:r>
          </w:p>
          <w:p w:rsidR="00000000" w:rsidDel="00000000" w:rsidP="00000000" w:rsidRDefault="00000000" w:rsidRPr="00000000" w14:paraId="0000010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(c)</w:t>
              <w:tab/>
              <w:t xml:space="preserve">[solar radiation data]</w:t>
            </w:r>
          </w:p>
          <w:p w:rsidR="00000000" w:rsidDel="00000000" w:rsidP="00000000" w:rsidRDefault="00000000" w:rsidRPr="00000000" w14:paraId="0000010D">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Wind</w:t>
            </w:r>
          </w:p>
          <w:p w:rsidR="00000000" w:rsidDel="00000000" w:rsidP="00000000" w:rsidRDefault="00000000" w:rsidRPr="00000000" w14:paraId="0000010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(c)        [wind speed (m/s);</w:t>
            </w:r>
          </w:p>
          <w:p w:rsidR="00000000" w:rsidDel="00000000" w:rsidP="00000000" w:rsidRDefault="00000000" w:rsidRPr="00000000" w14:paraId="0000010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w:t>
              <w:tab/>
              <w:t xml:space="preserve">nacelle direction (degrees);</w:t>
            </w:r>
          </w:p>
          <w:p w:rsidR="00000000" w:rsidDel="00000000" w:rsidP="00000000" w:rsidRDefault="00000000" w:rsidRPr="00000000" w14:paraId="0000011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(e)</w:t>
              <w:tab/>
              <w:t xml:space="preserve">rotor speed (rpm);</w:t>
            </w:r>
          </w:p>
          <w:p w:rsidR="00000000" w:rsidDel="00000000" w:rsidP="00000000" w:rsidRDefault="00000000" w:rsidRPr="00000000" w14:paraId="0000011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(f)</w:t>
              <w:tab/>
              <w:t xml:space="preserve">pitch angle (degrees)];</w:t>
            </w:r>
          </w:p>
        </w:tc>
        <w:tc>
          <w:tcPr/>
          <w:p w:rsidR="00000000" w:rsidDel="00000000" w:rsidP="00000000" w:rsidRDefault="00000000" w:rsidRPr="00000000" w14:paraId="0000011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16.4 (</w:t>
            </w:r>
            <w:r w:rsidDel="00000000" w:rsidR="00000000" w:rsidRPr="00000000">
              <w:rPr>
                <w:rFonts w:ascii="Arial" w:cs="Arial" w:eastAsia="Arial" w:hAnsi="Arial"/>
                <w:i w:val="1"/>
                <w:color w:val="000000"/>
                <w:rtl w:val="0"/>
              </w:rPr>
              <w:t xml:space="preserve">SCADA System</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113">
      <w:pPr>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114">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Force Majeure</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7">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shd w:fill="d9d9d9" w:val="clear"/>
          </w:tcPr>
          <w:p w:rsidR="00000000" w:rsidDel="00000000" w:rsidP="00000000" w:rsidRDefault="00000000" w:rsidRPr="00000000" w14:paraId="00000118">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shd w:fill="d9d9d9" w:val="clear"/>
          </w:tcPr>
          <w:p w:rsidR="00000000" w:rsidDel="00000000" w:rsidP="00000000" w:rsidRDefault="00000000" w:rsidRPr="00000000" w14:paraId="00000119">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p w:rsidR="00000000" w:rsidDel="00000000" w:rsidP="00000000" w:rsidRDefault="00000000" w:rsidRPr="00000000" w14:paraId="0000011A">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Settlement Period during a Force Majeure Event</w:t>
            </w:r>
          </w:p>
        </w:tc>
        <w:tc>
          <w:tcPr/>
          <w:p w:rsidR="00000000" w:rsidDel="00000000" w:rsidP="00000000" w:rsidRDefault="00000000" w:rsidRPr="00000000" w14:paraId="0000011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Settlement Period [shall] [shall not] be extended on a day-for-day basis for the duration of the Force Majeure Event.   </w:t>
            </w:r>
          </w:p>
        </w:tc>
        <w:tc>
          <w:tcPr/>
          <w:p w:rsidR="00000000" w:rsidDel="00000000" w:rsidP="00000000" w:rsidRDefault="00000000" w:rsidRPr="00000000" w14:paraId="0000011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19.1(B) (</w:t>
            </w:r>
            <w:r w:rsidDel="00000000" w:rsidR="00000000" w:rsidRPr="00000000">
              <w:rPr>
                <w:rFonts w:ascii="Arial" w:cs="Arial" w:eastAsia="Arial" w:hAnsi="Arial"/>
                <w:i w:val="1"/>
                <w:color w:val="000000"/>
                <w:rtl w:val="0"/>
              </w:rPr>
              <w:t xml:space="preserve">Effect of Force Majeure),</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w:t>
            </w:r>
          </w:p>
        </w:tc>
      </w:tr>
      <w:tr>
        <w:trPr>
          <w:cantSplit w:val="0"/>
          <w:tblHeader w:val="0"/>
        </w:trPr>
        <w:tc>
          <w:tcPr/>
          <w:p w:rsidR="00000000" w:rsidDel="00000000" w:rsidP="00000000" w:rsidRDefault="00000000" w:rsidRPr="00000000" w14:paraId="0000011D">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 Call-Off Contract may be terminated if a Force Majeure Event continues for this number of days</w:t>
            </w:r>
          </w:p>
        </w:tc>
        <w:tc>
          <w:tcPr/>
          <w:p w:rsidR="00000000" w:rsidDel="00000000" w:rsidP="00000000" w:rsidRDefault="00000000" w:rsidRPr="00000000" w14:paraId="0000011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days</w:t>
            </w:r>
          </w:p>
          <w:p w:rsidR="00000000" w:rsidDel="00000000" w:rsidP="00000000" w:rsidRDefault="00000000" w:rsidRPr="00000000" w14:paraId="0000011F">
            <w:pPr>
              <w:spacing w:after="120" w:before="120" w:lineRule="auto"/>
              <w:rPr>
                <w:rFonts w:ascii="Arial" w:cs="Arial" w:eastAsia="Arial" w:hAnsi="Arial"/>
                <w:color w:val="000000"/>
              </w:rPr>
            </w:pPr>
            <w:r w:rsidDel="00000000" w:rsidR="00000000" w:rsidRPr="00000000">
              <w:rPr>
                <w:b w:val="1"/>
                <w:rtl w:val="0"/>
              </w:rPr>
              <w:t xml:space="preserve">[</w:t>
            </w:r>
            <w:r w:rsidDel="00000000" w:rsidR="00000000" w:rsidRPr="00000000">
              <w:rPr>
                <w:b w:val="1"/>
                <w:highlight w:val="yellow"/>
                <w:rtl w:val="0"/>
              </w:rPr>
              <w:t xml:space="preserve">Guidance Note</w:t>
            </w:r>
            <w:r w:rsidDel="00000000" w:rsidR="00000000" w:rsidRPr="00000000">
              <w:rPr>
                <w:highlight w:val="yellow"/>
                <w:rtl w:val="0"/>
              </w:rPr>
              <w:t xml:space="preserve">:</w:t>
            </w:r>
            <w:r w:rsidDel="00000000" w:rsidR="00000000" w:rsidRPr="00000000">
              <w:rPr>
                <w:rtl w:val="0"/>
              </w:rPr>
              <w:t xml:space="preserve"> Between 90 and 365 days]</w:t>
            </w:r>
            <w:r w:rsidDel="00000000" w:rsidR="00000000" w:rsidRPr="00000000">
              <w:rPr>
                <w:rtl w:val="0"/>
              </w:rPr>
            </w:r>
          </w:p>
        </w:tc>
        <w:tc>
          <w:tcPr/>
          <w:p w:rsidR="00000000" w:rsidDel="00000000" w:rsidP="00000000" w:rsidRDefault="00000000" w:rsidRPr="00000000" w14:paraId="0000012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19.3 (</w:t>
            </w:r>
            <w:r w:rsidDel="00000000" w:rsidR="00000000" w:rsidRPr="00000000">
              <w:rPr>
                <w:rFonts w:ascii="Arial" w:cs="Arial" w:eastAsia="Arial" w:hAnsi="Arial"/>
                <w:i w:val="1"/>
                <w:color w:val="000000"/>
                <w:rtl w:val="0"/>
              </w:rPr>
              <w:t xml:space="preserve">Termination due to Force Majeure</w:t>
            </w:r>
            <w:r w:rsidDel="00000000" w:rsidR="00000000" w:rsidRPr="00000000">
              <w:rPr>
                <w:rFonts w:ascii="Arial" w:cs="Arial" w:eastAsia="Arial" w:hAnsi="Arial"/>
                <w:color w:val="000000"/>
                <w:rtl w:val="0"/>
              </w:rPr>
              <w:t xml:space="preserve">), Call-Off Schedule 25 (</w:t>
            </w:r>
            <w:r w:rsidDel="00000000" w:rsidR="00000000" w:rsidRPr="00000000">
              <w:rPr>
                <w:rFonts w:ascii="Arial" w:cs="Arial" w:eastAsia="Arial" w:hAnsi="Arial"/>
                <w:i w:val="1"/>
                <w:color w:val="000000"/>
                <w:rtl w:val="0"/>
              </w:rPr>
              <w:t xml:space="preserve">Call-Off PPA Terms</w:t>
            </w: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123">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Environmental Attributes</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26">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tcBorders>
              <w:bottom w:color="000000" w:space="0" w:sz="4" w:val="single"/>
            </w:tcBorders>
          </w:tcPr>
          <w:p w:rsidR="00000000" w:rsidDel="00000000" w:rsidP="00000000" w:rsidRDefault="00000000" w:rsidRPr="00000000" w14:paraId="00000127">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tcBorders>
              <w:bottom w:color="000000" w:space="0" w:sz="4" w:val="single"/>
            </w:tcBorders>
          </w:tcPr>
          <w:p w:rsidR="00000000" w:rsidDel="00000000" w:rsidP="00000000" w:rsidRDefault="00000000" w:rsidRPr="00000000" w14:paraId="00000128">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Environmental Attribute Damages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of the Average Environmental Attribute Value for such Environmental Attribute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7.2 (</w:t>
            </w:r>
            <w:r w:rsidDel="00000000" w:rsidR="00000000" w:rsidRPr="00000000">
              <w:rPr>
                <w:rFonts w:ascii="Arial" w:cs="Arial" w:eastAsia="Arial" w:hAnsi="Arial"/>
                <w:i w:val="1"/>
                <w:color w:val="000000"/>
                <w:rtl w:val="0"/>
              </w:rPr>
              <w:t xml:space="preserve">Failure to Convey or Ineffectiveness of Environmental Attributes</w:t>
            </w:r>
            <w:r w:rsidDel="00000000" w:rsidR="00000000" w:rsidRPr="00000000">
              <w:rPr>
                <w:rFonts w:ascii="Arial" w:cs="Arial" w:eastAsia="Arial" w:hAnsi="Arial"/>
                <w:color w:val="000000"/>
                <w:rtl w:val="0"/>
              </w:rPr>
              <w:t xml:space="preserve">), Call-Off Schedule 27 (</w:t>
            </w:r>
            <w:r w:rsidDel="00000000" w:rsidR="00000000" w:rsidRPr="00000000">
              <w:rPr>
                <w:rFonts w:ascii="Arial" w:cs="Arial" w:eastAsia="Arial" w:hAnsi="Arial"/>
                <w:i w:val="1"/>
                <w:color w:val="000000"/>
                <w:rtl w:val="0"/>
              </w:rPr>
              <w:t xml:space="preserve">Environmental Attributes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12C">
      <w:pPr>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4678"/>
        <w:gridCol w:w="2075"/>
        <w:tblGridChange w:id="0">
          <w:tblGrid>
            <w:gridCol w:w="2263"/>
            <w:gridCol w:w="4678"/>
            <w:gridCol w:w="2075"/>
          </w:tblGrid>
        </w:tblGridChange>
      </w:tblGrid>
      <w:tr>
        <w:trPr>
          <w:cantSplit w:val="0"/>
          <w:tblHeader w:val="0"/>
        </w:trPr>
        <w:tc>
          <w:tcPr>
            <w:gridSpan w:val="3"/>
            <w:shd w:fill="fb515b" w:val="clear"/>
          </w:tcPr>
          <w:p w:rsidR="00000000" w:rsidDel="00000000" w:rsidP="00000000" w:rsidRDefault="00000000" w:rsidRPr="00000000" w14:paraId="0000012D">
            <w:pPr>
              <w:spacing w:after="120" w:before="120" w:lineRule="auto"/>
              <w:jc w:val="center"/>
              <w:rPr>
                <w:rFonts w:ascii="Arial" w:cs="Arial" w:eastAsia="Arial" w:hAnsi="Arial"/>
                <w:b w:val="1"/>
                <w:color w:val="000000"/>
              </w:rPr>
            </w:pPr>
            <w:r w:rsidDel="00000000" w:rsidR="00000000" w:rsidRPr="00000000">
              <w:rPr>
                <w:rFonts w:ascii="Arial" w:cs="Arial" w:eastAsia="Arial" w:hAnsi="Arial"/>
                <w:b w:val="1"/>
                <w:color w:val="ffffff"/>
                <w:rtl w:val="0"/>
              </w:rPr>
              <w:t xml:space="preserve">Sleeving</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0">
            <w:pPr>
              <w:spacing w:after="120" w:before="120" w:lineRule="auto"/>
              <w:rPr>
                <w:rFonts w:ascii="Arial" w:cs="Arial" w:eastAsia="Arial" w:hAnsi="Arial"/>
                <w:b w:val="1"/>
                <w:color w:val="000000"/>
              </w:rPr>
            </w:pPr>
            <w:r w:rsidDel="00000000" w:rsidR="00000000" w:rsidRPr="00000000">
              <w:rPr>
                <w:rFonts w:ascii="Arial" w:cs="Arial" w:eastAsia="Arial" w:hAnsi="Arial"/>
                <w:b w:val="1"/>
                <w:rtl w:val="0"/>
              </w:rPr>
              <w:t xml:space="preserve">Term</w:t>
            </w:r>
            <w:r w:rsidDel="00000000" w:rsidR="00000000" w:rsidRPr="00000000">
              <w:rPr>
                <w:rtl w:val="0"/>
              </w:rPr>
            </w:r>
          </w:p>
        </w:tc>
        <w:tc>
          <w:tcPr>
            <w:tcBorders>
              <w:bottom w:color="000000" w:space="0" w:sz="4" w:val="single"/>
            </w:tcBorders>
          </w:tcPr>
          <w:p w:rsidR="00000000" w:rsidDel="00000000" w:rsidP="00000000" w:rsidRDefault="00000000" w:rsidRPr="00000000" w14:paraId="00000131">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Specification</w:t>
            </w:r>
            <w:r w:rsidDel="00000000" w:rsidR="00000000" w:rsidRPr="00000000">
              <w:rPr>
                <w:rtl w:val="0"/>
              </w:rPr>
            </w:r>
          </w:p>
        </w:tc>
        <w:tc>
          <w:tcPr>
            <w:tcBorders>
              <w:bottom w:color="000000" w:space="0" w:sz="4" w:val="single"/>
            </w:tcBorders>
          </w:tcPr>
          <w:p w:rsidR="00000000" w:rsidDel="00000000" w:rsidP="00000000" w:rsidRDefault="00000000" w:rsidRPr="00000000" w14:paraId="00000132">
            <w:pPr>
              <w:spacing w:after="120" w:before="120" w:lineRule="auto"/>
              <w:rPr>
                <w:rFonts w:ascii="Arial" w:cs="Arial" w:eastAsia="Arial" w:hAnsi="Arial"/>
                <w:color w:val="000000"/>
              </w:rPr>
            </w:pPr>
            <w:r w:rsidDel="00000000" w:rsidR="00000000" w:rsidRPr="00000000">
              <w:rPr>
                <w:rFonts w:ascii="Arial" w:cs="Arial" w:eastAsia="Arial" w:hAnsi="Arial"/>
                <w:b w:val="1"/>
                <w:rtl w:val="0"/>
              </w:rPr>
              <w:t xml:space="preserve">Reference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Joinder Provisions for Expert Determination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Joinder provisions apply:  [Yes] [No]</w:t>
            </w:r>
          </w:p>
          <w:p w:rsidR="00000000" w:rsidDel="00000000" w:rsidP="00000000" w:rsidRDefault="00000000" w:rsidRPr="00000000" w14:paraId="00000135">
            <w:pPr>
              <w:spacing w:after="120" w:before="120" w:lineRule="auto"/>
              <w:rPr>
                <w:rFonts w:ascii="Arial" w:cs="Arial" w:eastAsia="Arial" w:hAnsi="Arial"/>
                <w:color w:val="000000"/>
              </w:rPr>
            </w:pPr>
            <w:bookmarkStart w:colFirst="0" w:colLast="0" w:name="_heading=h.3dy6vkm" w:id="6"/>
            <w:bookmarkEnd w:id="6"/>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color w:val="000000"/>
                <w:highlight w:val="yellow"/>
                <w:rtl w:val="0"/>
              </w:rPr>
              <w:t xml:space="preserve">Guidance Note:</w:t>
            </w:r>
            <w:r w:rsidDel="00000000" w:rsidR="00000000" w:rsidRPr="00000000">
              <w:rPr>
                <w:rFonts w:ascii="Arial" w:cs="Arial" w:eastAsia="Arial" w:hAnsi="Arial"/>
                <w:color w:val="000000"/>
                <w:rtl w:val="0"/>
              </w:rPr>
              <w:t xml:space="preserve">  Buyers to determine whether under their sleeving arrangements, it is appropriate to include these joinder provisions.]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5 (</w:t>
            </w:r>
            <w:r w:rsidDel="00000000" w:rsidR="00000000" w:rsidRPr="00000000">
              <w:rPr>
                <w:rFonts w:ascii="Arial" w:cs="Arial" w:eastAsia="Arial" w:hAnsi="Arial"/>
                <w:i w:val="1"/>
                <w:color w:val="000000"/>
                <w:rtl w:val="0"/>
              </w:rPr>
              <w:t xml:space="preserve">Joinder</w:t>
            </w:r>
            <w:r w:rsidDel="00000000" w:rsidR="00000000" w:rsidRPr="00000000">
              <w:rPr>
                <w:rFonts w:ascii="Arial" w:cs="Arial" w:eastAsia="Arial" w:hAnsi="Arial"/>
                <w:color w:val="000000"/>
                <w:rtl w:val="0"/>
              </w:rPr>
              <w:t xml:space="preserve">), Call-Off Schedule 30 (</w:t>
            </w:r>
            <w:r w:rsidDel="00000000" w:rsidR="00000000" w:rsidRPr="00000000">
              <w:rPr>
                <w:rFonts w:ascii="Arial" w:cs="Arial" w:eastAsia="Arial" w:hAnsi="Arial"/>
                <w:i w:val="1"/>
                <w:color w:val="000000"/>
                <w:rtl w:val="0"/>
              </w:rPr>
              <w:t xml:space="preserve">Sleeving Arrangements</w:t>
            </w:r>
            <w:r w:rsidDel="00000000" w:rsidR="00000000" w:rsidRPr="00000000">
              <w:rPr>
                <w:rFonts w:ascii="Arial" w:cs="Arial" w:eastAsia="Arial" w:hAnsi="Arial"/>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Percentage of price for Contract Electricity, where System Sell Price is positive, if Sleeving Provider remains Registrant following expiry or termination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Paragraph 3(D) (</w:t>
            </w:r>
            <w:r w:rsidDel="00000000" w:rsidR="00000000" w:rsidRPr="00000000">
              <w:rPr>
                <w:rFonts w:ascii="Arial" w:cs="Arial" w:eastAsia="Arial" w:hAnsi="Arial"/>
                <w:i w:val="1"/>
                <w:color w:val="000000"/>
                <w:rtl w:val="0"/>
              </w:rPr>
              <w:t xml:space="preserve">Meter De-Registration</w:t>
            </w:r>
            <w:r w:rsidDel="00000000" w:rsidR="00000000" w:rsidRPr="00000000">
              <w:rPr>
                <w:rFonts w:ascii="Arial" w:cs="Arial" w:eastAsia="Arial" w:hAnsi="Arial"/>
                <w:color w:val="000000"/>
                <w:rtl w:val="0"/>
              </w:rPr>
              <w:t xml:space="preserve">), Call-Off Schedule 30 (</w:t>
            </w:r>
            <w:r w:rsidDel="00000000" w:rsidR="00000000" w:rsidRPr="00000000">
              <w:rPr>
                <w:rFonts w:ascii="Arial" w:cs="Arial" w:eastAsia="Arial" w:hAnsi="Arial"/>
                <w:i w:val="1"/>
                <w:color w:val="000000"/>
                <w:rtl w:val="0"/>
              </w:rPr>
              <w:t xml:space="preserve">Sleeving Arrangements</w:t>
            </w:r>
            <w:r w:rsidDel="00000000" w:rsidR="00000000" w:rsidRPr="00000000">
              <w:rPr>
                <w:rFonts w:ascii="Arial" w:cs="Arial" w:eastAsia="Arial" w:hAnsi="Arial"/>
                <w:color w:val="000000"/>
                <w:rtl w:val="0"/>
              </w:rPr>
              <w:t xml:space="preserve">)</w:t>
            </w:r>
          </w:p>
        </w:tc>
      </w:tr>
    </w:tbl>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jc w:val="both"/>
        <w:rPr>
          <w:rFonts w:ascii="Arial" w:cs="Arial" w:eastAsia="Arial" w:hAnsi="Arial"/>
          <w:smallCaps w:val="1"/>
          <w:color w:val="000000"/>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RM6289 Provision of Power Purchase Agreement</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20 (Call-Off Specification)</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rPr>
  </w:style>
  <w:style w:type="character" w:styleId="BodyTextIndentChar" w:customStyle="1">
    <w:name w:val="Body Text Indent Char"/>
    <w:basedOn w:val="DefaultParagraphFont"/>
    <w:link w:val="BodyTextIndent"/>
    <w:rPr>
      <w:rFonts w:cs="Times New Roman" w:eastAsia="Times New Roma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nhideWhenUsed w:val="1"/>
    <w:pPr>
      <w:spacing w:after="0" w:line="240" w:lineRule="auto"/>
    </w:pPr>
    <w:rPr>
      <w:sz w:val="20"/>
      <w:szCs w:val="20"/>
    </w:rPr>
  </w:style>
  <w:style w:type="character" w:styleId="FootnoteTextChar" w:customStyle="1">
    <w:name w:val="Footnote Text Char"/>
    <w:basedOn w:val="DefaultParagraphFont"/>
    <w:link w:val="FootnoteText"/>
    <w:rPr>
      <w:rFonts w:ascii="Calibri" w:cs="Times New Roman" w:eastAsia="Calibri" w:hAnsi="Calibri"/>
      <w:sz w:val="20"/>
      <w:szCs w:val="20"/>
    </w:rPr>
  </w:style>
  <w:style w:type="character" w:styleId="FootnoteReference">
    <w:name w:val="footnote reference"/>
    <w:basedOn w:val="DefaultParagraphFont"/>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2Numbered" w:customStyle="1">
    <w:name w:val="GPS L2 Numbered"/>
    <w:basedOn w:val="GPSL2NumberedBoldHeading"/>
    <w:link w:val="GPSL2NumberedChar"/>
    <w:qFormat w:val="1"/>
    <w:rsid w:val="007E12FE"/>
    <w:pPr>
      <w:numPr>
        <w:ilvl w:val="0"/>
        <w:numId w:val="0"/>
      </w:numPr>
      <w:tabs>
        <w:tab w:val="left" w:pos="709"/>
        <w:tab w:val="left" w:pos="1134"/>
      </w:tabs>
      <w:ind w:left="644" w:hanging="360"/>
    </w:pPr>
  </w:style>
  <w:style w:type="character" w:styleId="GPSL2NumberedChar" w:customStyle="1">
    <w:name w:val="GPS L2 Numbered Char"/>
    <w:link w:val="GPSL2Numbered"/>
    <w:locked w:val="1"/>
    <w:rsid w:val="007E12FE"/>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E12FE"/>
    <w:rPr>
      <w:rFonts w:ascii="Calibri" w:cs="Arial" w:eastAsia="Times New Roman" w:hAnsi="Calibri"/>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DA3F90"/>
    <w:pPr>
      <w:spacing w:after="0" w:line="240" w:lineRule="auto"/>
    </w:pPr>
    <w:rPr>
      <w:rFonts w:cs="Times New Roman"/>
    </w:rPr>
  </w:style>
  <w:style w:type="paragraph" w:styleId="Definitions" w:customStyle="1">
    <w:name w:val="Definitions"/>
    <w:basedOn w:val="Normal"/>
    <w:uiPriority w:val="1"/>
    <w:rsid w:val="00887C96"/>
    <w:pPr>
      <w:numPr>
        <w:numId w:val="5"/>
      </w:numPr>
      <w:spacing w:after="260" w:line="240" w:lineRule="auto"/>
      <w:jc w:val="both"/>
    </w:pPr>
    <w:rPr>
      <w:rFonts w:ascii="Arial" w:hAnsi="Arial" w:cstheme="minorBidi" w:eastAsiaTheme="minorHAnsi"/>
      <w:lang w:eastAsia="en-US"/>
    </w:rPr>
  </w:style>
  <w:style w:type="paragraph" w:styleId="Definitions1" w:customStyle="1">
    <w:name w:val="Definitions 1"/>
    <w:basedOn w:val="Normal"/>
    <w:uiPriority w:val="1"/>
    <w:rsid w:val="00887C96"/>
    <w:pPr>
      <w:numPr>
        <w:ilvl w:val="1"/>
        <w:numId w:val="5"/>
      </w:numPr>
      <w:spacing w:after="260" w:line="240" w:lineRule="auto"/>
      <w:jc w:val="both"/>
      <w:outlineLvl w:val="1"/>
    </w:pPr>
    <w:rPr>
      <w:rFonts w:ascii="Arial" w:hAnsi="Arial" w:cstheme="minorBidi" w:eastAsiaTheme="minorHAnsi"/>
      <w:lang w:eastAsia="en-US"/>
    </w:rPr>
  </w:style>
  <w:style w:type="paragraph" w:styleId="Definitions2" w:customStyle="1">
    <w:name w:val="Definitions 2"/>
    <w:basedOn w:val="Normal"/>
    <w:uiPriority w:val="1"/>
    <w:rsid w:val="00887C96"/>
    <w:pPr>
      <w:numPr>
        <w:ilvl w:val="2"/>
        <w:numId w:val="5"/>
      </w:numPr>
      <w:spacing w:after="260" w:line="240" w:lineRule="auto"/>
      <w:jc w:val="both"/>
      <w:outlineLvl w:val="2"/>
    </w:pPr>
    <w:rPr>
      <w:rFonts w:ascii="Arial" w:hAnsi="Arial" w:cstheme="minorBidi" w:eastAsiaTheme="minorHAnsi"/>
      <w:lang w:eastAsia="en-US"/>
    </w:rPr>
  </w:style>
  <w:style w:type="paragraph" w:styleId="ssqAgendar" w:customStyle="1">
    <w:name w:val="ssqAgendar"/>
    <w:basedOn w:val="Normal"/>
    <w:next w:val="Normal"/>
    <w:semiHidden w:val="1"/>
    <w:rsid w:val="00887C96"/>
    <w:pPr>
      <w:pageBreakBefore w:val="1"/>
      <w:numPr>
        <w:numId w:val="4"/>
      </w:numPr>
      <w:spacing w:after="260" w:line="240" w:lineRule="auto"/>
      <w:jc w:val="center"/>
    </w:pPr>
    <w:rPr>
      <w:rFonts w:eastAsia="MingLiU" w:asciiTheme="minorHAnsi" w:cstheme="minorBidi" w:hAnsiTheme="minorHAnsi"/>
      <w:b w:val="1"/>
      <w:caps w:val="1"/>
      <w:lang w:eastAsia="en-US"/>
    </w:rPr>
  </w:style>
  <w:style w:type="paragraph" w:styleId="ListParagraph">
    <w:name w:val="List Paragraph"/>
    <w:basedOn w:val="Normal"/>
    <w:uiPriority w:val="34"/>
    <w:qFormat w:val="1"/>
    <w:rsid w:val="0013012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V5ExaWXpZkxb/cW7F/8+0GqHw==">CgMxLjAyCWguMWZvYjl0ZTIIaC5namRneHMyCWguMzBqMHpsbDIJaC4zem55c2g3MgloLjJldDkycDAyCGgudHlqY3d0MgloLjNkeTZ2a204AGokChRzdWdnZXN0LmVkbGtxd2lkZGVmbBIMS2FzaGlmIEFmc2FyaiQKFHN1Z2dlc3QuZWNvdWRlNjNubWFnEgxLYXNoaWYgQWZzYXJqJAoUc3VnZ2VzdC5xNHFod2hoM2JxZHkSDEthc2hpZiBBZnNhcmokChRzdWdnZXN0LnBkYTAydDlrdGk4NRIMS2FzaGlmIEFmc2FyciExLUV5b0V3UjNaYmkxRWpqMVBYUDNDLW9LUWhXekNu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2024-08-16T15:59:00Z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iManageFooter">
    <vt:lpwstr>#109517325v6&lt;L_LIVE_EMEA1&gt; - PPA v3.0 (Call-Off Schedule 20 - Call-Off Specification)</vt:lpwstr>
  </property>
</Properties>
</file>