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C0FE6" w14:textId="4C605AD4" w:rsidR="005508CB" w:rsidRDefault="005508CB" w:rsidP="005508CB">
      <w:pPr>
        <w:jc w:val="left"/>
        <w:rPr>
          <w:rFonts w:asciiTheme="minorHAnsi" w:eastAsia="MingLiU" w:hAnsiTheme="minorHAnsi" w:cs="Times New Roman"/>
          <w:b/>
          <w:caps/>
          <w:lang w:eastAsia="en-GB"/>
        </w:rPr>
      </w:pPr>
      <w:bookmarkStart w:id="0" w:name="_Hlk169517077"/>
      <w:r>
        <w:rPr>
          <w:rFonts w:eastAsia="Arial" w:cs="Arial"/>
          <w:b/>
          <w:sz w:val="36"/>
          <w:szCs w:val="36"/>
        </w:rPr>
        <w:t xml:space="preserve">Call-Off Schedule 31 (New Build Facilities) </w:t>
      </w:r>
    </w:p>
    <w:bookmarkEnd w:id="0"/>
    <w:p w14:paraId="096ADCE3" w14:textId="6C32EE86" w:rsidR="00FB385C" w:rsidRDefault="00FB385C"/>
    <w:p w14:paraId="7D46D21E" w14:textId="4DE8EBED" w:rsidR="005508CB" w:rsidRDefault="005508CB" w:rsidP="005508CB">
      <w:pPr>
        <w:pStyle w:val="ssPara1"/>
        <w:numPr>
          <w:ilvl w:val="0"/>
          <w:numId w:val="0"/>
        </w:numPr>
      </w:pPr>
      <w:bookmarkStart w:id="1" w:name="_Toc167264697"/>
      <w:r w:rsidRPr="005508CB">
        <w:rPr>
          <w:b/>
          <w:bCs/>
          <w:highlight w:val="yellow"/>
        </w:rPr>
        <w:t>[</w:t>
      </w:r>
      <w:r w:rsidR="007A5C9C">
        <w:rPr>
          <w:b/>
          <w:bCs/>
          <w:highlight w:val="yellow"/>
        </w:rPr>
        <w:t>Guidance</w:t>
      </w:r>
      <w:r w:rsidR="007A5C9C" w:rsidRPr="005508CB">
        <w:rPr>
          <w:b/>
          <w:bCs/>
          <w:highlight w:val="yellow"/>
        </w:rPr>
        <w:t xml:space="preserve"> </w:t>
      </w:r>
      <w:r w:rsidRPr="005508CB">
        <w:rPr>
          <w:b/>
          <w:bCs/>
          <w:highlight w:val="yellow"/>
        </w:rPr>
        <w:t xml:space="preserve">Note: </w:t>
      </w:r>
      <w:r w:rsidRPr="0041078F">
        <w:t>Applicable to New Build Facilities only]</w:t>
      </w:r>
    </w:p>
    <w:p w14:paraId="737B7E98" w14:textId="124D9B40" w:rsidR="00161735" w:rsidRDefault="00161735" w:rsidP="00161735">
      <w:pPr>
        <w:pStyle w:val="Heading1"/>
      </w:pPr>
      <w:r>
        <w:t>Definitions used only in this Call-Off Schedule 31 (</w:t>
      </w:r>
      <w:r w:rsidRPr="00161735">
        <w:rPr>
          <w:i/>
          <w:iCs/>
        </w:rPr>
        <w:t>New Build Facilities</w:t>
      </w:r>
      <w:r>
        <w:t>)</w:t>
      </w:r>
    </w:p>
    <w:p w14:paraId="7EC90706" w14:textId="1D272B52" w:rsidR="00161735" w:rsidRDefault="00161735" w:rsidP="00161735">
      <w:pPr>
        <w:pStyle w:val="ssPara1"/>
        <w:rPr>
          <w:lang w:eastAsia="en-GB"/>
        </w:rPr>
      </w:pPr>
      <w:r w:rsidRPr="00161735">
        <w:rPr>
          <w:lang w:eastAsia="en-GB"/>
        </w:rPr>
        <w:t>“</w:t>
      </w:r>
      <w:r w:rsidRPr="00161735">
        <w:rPr>
          <w:b/>
          <w:bCs/>
          <w:lang w:eastAsia="en-GB"/>
        </w:rPr>
        <w:t>Capacity Shortfall</w:t>
      </w:r>
      <w:r w:rsidRPr="00161735">
        <w:rPr>
          <w:lang w:eastAsia="en-GB"/>
        </w:rPr>
        <w:t>”</w:t>
      </w:r>
      <w:r>
        <w:rPr>
          <w:lang w:eastAsia="en-GB"/>
        </w:rPr>
        <w:t xml:space="preserve"> means the result of </w:t>
      </w:r>
      <w:r w:rsidRPr="00161735">
        <w:rPr>
          <w:lang w:eastAsia="en-GB"/>
        </w:rPr>
        <w:t>Buyer's Capacity less the result of (Buyer’s Percentage multiplied by the Nameplate Capacity), if this is a positive number;</w:t>
      </w:r>
    </w:p>
    <w:p w14:paraId="6986BE25" w14:textId="5CC9B813" w:rsidR="00A464A1" w:rsidRDefault="00A464A1" w:rsidP="00161735">
      <w:pPr>
        <w:pStyle w:val="ssPara1"/>
        <w:rPr>
          <w:lang w:eastAsia="en-GB"/>
        </w:rPr>
      </w:pPr>
      <w:r>
        <w:rPr>
          <w:lang w:eastAsia="en-GB"/>
        </w:rPr>
        <w:t>"</w:t>
      </w:r>
      <w:r w:rsidRPr="009A647A">
        <w:rPr>
          <w:b/>
          <w:bCs/>
          <w:lang w:eastAsia="en-GB"/>
        </w:rPr>
        <w:t>Delay Damages</w:t>
      </w:r>
      <w:r>
        <w:rPr>
          <w:lang w:eastAsia="en-GB"/>
        </w:rPr>
        <w:t>" means, for each day of delay to achievement of the Actual COD, the sum of the following:</w:t>
      </w:r>
    </w:p>
    <w:p w14:paraId="535031EB" w14:textId="77777777" w:rsidR="00FC2AAB" w:rsidRDefault="00FC2AAB" w:rsidP="00A464A1">
      <w:pPr>
        <w:pStyle w:val="ssNoHeading3"/>
      </w:pPr>
      <w:r>
        <w:t>the result of the following calculation, if it is a positive number:</w:t>
      </w:r>
    </w:p>
    <w:p w14:paraId="0A24C233" w14:textId="6DB071C3" w:rsidR="00A464A1" w:rsidRPr="00FC2AAB" w:rsidRDefault="00FC2AAB" w:rsidP="00FC2AAB">
      <w:pPr>
        <w:pStyle w:val="Heading4"/>
        <w:rPr>
          <w:b w:val="0"/>
          <w:bCs w:val="0"/>
        </w:rPr>
      </w:pPr>
      <w:r w:rsidRPr="00FC2AAB">
        <w:rPr>
          <w:b w:val="0"/>
          <w:bCs w:val="0"/>
        </w:rPr>
        <w:t xml:space="preserve">the </w:t>
      </w:r>
      <w:r w:rsidR="00A464A1" w:rsidRPr="00FC2AAB">
        <w:rPr>
          <w:b w:val="0"/>
          <w:bCs w:val="0"/>
        </w:rPr>
        <w:t xml:space="preserve">Market Price </w:t>
      </w:r>
      <w:r w:rsidRPr="00FC2AAB">
        <w:rPr>
          <w:b w:val="0"/>
          <w:bCs w:val="0"/>
        </w:rPr>
        <w:t xml:space="preserve">multiplied by </w:t>
      </w:r>
      <w:r w:rsidR="00A464A1" w:rsidRPr="00FC2AAB">
        <w:rPr>
          <w:b w:val="0"/>
          <w:bCs w:val="0"/>
        </w:rPr>
        <w:t>the Buyer's Expected Annual Production pro rated for each day of delay</w:t>
      </w:r>
    </w:p>
    <w:p w14:paraId="33F23B43" w14:textId="51FE0A86" w:rsidR="00FC2AAB" w:rsidRPr="00FC2AAB" w:rsidRDefault="00FC2AAB" w:rsidP="00FC2AAB">
      <w:pPr>
        <w:pStyle w:val="ssPara4"/>
        <w:rPr>
          <w:lang w:eastAsia="en-GB"/>
        </w:rPr>
      </w:pPr>
      <w:r w:rsidRPr="00FC2AAB">
        <w:rPr>
          <w:rFonts w:eastAsia="MingLiU" w:cs="Times New Roman"/>
          <w:iCs/>
          <w:lang w:eastAsia="en-GB"/>
        </w:rPr>
        <w:t>less</w:t>
      </w:r>
    </w:p>
    <w:p w14:paraId="19E68907" w14:textId="6566D9B8" w:rsidR="00FC2AAB" w:rsidRPr="00FC2AAB" w:rsidRDefault="00FC2AAB" w:rsidP="00FC2AAB">
      <w:pPr>
        <w:pStyle w:val="Heading4"/>
        <w:rPr>
          <w:b w:val="0"/>
          <w:bCs w:val="0"/>
        </w:rPr>
      </w:pPr>
      <w:r w:rsidRPr="00FC2AAB">
        <w:rPr>
          <w:b w:val="0"/>
          <w:bCs w:val="0"/>
        </w:rPr>
        <w:t>the Electricity Price multiplied by the Buyer's Expected Annual Production pro rated for each day of delay</w:t>
      </w:r>
    </w:p>
    <w:p w14:paraId="511FD4D4" w14:textId="7C16FD65" w:rsidR="00A464A1" w:rsidRDefault="00A464A1" w:rsidP="00A464A1">
      <w:pPr>
        <w:pStyle w:val="ssNoHeading3"/>
        <w:numPr>
          <w:ilvl w:val="0"/>
          <w:numId w:val="0"/>
        </w:numPr>
        <w:ind w:left="709"/>
      </w:pPr>
      <w:r>
        <w:t>plus</w:t>
      </w:r>
    </w:p>
    <w:p w14:paraId="3F3AE27D" w14:textId="0276C46B" w:rsidR="00A464A1" w:rsidRDefault="00A464A1" w:rsidP="00A464A1">
      <w:pPr>
        <w:pStyle w:val="ssNoHeading3"/>
      </w:pPr>
      <w:r>
        <w:t xml:space="preserve">the </w:t>
      </w:r>
      <w:r w:rsidRPr="00655FBD">
        <w:t xml:space="preserve">Average </w:t>
      </w:r>
      <w:r w:rsidR="007C0FC9">
        <w:t xml:space="preserve">Environmental Attribute </w:t>
      </w:r>
      <w:r w:rsidRPr="00655FBD">
        <w:t>Value</w:t>
      </w:r>
      <w:r>
        <w:t xml:space="preserve"> for the number of Comparable </w:t>
      </w:r>
      <w:r w:rsidR="007C0FC9">
        <w:t>Environmental Attribute</w:t>
      </w:r>
      <w:r>
        <w:t>s that would be associated with the Buyer's Expected Annual Production pro rated for each day of delay</w:t>
      </w:r>
      <w:r w:rsidR="000B2D93">
        <w:t>, except if the Buyer has elected in Call-Off Schedule 20 (</w:t>
      </w:r>
      <w:r w:rsidR="000B2D93" w:rsidRPr="000B2D93">
        <w:rPr>
          <w:i/>
          <w:iCs/>
        </w:rPr>
        <w:t>Call-Off Specification</w:t>
      </w:r>
      <w:r w:rsidR="000B2D93">
        <w:t xml:space="preserve">) to receive Comparable </w:t>
      </w:r>
      <w:r w:rsidR="007C0FC9">
        <w:t>Environmental Attribute</w:t>
      </w:r>
      <w:r w:rsidR="000B2D93">
        <w:t xml:space="preserve">s instead of the Average </w:t>
      </w:r>
      <w:r w:rsidR="007C0FC9">
        <w:t>Environmental Attribute</w:t>
      </w:r>
      <w:r w:rsidR="000B2D93">
        <w:t xml:space="preserve"> Value, in which case the Supplier shall supply the number of Comparable </w:t>
      </w:r>
      <w:r w:rsidR="007C0FC9">
        <w:t>Environmental Attribute</w:t>
      </w:r>
      <w:r w:rsidR="000B2D93">
        <w:t>s that would be associated with the Buyer's Expected Annual Production pro rated for each day of delay</w:t>
      </w:r>
    </w:p>
    <w:p w14:paraId="1E935D5E" w14:textId="476C2ACF" w:rsidR="00A53C4D" w:rsidRDefault="00A53C4D" w:rsidP="00A53C4D">
      <w:pPr>
        <w:pStyle w:val="ssNoHeading3"/>
        <w:numPr>
          <w:ilvl w:val="0"/>
          <w:numId w:val="0"/>
        </w:numPr>
        <w:ind w:left="709"/>
      </w:pPr>
      <w:r>
        <w:t>plus</w:t>
      </w:r>
    </w:p>
    <w:p w14:paraId="1360F0DB" w14:textId="250925E6" w:rsidR="00A53C4D" w:rsidRDefault="00A53C4D" w:rsidP="00A53C4D">
      <w:pPr>
        <w:pStyle w:val="ssNoHeading3"/>
      </w:pPr>
      <w:r>
        <w:t xml:space="preserve">any liability incurred by the Buyer to the Sleeving </w:t>
      </w:r>
      <w:r w:rsidR="00B847F8">
        <w:t>Provider</w:t>
      </w:r>
      <w:r>
        <w:t xml:space="preserve"> as a result of the delay, as certified by the Buyer</w:t>
      </w:r>
      <w:r w:rsidR="00534B1A">
        <w:t>.</w:t>
      </w:r>
    </w:p>
    <w:p w14:paraId="5702824C" w14:textId="5E142212" w:rsidR="00AF132C" w:rsidRDefault="00AF132C" w:rsidP="00AF132C">
      <w:pPr>
        <w:pStyle w:val="ssPara1"/>
        <w:rPr>
          <w:lang w:eastAsia="en-GB"/>
        </w:rPr>
      </w:pPr>
      <w:r>
        <w:rPr>
          <w:lang w:eastAsia="en-GB"/>
        </w:rPr>
        <w:t>"</w:t>
      </w:r>
      <w:r w:rsidRPr="00161735">
        <w:rPr>
          <w:b/>
          <w:bCs/>
          <w:lang w:eastAsia="en-GB"/>
        </w:rPr>
        <w:t>Permitted Capacity Shortfall</w:t>
      </w:r>
      <w:r>
        <w:rPr>
          <w:lang w:eastAsia="en-GB"/>
        </w:rPr>
        <w:t xml:space="preserve">" means the Capacity Shortfall if the result of the </w:t>
      </w:r>
      <w:r w:rsidRPr="00161735">
        <w:rPr>
          <w:lang w:eastAsia="en-GB"/>
        </w:rPr>
        <w:t>Buyer’s Percentage multiplied by the Nameplate Capacity</w:t>
      </w:r>
      <w:r>
        <w:rPr>
          <w:lang w:eastAsia="en-GB"/>
        </w:rPr>
        <w:t xml:space="preserve"> is greater than the Minimum Contracted Capacity; and</w:t>
      </w:r>
    </w:p>
    <w:p w14:paraId="5D4256AB" w14:textId="0AF03834" w:rsidR="00AF132C" w:rsidRDefault="00AF132C" w:rsidP="00AF132C">
      <w:pPr>
        <w:pStyle w:val="ssNoHeading3"/>
        <w:numPr>
          <w:ilvl w:val="0"/>
          <w:numId w:val="0"/>
        </w:numPr>
        <w:ind w:left="709"/>
      </w:pPr>
      <w:r>
        <w:t>“</w:t>
      </w:r>
      <w:r>
        <w:rPr>
          <w:b/>
          <w:bCs w:val="0"/>
        </w:rPr>
        <w:t>Shortfall Damages</w:t>
      </w:r>
      <w:r>
        <w:t xml:space="preserve">” means the damages calculated in accordance Paragraph </w:t>
      </w:r>
      <w:r w:rsidR="00FC2AAB">
        <w:fldChar w:fldCharType="begin"/>
      </w:r>
      <w:r w:rsidR="00FC2AAB">
        <w:instrText xml:space="preserve"> REF _Ref172909387 \r \h </w:instrText>
      </w:r>
      <w:r w:rsidR="00FC2AAB">
        <w:fldChar w:fldCharType="separate"/>
      </w:r>
      <w:r w:rsidR="00FC2AAB">
        <w:rPr>
          <w:cs/>
        </w:rPr>
        <w:t>‎</w:t>
      </w:r>
      <w:r w:rsidR="00FC2AAB">
        <w:t>4.2(A)</w:t>
      </w:r>
      <w:r w:rsidR="00FC2AAB">
        <w:fldChar w:fldCharType="end"/>
      </w:r>
      <w:r>
        <w:t xml:space="preserve"> (</w:t>
      </w:r>
      <w:r w:rsidRPr="00AF132C">
        <w:rPr>
          <w:i/>
          <w:iCs/>
        </w:rPr>
        <w:t>Shortfall Damages</w:t>
      </w:r>
      <w:r>
        <w:t xml:space="preserve">) or </w:t>
      </w:r>
      <w:r w:rsidR="00FC2AAB">
        <w:fldChar w:fldCharType="begin"/>
      </w:r>
      <w:r w:rsidR="00FC2AAB">
        <w:instrText xml:space="preserve"> REF _Ref173790392 \r \h </w:instrText>
      </w:r>
      <w:r w:rsidR="00FC2AAB">
        <w:fldChar w:fldCharType="separate"/>
      </w:r>
      <w:r w:rsidR="00FC2AAB">
        <w:rPr>
          <w:cs/>
        </w:rPr>
        <w:t>‎</w:t>
      </w:r>
      <w:r w:rsidR="00FC2AAB">
        <w:t>4.2(B)</w:t>
      </w:r>
      <w:r w:rsidR="00FC2AAB">
        <w:fldChar w:fldCharType="end"/>
      </w:r>
      <w:r>
        <w:t xml:space="preserve"> (</w:t>
      </w:r>
      <w:r w:rsidRPr="00AF132C">
        <w:rPr>
          <w:i/>
          <w:iCs/>
        </w:rPr>
        <w:t>Shortfall Damages</w:t>
      </w:r>
      <w:r>
        <w:t>), as applicable.</w:t>
      </w:r>
    </w:p>
    <w:p w14:paraId="135EF9E2" w14:textId="3BFB1474" w:rsidR="005508CB" w:rsidRDefault="005508CB" w:rsidP="005508CB">
      <w:pPr>
        <w:pStyle w:val="Heading1"/>
      </w:pPr>
      <w:r>
        <w:t>Construction of the Facility</w:t>
      </w:r>
      <w:bookmarkEnd w:id="1"/>
      <w:r>
        <w:t xml:space="preserve"> </w:t>
      </w:r>
    </w:p>
    <w:p w14:paraId="7F0C1D3C" w14:textId="6BF061B4" w:rsidR="005777CC" w:rsidRDefault="00854490" w:rsidP="005777CC">
      <w:pPr>
        <w:pStyle w:val="Heading2"/>
      </w:pPr>
      <w:r>
        <w:t>Responsibility of the Supplier</w:t>
      </w:r>
    </w:p>
    <w:p w14:paraId="54329DE7" w14:textId="00038150" w:rsidR="005508CB" w:rsidRDefault="005508CB" w:rsidP="005777CC">
      <w:pPr>
        <w:pStyle w:val="ssNoHeading2"/>
        <w:numPr>
          <w:ilvl w:val="0"/>
          <w:numId w:val="0"/>
        </w:numPr>
        <w:ind w:left="709"/>
      </w:pPr>
      <w:r>
        <w:t>The Supplier shall, at no cost to Buyer, develop and construct the Facility. As between the Buyer and the Supplier, the Supplier is entirely responsible for the development</w:t>
      </w:r>
      <w:r w:rsidR="00854490">
        <w:t>, construction, commissioning, completion</w:t>
      </w:r>
      <w:r>
        <w:t xml:space="preserve"> and financing of the Facility.</w:t>
      </w:r>
    </w:p>
    <w:p w14:paraId="1FE8D28C" w14:textId="13C731BB" w:rsidR="005777CC" w:rsidRDefault="005777CC" w:rsidP="005777CC">
      <w:pPr>
        <w:pStyle w:val="Heading2"/>
      </w:pPr>
      <w:bookmarkStart w:id="2" w:name="_Ref174123144"/>
      <w:r>
        <w:lastRenderedPageBreak/>
        <w:t>Standards of construction and the Facility requirements</w:t>
      </w:r>
      <w:bookmarkEnd w:id="2"/>
    </w:p>
    <w:p w14:paraId="34E0816F" w14:textId="0F01F8B5" w:rsidR="005508CB" w:rsidRPr="004D0DAC" w:rsidRDefault="005508CB" w:rsidP="005777CC">
      <w:pPr>
        <w:pStyle w:val="ssPara2"/>
      </w:pPr>
      <w:r>
        <w:t>The Supplier</w:t>
      </w:r>
      <w:r w:rsidRPr="004D0DAC">
        <w:t xml:space="preserve"> shall</w:t>
      </w:r>
      <w:r w:rsidR="005777CC">
        <w:t xml:space="preserve"> </w:t>
      </w:r>
      <w:r w:rsidR="005777CC" w:rsidRPr="005777CC">
        <w:rPr>
          <w:bCs/>
        </w:rPr>
        <w:t>design and construct the Facility</w:t>
      </w:r>
      <w:r w:rsidRPr="004D0DAC">
        <w:t>:</w:t>
      </w:r>
    </w:p>
    <w:p w14:paraId="23D259FD" w14:textId="4CFDA912" w:rsidR="005508CB" w:rsidRPr="005777CC" w:rsidRDefault="005508CB" w:rsidP="005777CC">
      <w:pPr>
        <w:pStyle w:val="ssNoHeading3"/>
      </w:pPr>
      <w:r w:rsidRPr="005777CC">
        <w:t xml:space="preserve">in accordance with </w:t>
      </w:r>
      <w:r w:rsidR="005777CC">
        <w:t xml:space="preserve">all Applicable Laws and Regulations, </w:t>
      </w:r>
      <w:r w:rsidRPr="005777CC">
        <w:t>Good Industry Practice</w:t>
      </w:r>
      <w:r w:rsidR="005777CC">
        <w:t xml:space="preserve"> and the Permits applicable to the Facility or to which the Facility is subject</w:t>
      </w:r>
      <w:r w:rsidRPr="005777CC">
        <w:t>; and</w:t>
      </w:r>
    </w:p>
    <w:p w14:paraId="11A52759" w14:textId="59AF0215" w:rsidR="005777CC" w:rsidRPr="005777CC" w:rsidRDefault="005508CB" w:rsidP="005777CC">
      <w:pPr>
        <w:pStyle w:val="ssNoHeading3"/>
      </w:pPr>
      <w:r w:rsidRPr="005777CC">
        <w:t xml:space="preserve">to meet the characteristics set </w:t>
      </w:r>
      <w:r w:rsidR="005777CC" w:rsidRPr="005777CC">
        <w:t xml:space="preserve">out </w:t>
      </w:r>
      <w:r w:rsidRPr="005777CC">
        <w:t xml:space="preserve">in the </w:t>
      </w:r>
      <w:r w:rsidR="005F7C06" w:rsidRPr="005777CC">
        <w:t>description of the Facility in Call-Off Schedule 4 (</w:t>
      </w:r>
      <w:r w:rsidR="005F7C06" w:rsidRPr="005777CC">
        <w:rPr>
          <w:i/>
        </w:rPr>
        <w:t>Call-Off Tender</w:t>
      </w:r>
      <w:r w:rsidR="005F7C06" w:rsidRPr="005777CC">
        <w:t>)</w:t>
      </w:r>
      <w:r w:rsidR="005777CC">
        <w:t>.</w:t>
      </w:r>
      <w:r w:rsidR="005777CC" w:rsidRPr="005777CC">
        <w:t xml:space="preserve"> </w:t>
      </w:r>
    </w:p>
    <w:p w14:paraId="27E14745" w14:textId="7067CDD0" w:rsidR="00500574" w:rsidRPr="004D0DAC" w:rsidRDefault="00500574" w:rsidP="00500574">
      <w:pPr>
        <w:pStyle w:val="Heading2"/>
      </w:pPr>
      <w:bookmarkStart w:id="3" w:name="_Ref167202311"/>
      <w:r>
        <w:t>Construction and Commissioning information</w:t>
      </w:r>
      <w:bookmarkEnd w:id="3"/>
    </w:p>
    <w:p w14:paraId="0877E9EE" w14:textId="594FA7B0" w:rsidR="00500574" w:rsidRDefault="00500574" w:rsidP="00500574">
      <w:pPr>
        <w:pStyle w:val="ssNoHeading3"/>
      </w:pPr>
      <w:bookmarkStart w:id="4" w:name="_Ref58236062"/>
      <w:r>
        <w:t>In addition to the general information undertakings set out in Paragraph 16 (</w:t>
      </w:r>
      <w:r w:rsidRPr="00323084">
        <w:rPr>
          <w:i/>
          <w:iCs/>
        </w:rPr>
        <w:t>Operational records and information rights</w:t>
      </w:r>
      <w:r>
        <w:t xml:space="preserve">) of Call-Off Schedule 25 </w:t>
      </w:r>
      <w:r w:rsidRPr="00323084">
        <w:t>(</w:t>
      </w:r>
      <w:r w:rsidRPr="00323084">
        <w:rPr>
          <w:i/>
          <w:iCs/>
        </w:rPr>
        <w:t>Call-Off PPA Terms</w:t>
      </w:r>
      <w:r w:rsidRPr="00323084">
        <w:t>),</w:t>
      </w:r>
      <w:r>
        <w:t xml:space="preserve"> f</w:t>
      </w:r>
      <w:r w:rsidRPr="004D0DAC">
        <w:t xml:space="preserve">rom the </w:t>
      </w:r>
      <w:r w:rsidR="001F5ED3">
        <w:t>Start</w:t>
      </w:r>
      <w:r w:rsidR="001F5ED3" w:rsidRPr="004D0DAC">
        <w:t xml:space="preserve"> </w:t>
      </w:r>
      <w:r w:rsidRPr="004D0DAC">
        <w:t xml:space="preserve">Date </w:t>
      </w:r>
      <w:r>
        <w:t xml:space="preserve">until </w:t>
      </w:r>
      <w:r w:rsidR="00551554">
        <w:t xml:space="preserve">the </w:t>
      </w:r>
      <w:r>
        <w:t>Actual COD</w:t>
      </w:r>
      <w:r w:rsidRPr="004D0DAC">
        <w:t xml:space="preserve">, the </w:t>
      </w:r>
      <w:r>
        <w:t>Supplier</w:t>
      </w:r>
      <w:r w:rsidRPr="004D0DAC">
        <w:t xml:space="preserve"> shall provide to the Buyer </w:t>
      </w:r>
      <w:r>
        <w:t xml:space="preserve">with the information set out below: </w:t>
      </w:r>
      <w:r w:rsidR="007845AC">
        <w:t xml:space="preserve"> </w:t>
      </w:r>
    </w:p>
    <w:p w14:paraId="7B55FAFE" w14:textId="77777777" w:rsidR="00500574" w:rsidRDefault="00500574" w:rsidP="00500574">
      <w:pPr>
        <w:pStyle w:val="ssNoHeading4"/>
        <w:numPr>
          <w:ilvl w:val="4"/>
          <w:numId w:val="2"/>
        </w:numPr>
        <w:tabs>
          <w:tab w:val="clear" w:pos="1985"/>
          <w:tab w:val="num" w:pos="360"/>
        </w:tabs>
      </w:pPr>
      <w:r w:rsidRPr="004D0DAC">
        <w:t>monthly status reports in relation to progress of the</w:t>
      </w:r>
      <w:r>
        <w:t xml:space="preserve"> construction of the</w:t>
      </w:r>
      <w:r w:rsidRPr="004D0DAC">
        <w:t xml:space="preserve"> Facility</w:t>
      </w:r>
      <w:r>
        <w:t xml:space="preserve"> setting out the following information: </w:t>
      </w:r>
      <w:bookmarkEnd w:id="4"/>
    </w:p>
    <w:p w14:paraId="2C8AD092" w14:textId="29EFC0AA" w:rsidR="00500574" w:rsidRDefault="00500574" w:rsidP="00500574">
      <w:pPr>
        <w:pStyle w:val="ssNoHeading5"/>
        <w:numPr>
          <w:ilvl w:val="5"/>
          <w:numId w:val="2"/>
        </w:numPr>
        <w:tabs>
          <w:tab w:val="clear" w:pos="2552"/>
          <w:tab w:val="num" w:pos="360"/>
        </w:tabs>
      </w:pPr>
      <w:r>
        <w:t>plan of the Facility</w:t>
      </w:r>
      <w:r w:rsidR="002D5AE6">
        <w:t>;</w:t>
      </w:r>
    </w:p>
    <w:p w14:paraId="647032E6" w14:textId="77777777" w:rsidR="00500574" w:rsidRDefault="00500574" w:rsidP="00500574">
      <w:pPr>
        <w:pStyle w:val="ssNoHeading5"/>
        <w:numPr>
          <w:ilvl w:val="5"/>
          <w:numId w:val="2"/>
        </w:numPr>
        <w:tabs>
          <w:tab w:val="clear" w:pos="2552"/>
          <w:tab w:val="num" w:pos="360"/>
        </w:tabs>
      </w:pPr>
      <w:r>
        <w:t xml:space="preserve">list of the key milestones to be achieved for the completion of construction and a description and analysis of: </w:t>
      </w:r>
    </w:p>
    <w:p w14:paraId="3F5D94CB" w14:textId="77777777" w:rsidR="00500574" w:rsidRDefault="00500574" w:rsidP="00500574">
      <w:pPr>
        <w:pStyle w:val="ssNoHeading6"/>
        <w:numPr>
          <w:ilvl w:val="6"/>
          <w:numId w:val="2"/>
        </w:numPr>
        <w:tabs>
          <w:tab w:val="clear" w:pos="3119"/>
          <w:tab w:val="num" w:pos="360"/>
        </w:tabs>
      </w:pPr>
      <w:r>
        <w:t>the progress made to date in achieving each of these milestones;</w:t>
      </w:r>
    </w:p>
    <w:p w14:paraId="04221787" w14:textId="4643089F" w:rsidR="00500574" w:rsidRDefault="00500574" w:rsidP="00500574">
      <w:pPr>
        <w:pStyle w:val="ssNoHeading6"/>
        <w:numPr>
          <w:ilvl w:val="6"/>
          <w:numId w:val="2"/>
        </w:numPr>
        <w:tabs>
          <w:tab w:val="clear" w:pos="3119"/>
          <w:tab w:val="num" w:pos="360"/>
        </w:tabs>
      </w:pPr>
      <w:r>
        <w:t>a</w:t>
      </w:r>
      <w:r w:rsidR="00B02D54">
        <w:t xml:space="preserve"> risk register identi</w:t>
      </w:r>
      <w:r w:rsidR="00AD280F">
        <w:t>f</w:t>
      </w:r>
      <w:r w:rsidR="00B02D54">
        <w:t>ying</w:t>
      </w:r>
      <w:r>
        <w:t xml:space="preserve"> </w:t>
      </w:r>
      <w:r w:rsidR="00B02D54">
        <w:t xml:space="preserve">all </w:t>
      </w:r>
      <w:r>
        <w:t>issues that could potentially impact the milestone schedule or that could prevent the Actual COD from being achieved on or prior to the Expected COD</w:t>
      </w:r>
      <w:r w:rsidR="00B02D54">
        <w:t xml:space="preserve"> and the measures being taken to mitigate those issues</w:t>
      </w:r>
      <w:r>
        <w:t xml:space="preserve">; </w:t>
      </w:r>
    </w:p>
    <w:p w14:paraId="2AED391C" w14:textId="77777777" w:rsidR="00500574" w:rsidRDefault="00500574" w:rsidP="00500574">
      <w:pPr>
        <w:pStyle w:val="ssNoHeading5"/>
        <w:numPr>
          <w:ilvl w:val="5"/>
          <w:numId w:val="2"/>
        </w:numPr>
        <w:tabs>
          <w:tab w:val="clear" w:pos="2552"/>
          <w:tab w:val="num" w:pos="360"/>
        </w:tabs>
      </w:pPr>
      <w:r>
        <w:t xml:space="preserve">a table of key Permits and agreements with third parties required to achieve Commercial Operation, including the actual or anticipated date for receipt of each Permit and execution of such agreement; </w:t>
      </w:r>
    </w:p>
    <w:p w14:paraId="69B4C14F" w14:textId="77777777" w:rsidR="00500574" w:rsidRDefault="00500574" w:rsidP="00500574">
      <w:pPr>
        <w:pStyle w:val="ssNoHeading5"/>
        <w:numPr>
          <w:ilvl w:val="5"/>
          <w:numId w:val="2"/>
        </w:numPr>
        <w:tabs>
          <w:tab w:val="clear" w:pos="2552"/>
          <w:tab w:val="num" w:pos="360"/>
        </w:tabs>
      </w:pPr>
      <w:r>
        <w:t>a summary of construction and commissioning activities performed during the prior month and a forecast of construction and commissioning activities expected to be carried out in the current month;</w:t>
      </w:r>
    </w:p>
    <w:p w14:paraId="5668E13E" w14:textId="77777777" w:rsidR="00500574" w:rsidRDefault="00500574" w:rsidP="00500574">
      <w:pPr>
        <w:pStyle w:val="ssNoHeading5"/>
        <w:numPr>
          <w:ilvl w:val="5"/>
          <w:numId w:val="2"/>
        </w:numPr>
        <w:tabs>
          <w:tab w:val="clear" w:pos="2552"/>
          <w:tab w:val="num" w:pos="360"/>
        </w:tabs>
      </w:pPr>
      <w:r>
        <w:t xml:space="preserve">a summary of the status of any works required to be carried out by the Connecting Entity to enable the connection of the Facility at the Interconnection Point and to enable the Facility to export electricity to the applicable of the </w:t>
      </w:r>
      <w:r w:rsidRPr="004D0DAC">
        <w:t xml:space="preserve">electric </w:t>
      </w:r>
      <w:r>
        <w:t xml:space="preserve">distribution or </w:t>
      </w:r>
      <w:r w:rsidRPr="004D0DAC">
        <w:t>transmission system</w:t>
      </w:r>
      <w:r>
        <w:t xml:space="preserve">; </w:t>
      </w:r>
    </w:p>
    <w:p w14:paraId="1095F6CC" w14:textId="77777777" w:rsidR="00500574" w:rsidRDefault="00500574" w:rsidP="00500574">
      <w:pPr>
        <w:pStyle w:val="ssNoHeading5"/>
        <w:numPr>
          <w:ilvl w:val="5"/>
          <w:numId w:val="2"/>
        </w:numPr>
        <w:tabs>
          <w:tab w:val="clear" w:pos="2552"/>
          <w:tab w:val="num" w:pos="360"/>
        </w:tabs>
      </w:pPr>
      <w:r>
        <w:t xml:space="preserve">pictures, in sufficient quantity and of appropriate detail to document progress of the construction and commissioning of the Facility and the Interconnection Point; and </w:t>
      </w:r>
    </w:p>
    <w:p w14:paraId="64299978" w14:textId="77777777" w:rsidR="00500574" w:rsidRDefault="00500574" w:rsidP="00500574">
      <w:pPr>
        <w:pStyle w:val="ssNoHeading5"/>
        <w:numPr>
          <w:ilvl w:val="5"/>
          <w:numId w:val="2"/>
        </w:numPr>
        <w:tabs>
          <w:tab w:val="clear" w:pos="2552"/>
          <w:tab w:val="num" w:pos="360"/>
        </w:tabs>
      </w:pPr>
      <w:r>
        <w:lastRenderedPageBreak/>
        <w:t>any other information required by the Buyer and specified in Call-Off Schedule 20 (</w:t>
      </w:r>
      <w:r w:rsidRPr="002D4E9A">
        <w:rPr>
          <w:i/>
          <w:iCs/>
        </w:rPr>
        <w:t>Call-Off Specification</w:t>
      </w:r>
      <w:r w:rsidRPr="00EB40AE">
        <w:t>).</w:t>
      </w:r>
    </w:p>
    <w:p w14:paraId="2AF174A0" w14:textId="2E123485" w:rsidR="00500574" w:rsidRDefault="00500574" w:rsidP="00500574">
      <w:pPr>
        <w:pStyle w:val="ssNoHeading4"/>
        <w:numPr>
          <w:ilvl w:val="4"/>
          <w:numId w:val="2"/>
        </w:numPr>
        <w:tabs>
          <w:tab w:val="clear" w:pos="1985"/>
          <w:tab w:val="num" w:pos="360"/>
        </w:tabs>
      </w:pPr>
      <w:r>
        <w:t xml:space="preserve">no later than </w:t>
      </w:r>
      <w:r w:rsidR="00534B1A">
        <w:t>thirty (</w:t>
      </w:r>
      <w:r w:rsidRPr="004D0DAC">
        <w:t>30</w:t>
      </w:r>
      <w:r w:rsidR="00534B1A">
        <w:t>)</w:t>
      </w:r>
      <w:r w:rsidRPr="004D0DAC">
        <w:t xml:space="preserve"> days after the </w:t>
      </w:r>
      <w:r>
        <w:t>Actual COD:</w:t>
      </w:r>
    </w:p>
    <w:p w14:paraId="0C13E469" w14:textId="5814C56B" w:rsidR="00500574" w:rsidRDefault="00500574" w:rsidP="00500574">
      <w:pPr>
        <w:pStyle w:val="ssNoHeading5"/>
        <w:numPr>
          <w:ilvl w:val="5"/>
          <w:numId w:val="2"/>
        </w:numPr>
        <w:tabs>
          <w:tab w:val="clear" w:pos="2552"/>
          <w:tab w:val="num" w:pos="360"/>
        </w:tabs>
      </w:pPr>
      <w:r>
        <w:t xml:space="preserve">copies of the Facility’s electrical specifications and design drawings and any related Interconnection facilities for which the </w:t>
      </w:r>
      <w:r w:rsidR="0043629F">
        <w:t xml:space="preserve">Supplier </w:t>
      </w:r>
      <w:r>
        <w:t>is responsible; and</w:t>
      </w:r>
    </w:p>
    <w:p w14:paraId="722E5227" w14:textId="0276B3D4" w:rsidR="00500574" w:rsidRDefault="00C138E4" w:rsidP="00500574">
      <w:pPr>
        <w:pStyle w:val="ssNoHeading5"/>
        <w:numPr>
          <w:ilvl w:val="5"/>
          <w:numId w:val="2"/>
        </w:numPr>
        <w:tabs>
          <w:tab w:val="clear" w:pos="2552"/>
          <w:tab w:val="num" w:pos="360"/>
        </w:tabs>
      </w:pPr>
      <w:r>
        <w:t xml:space="preserve">updated </w:t>
      </w:r>
      <w:r w:rsidR="00500574" w:rsidRPr="004D0DAC">
        <w:t>power cur</w:t>
      </w:r>
      <w:r w:rsidR="00500574">
        <w:t>ves in respect of the Generation Equipment.</w:t>
      </w:r>
    </w:p>
    <w:p w14:paraId="31B31EFC" w14:textId="581335CE" w:rsidR="00854490" w:rsidRPr="00854490" w:rsidRDefault="00854490" w:rsidP="00854490">
      <w:pPr>
        <w:pStyle w:val="Heading5"/>
        <w:rPr>
          <w:b w:val="0"/>
          <w:bCs/>
        </w:rPr>
      </w:pPr>
      <w:r>
        <w:rPr>
          <w:b w:val="0"/>
          <w:bCs/>
        </w:rPr>
        <w:t xml:space="preserve">(without limiting the Supplier's obligations under Paragraph </w:t>
      </w:r>
      <w:r>
        <w:rPr>
          <w:b w:val="0"/>
          <w:bCs/>
        </w:rPr>
        <w:fldChar w:fldCharType="begin"/>
      </w:r>
      <w:r>
        <w:rPr>
          <w:b w:val="0"/>
          <w:bCs/>
        </w:rPr>
        <w:instrText xml:space="preserve"> REF _Ref174123144 \r \h </w:instrText>
      </w:r>
      <w:r>
        <w:rPr>
          <w:b w:val="0"/>
          <w:bCs/>
        </w:rPr>
      </w:r>
      <w:r>
        <w:rPr>
          <w:b w:val="0"/>
          <w:bCs/>
        </w:rPr>
        <w:fldChar w:fldCharType="separate"/>
      </w:r>
      <w:r>
        <w:rPr>
          <w:b w:val="0"/>
          <w:bCs/>
          <w:cs/>
        </w:rPr>
        <w:t>‎</w:t>
      </w:r>
      <w:r>
        <w:rPr>
          <w:b w:val="0"/>
          <w:bCs/>
        </w:rPr>
        <w:t>2.2</w:t>
      </w:r>
      <w:r>
        <w:rPr>
          <w:b w:val="0"/>
          <w:bCs/>
        </w:rPr>
        <w:fldChar w:fldCharType="end"/>
      </w:r>
      <w:r>
        <w:rPr>
          <w:b w:val="0"/>
          <w:bCs/>
        </w:rPr>
        <w:t xml:space="preserve"> (</w:t>
      </w:r>
      <w:r w:rsidRPr="00854490">
        <w:rPr>
          <w:b w:val="0"/>
          <w:bCs/>
          <w:i/>
          <w:iCs/>
        </w:rPr>
        <w:t>Standards of construction and Facility requirements</w:t>
      </w:r>
      <w:r>
        <w:rPr>
          <w:b w:val="0"/>
          <w:bCs/>
        </w:rPr>
        <w:t xml:space="preserve">), </w:t>
      </w:r>
      <w:r w:rsidRPr="00854490">
        <w:rPr>
          <w:b w:val="0"/>
          <w:bCs/>
        </w:rPr>
        <w:t>to the extent that any of the characteristics of the Facility in the Call-Off Schedule 4 (</w:t>
      </w:r>
      <w:r w:rsidRPr="00854490">
        <w:rPr>
          <w:b w:val="0"/>
          <w:bCs/>
          <w:i/>
          <w:iCs/>
        </w:rPr>
        <w:t>Call-Off Tender</w:t>
      </w:r>
      <w:r w:rsidRPr="00854490">
        <w:rPr>
          <w:b w:val="0"/>
          <w:bCs/>
        </w:rPr>
        <w:t>) are estimated or expected values, updated values based on the as-built Facility.</w:t>
      </w:r>
    </w:p>
    <w:p w14:paraId="7612A357" w14:textId="51155DA1" w:rsidR="00500574" w:rsidRDefault="00500574" w:rsidP="00500574">
      <w:pPr>
        <w:pStyle w:val="ssNoHeading3"/>
      </w:pPr>
      <w:r>
        <w:t xml:space="preserve">All information referred to in this Paragraph </w:t>
      </w:r>
      <w:r>
        <w:fldChar w:fldCharType="begin"/>
      </w:r>
      <w:r>
        <w:instrText xml:space="preserve"> REF _Ref167202311 \r \h </w:instrText>
      </w:r>
      <w:r>
        <w:fldChar w:fldCharType="separate"/>
      </w:r>
      <w:r w:rsidR="00B503C7">
        <w:rPr>
          <w:cs/>
        </w:rPr>
        <w:t>‎</w:t>
      </w:r>
      <w:r w:rsidR="00B503C7">
        <w:t>2.3</w:t>
      </w:r>
      <w:r>
        <w:fldChar w:fldCharType="end"/>
      </w:r>
      <w:r>
        <w:t xml:space="preserve"> (</w:t>
      </w:r>
      <w:r w:rsidRPr="00EB40AE">
        <w:rPr>
          <w:i/>
          <w:iCs/>
        </w:rPr>
        <w:t>Construction and commissioning information</w:t>
      </w:r>
      <w:r>
        <w:t xml:space="preserve">) </w:t>
      </w:r>
      <w:r w:rsidR="007845AC">
        <w:t>of this Call-Off Schedule 31 (</w:t>
      </w:r>
      <w:r w:rsidR="007845AC">
        <w:rPr>
          <w:i/>
          <w:iCs/>
        </w:rPr>
        <w:t>New Build Facilities</w:t>
      </w:r>
      <w:r w:rsidR="007845AC">
        <w:t xml:space="preserve">) </w:t>
      </w:r>
      <w:r>
        <w:t>may be disclosed by the Buyer to potential service providers for the purposes of managing this Call-Off Contract.</w:t>
      </w:r>
    </w:p>
    <w:p w14:paraId="44114681" w14:textId="77777777" w:rsidR="00500574" w:rsidRDefault="00500574" w:rsidP="00500574">
      <w:pPr>
        <w:pStyle w:val="Heading1"/>
      </w:pPr>
      <w:bookmarkStart w:id="5" w:name="_Ref58449028"/>
      <w:bookmarkStart w:id="6" w:name="_Toc58506037"/>
      <w:bookmarkStart w:id="7" w:name="_Toc167264698"/>
      <w:r>
        <w:t>Commencement of Commercial Operation and delays</w:t>
      </w:r>
      <w:bookmarkEnd w:id="5"/>
      <w:bookmarkEnd w:id="6"/>
      <w:bookmarkEnd w:id="7"/>
      <w:r>
        <w:t xml:space="preserve"> </w:t>
      </w:r>
    </w:p>
    <w:p w14:paraId="0969546D" w14:textId="783F4F4B" w:rsidR="00994F49" w:rsidRDefault="00994F49" w:rsidP="008B5633">
      <w:pPr>
        <w:pStyle w:val="Heading2"/>
      </w:pPr>
      <w:r>
        <w:t>Commercial Operation</w:t>
      </w:r>
    </w:p>
    <w:p w14:paraId="2CB070F2" w14:textId="4DC30241" w:rsidR="00500574" w:rsidRDefault="00500574" w:rsidP="00500574">
      <w:pPr>
        <w:pStyle w:val="ssNoHeading3"/>
      </w:pPr>
      <w:r>
        <w:t xml:space="preserve">From the </w:t>
      </w:r>
      <w:r w:rsidR="001F5ED3">
        <w:t xml:space="preserve">Start </w:t>
      </w:r>
      <w:r>
        <w:t xml:space="preserve">Date until the </w:t>
      </w:r>
      <w:r w:rsidRPr="00FC0094">
        <w:t xml:space="preserve">Actual </w:t>
      </w:r>
      <w:r>
        <w:t>COD, the Supplier shall provide to the Buyer</w:t>
      </w:r>
      <w:r w:rsidR="00534B1A">
        <w:t>:</w:t>
      </w:r>
      <w:r>
        <w:t xml:space="preserve"> (</w:t>
      </w:r>
      <w:r w:rsidR="00854490">
        <w:t>1</w:t>
      </w:r>
      <w:r>
        <w:t xml:space="preserve">) monthly reports pursuant to Paragraph </w:t>
      </w:r>
      <w:r>
        <w:fldChar w:fldCharType="begin"/>
      </w:r>
      <w:r>
        <w:instrText xml:space="preserve"> REF _Ref167202311 \r \h </w:instrText>
      </w:r>
      <w:r>
        <w:fldChar w:fldCharType="separate"/>
      </w:r>
      <w:r w:rsidR="00B503C7">
        <w:rPr>
          <w:cs/>
        </w:rPr>
        <w:t>‎</w:t>
      </w:r>
      <w:r w:rsidR="00B503C7">
        <w:t>2.3</w:t>
      </w:r>
      <w:r>
        <w:fldChar w:fldCharType="end"/>
      </w:r>
      <w:r>
        <w:t xml:space="preserve"> (</w:t>
      </w:r>
      <w:r w:rsidRPr="00262950">
        <w:rPr>
          <w:i/>
          <w:iCs/>
        </w:rPr>
        <w:t>Construction and Commissioning information</w:t>
      </w:r>
      <w:r>
        <w:t>)</w:t>
      </w:r>
      <w:r w:rsidR="007845AC" w:rsidRPr="007845AC">
        <w:t xml:space="preserve"> </w:t>
      </w:r>
      <w:r w:rsidR="007845AC">
        <w:t>of this Call-Off Schedule 31 (</w:t>
      </w:r>
      <w:r w:rsidR="007845AC">
        <w:rPr>
          <w:i/>
          <w:iCs/>
        </w:rPr>
        <w:t>New Build Facilities</w:t>
      </w:r>
      <w:r w:rsidR="007845AC">
        <w:t>)</w:t>
      </w:r>
      <w:r>
        <w:t>; and (</w:t>
      </w:r>
      <w:r w:rsidR="00854490">
        <w:t>2</w:t>
      </w:r>
      <w:r>
        <w:t xml:space="preserve">) any additional information reasonably requested by the Buyer relating to the </w:t>
      </w:r>
      <w:r w:rsidR="0043629F">
        <w:t xml:space="preserve">Supplier’s </w:t>
      </w:r>
      <w:r>
        <w:t>progress towards satisfaction of the Contracted Commercial Operation requirements. Such additional information should be non-binding and no warranty or representation shall attach to such information.</w:t>
      </w:r>
    </w:p>
    <w:p w14:paraId="07E9C0F2" w14:textId="41B56568" w:rsidR="00500574" w:rsidRPr="004D0DAC" w:rsidRDefault="00500574" w:rsidP="00500574">
      <w:pPr>
        <w:pStyle w:val="ssNoHeading3"/>
      </w:pPr>
      <w:r w:rsidRPr="004D0DAC">
        <w:t xml:space="preserve">The </w:t>
      </w:r>
      <w:r>
        <w:t>Supplier</w:t>
      </w:r>
      <w:r w:rsidRPr="004D0DAC">
        <w:t xml:space="preserve"> will notify the Buyer not less than five (5) </w:t>
      </w:r>
      <w:r w:rsidR="00534B1A">
        <w:t>Working Day</w:t>
      </w:r>
      <w:r w:rsidRPr="004D0DAC">
        <w:t xml:space="preserve">s in advance of the anticipated date on which the last of the conditions in the definition of </w:t>
      </w:r>
      <w:r>
        <w:t>“</w:t>
      </w:r>
      <w:r w:rsidRPr="004D0DAC">
        <w:t>Commercial Operation</w:t>
      </w:r>
      <w:r>
        <w:t>”</w:t>
      </w:r>
      <w:r w:rsidRPr="004D0DAC">
        <w:t xml:space="preserve"> will be satisfied.</w:t>
      </w:r>
    </w:p>
    <w:p w14:paraId="2D9BACE7" w14:textId="049A88CD" w:rsidR="00500574" w:rsidRPr="004D0DAC" w:rsidRDefault="00500574" w:rsidP="00500574">
      <w:pPr>
        <w:pStyle w:val="ssNoHeading3"/>
      </w:pPr>
      <w:r w:rsidRPr="004D0DAC">
        <w:t xml:space="preserve">The </w:t>
      </w:r>
      <w:r>
        <w:t>Supplier</w:t>
      </w:r>
      <w:r w:rsidRPr="004D0DAC">
        <w:t xml:space="preserve"> shall provide the following information to the Buyer within five (5) days after the </w:t>
      </w:r>
      <w:r>
        <w:t xml:space="preserve">all the </w:t>
      </w:r>
      <w:r w:rsidRPr="004D0DAC">
        <w:t xml:space="preserve">conditions </w:t>
      </w:r>
      <w:r>
        <w:t>to C</w:t>
      </w:r>
      <w:r w:rsidRPr="004B6BEC">
        <w:t>ommercial Operatio</w:t>
      </w:r>
      <w:r>
        <w:t xml:space="preserve">n </w:t>
      </w:r>
      <w:r w:rsidRPr="004D0DAC">
        <w:t xml:space="preserve">have been satisfied or waived by the </w:t>
      </w:r>
      <w:r w:rsidR="00477B75">
        <w:t>Buyer</w:t>
      </w:r>
      <w:r w:rsidRPr="004D0DAC">
        <w:t>:</w:t>
      </w:r>
    </w:p>
    <w:p w14:paraId="4844DB1B" w14:textId="77777777" w:rsidR="00500574" w:rsidRPr="004D0DAC" w:rsidRDefault="00500574" w:rsidP="00500574">
      <w:pPr>
        <w:pStyle w:val="ssNoHeading4"/>
        <w:numPr>
          <w:ilvl w:val="4"/>
          <w:numId w:val="2"/>
        </w:numPr>
        <w:tabs>
          <w:tab w:val="clear" w:pos="1985"/>
          <w:tab w:val="num" w:pos="360"/>
        </w:tabs>
      </w:pPr>
      <w:r w:rsidRPr="004D0DAC">
        <w:t>Notice of Commercial Operation;</w:t>
      </w:r>
    </w:p>
    <w:p w14:paraId="149675B3" w14:textId="14DB6261" w:rsidR="00500574" w:rsidRPr="004D0DAC" w:rsidRDefault="00500574" w:rsidP="00500574">
      <w:pPr>
        <w:pStyle w:val="ssNoHeading4"/>
        <w:numPr>
          <w:ilvl w:val="4"/>
          <w:numId w:val="2"/>
        </w:numPr>
        <w:tabs>
          <w:tab w:val="clear" w:pos="1985"/>
          <w:tab w:val="num" w:pos="360"/>
        </w:tabs>
      </w:pPr>
      <w:r w:rsidRPr="004D0DAC">
        <w:t xml:space="preserve">copy of the EPC completion certificate signed by </w:t>
      </w:r>
      <w:r>
        <w:t>the Supplier</w:t>
      </w:r>
      <w:r w:rsidRPr="004D0DAC">
        <w:t xml:space="preserve"> and the Financing Parties or their representative</w:t>
      </w:r>
      <w:r w:rsidR="006D0A03">
        <w:t>, if applicable</w:t>
      </w:r>
      <w:r w:rsidRPr="004D0DAC">
        <w:t>;</w:t>
      </w:r>
    </w:p>
    <w:p w14:paraId="5276EA12" w14:textId="7F45EEDE" w:rsidR="00696BF7" w:rsidRDefault="00500574" w:rsidP="00500574">
      <w:pPr>
        <w:pStyle w:val="ssNoHeading4"/>
        <w:numPr>
          <w:ilvl w:val="4"/>
          <w:numId w:val="2"/>
        </w:numPr>
        <w:tabs>
          <w:tab w:val="clear" w:pos="1985"/>
          <w:tab w:val="num" w:pos="360"/>
        </w:tabs>
      </w:pPr>
      <w:r w:rsidRPr="004D0DAC">
        <w:t xml:space="preserve">copies (or other official confirmation) of all </w:t>
      </w:r>
      <w:r>
        <w:t>P</w:t>
      </w:r>
      <w:r w:rsidRPr="004D0DAC">
        <w:t xml:space="preserve">ermits required </w:t>
      </w:r>
      <w:r>
        <w:t xml:space="preserve">as conditions to achievement of </w:t>
      </w:r>
      <w:r w:rsidRPr="004B6BEC">
        <w:t>Commercial Operation</w:t>
      </w:r>
      <w:r w:rsidR="00696BF7">
        <w:t xml:space="preserve">; </w:t>
      </w:r>
      <w:r w:rsidR="00854490">
        <w:t>and</w:t>
      </w:r>
    </w:p>
    <w:p w14:paraId="02A8F98E" w14:textId="0C03A251" w:rsidR="00854490" w:rsidRDefault="00696BF7" w:rsidP="00500574">
      <w:pPr>
        <w:pStyle w:val="ssNoHeading4"/>
        <w:numPr>
          <w:ilvl w:val="4"/>
          <w:numId w:val="2"/>
        </w:numPr>
        <w:tabs>
          <w:tab w:val="clear" w:pos="1985"/>
          <w:tab w:val="num" w:pos="360"/>
        </w:tabs>
      </w:pPr>
      <w:r>
        <w:t>evidence of the successful achievement of all of the other conditions in the definition of "Commercial Operation"</w:t>
      </w:r>
      <w:r w:rsidR="00854490">
        <w:t xml:space="preserve">.  </w:t>
      </w:r>
    </w:p>
    <w:p w14:paraId="61C87BAD" w14:textId="77777777" w:rsidR="00500574" w:rsidRDefault="00500574" w:rsidP="00500574">
      <w:pPr>
        <w:pStyle w:val="Heading2"/>
      </w:pPr>
      <w:bookmarkStart w:id="8" w:name="_Ref166774139"/>
      <w:bookmarkStart w:id="9" w:name="_Ref57590946"/>
      <w:r>
        <w:lastRenderedPageBreak/>
        <w:t>Delays to Construction</w:t>
      </w:r>
      <w:bookmarkEnd w:id="8"/>
      <w:r>
        <w:t xml:space="preserve"> </w:t>
      </w:r>
      <w:bookmarkEnd w:id="9"/>
    </w:p>
    <w:p w14:paraId="633D95C1" w14:textId="77777777" w:rsidR="00500574" w:rsidRPr="00041166" w:rsidRDefault="00500574" w:rsidP="00500574">
      <w:pPr>
        <w:pStyle w:val="ssNoHeading3"/>
        <w:rPr>
          <w:b/>
        </w:rPr>
      </w:pPr>
      <w:r w:rsidRPr="00000941">
        <w:t>If, at any time, the</w:t>
      </w:r>
      <w:r w:rsidRPr="00041166">
        <w:t xml:space="preserve"> </w:t>
      </w:r>
      <w:r>
        <w:t>Supplier</w:t>
      </w:r>
      <w:r w:rsidRPr="00041166">
        <w:t xml:space="preserve"> envisages that</w:t>
      </w:r>
      <w:r>
        <w:t>:</w:t>
      </w:r>
    </w:p>
    <w:p w14:paraId="4CA6FB42" w14:textId="77777777" w:rsidR="00500574" w:rsidRPr="00FE4AAD" w:rsidRDefault="00500574" w:rsidP="00500574">
      <w:pPr>
        <w:pStyle w:val="ssNoHeading4"/>
        <w:numPr>
          <w:ilvl w:val="4"/>
          <w:numId w:val="2"/>
        </w:numPr>
        <w:tabs>
          <w:tab w:val="clear" w:pos="1985"/>
          <w:tab w:val="num" w:pos="360"/>
        </w:tabs>
        <w:rPr>
          <w:b/>
        </w:rPr>
      </w:pPr>
      <w:r w:rsidRPr="00FE4AAD">
        <w:t xml:space="preserve">the actual progress of construction of the </w:t>
      </w:r>
      <w:r>
        <w:t xml:space="preserve">Facility </w:t>
      </w:r>
      <w:r w:rsidRPr="00FE4AAD">
        <w:t xml:space="preserve">has fallen (or will fall) behind the rate required to achieve Commercial Operation by the </w:t>
      </w:r>
      <w:r>
        <w:t>Expected COD</w:t>
      </w:r>
      <w:r w:rsidRPr="00FE4AAD">
        <w:t>; or,</w:t>
      </w:r>
    </w:p>
    <w:p w14:paraId="3D01ED44" w14:textId="77777777" w:rsidR="00500574" w:rsidRPr="00FE4AAD" w:rsidRDefault="00500574" w:rsidP="00500574">
      <w:pPr>
        <w:pStyle w:val="ssNoHeading4"/>
        <w:numPr>
          <w:ilvl w:val="4"/>
          <w:numId w:val="2"/>
        </w:numPr>
        <w:tabs>
          <w:tab w:val="clear" w:pos="1985"/>
          <w:tab w:val="num" w:pos="360"/>
        </w:tabs>
        <w:rPr>
          <w:b/>
        </w:rPr>
      </w:pPr>
      <w:r w:rsidRPr="00FE4AAD">
        <w:t>any other issue arises that may</w:t>
      </w:r>
      <w:r>
        <w:t xml:space="preserve"> prevent the Facility from being Commissioned with the full</w:t>
      </w:r>
      <w:r w:rsidRPr="00FE4AAD">
        <w:t xml:space="preserve"> </w:t>
      </w:r>
      <w:r w:rsidRPr="00374943">
        <w:t>Expected Capacity;</w:t>
      </w:r>
      <w:r w:rsidRPr="00FE4AAD">
        <w:t xml:space="preserve"> or,</w:t>
      </w:r>
    </w:p>
    <w:p w14:paraId="0DF81ED3" w14:textId="77777777" w:rsidR="00500574" w:rsidRPr="00FE4AAD" w:rsidRDefault="00500574" w:rsidP="00500574">
      <w:pPr>
        <w:pStyle w:val="ssNoHeading4"/>
        <w:numPr>
          <w:ilvl w:val="4"/>
          <w:numId w:val="2"/>
        </w:numPr>
        <w:tabs>
          <w:tab w:val="clear" w:pos="1985"/>
          <w:tab w:val="num" w:pos="360"/>
        </w:tabs>
        <w:rPr>
          <w:b/>
        </w:rPr>
      </w:pPr>
      <w:r w:rsidRPr="00FE4AAD">
        <w:t xml:space="preserve">the </w:t>
      </w:r>
      <w:r>
        <w:t xml:space="preserve">Facility </w:t>
      </w:r>
      <w:r w:rsidRPr="00FE4AAD">
        <w:t xml:space="preserve">is not going to be capable of reaching the </w:t>
      </w:r>
      <w:r>
        <w:t xml:space="preserve">Actual COD </w:t>
      </w:r>
      <w:r w:rsidRPr="00FE4AAD">
        <w:t xml:space="preserve">by the </w:t>
      </w:r>
      <w:r>
        <w:t>Longstop Date</w:t>
      </w:r>
      <w:r w:rsidRPr="00FE4AAD">
        <w:t xml:space="preserve">; or, </w:t>
      </w:r>
    </w:p>
    <w:p w14:paraId="02C34552" w14:textId="3F59DA3C" w:rsidR="00500574" w:rsidRPr="00374943" w:rsidRDefault="00500574" w:rsidP="00500574">
      <w:pPr>
        <w:pStyle w:val="ssNoHeading4"/>
        <w:numPr>
          <w:ilvl w:val="4"/>
          <w:numId w:val="2"/>
        </w:numPr>
        <w:tabs>
          <w:tab w:val="clear" w:pos="1985"/>
          <w:tab w:val="num" w:pos="360"/>
        </w:tabs>
        <w:rPr>
          <w:b/>
        </w:rPr>
      </w:pPr>
      <w:r w:rsidRPr="00FE4AAD">
        <w:t xml:space="preserve">the </w:t>
      </w:r>
      <w:r>
        <w:t xml:space="preserve">Facility </w:t>
      </w:r>
      <w:r w:rsidRPr="00FE4AAD">
        <w:t xml:space="preserve">is not going to be able to obtain the </w:t>
      </w:r>
      <w:r>
        <w:t>P</w:t>
      </w:r>
      <w:r w:rsidRPr="00FE4AAD">
        <w:t>ermits</w:t>
      </w:r>
      <w:r>
        <w:t xml:space="preserve"> required to achieve the Actual COD</w:t>
      </w:r>
      <w:r w:rsidRPr="00FE4AAD">
        <w:t>;</w:t>
      </w:r>
      <w:r w:rsidR="006D0A03">
        <w:t xml:space="preserve"> or, </w:t>
      </w:r>
    </w:p>
    <w:p w14:paraId="184704E7" w14:textId="6B59AE6B" w:rsidR="00500574" w:rsidRPr="00B170E3" w:rsidRDefault="00500574" w:rsidP="00500574">
      <w:pPr>
        <w:pStyle w:val="ssNoHeading4"/>
        <w:numPr>
          <w:ilvl w:val="4"/>
          <w:numId w:val="2"/>
        </w:numPr>
        <w:tabs>
          <w:tab w:val="clear" w:pos="1985"/>
          <w:tab w:val="num" w:pos="360"/>
        </w:tabs>
        <w:rPr>
          <w:b/>
        </w:rPr>
      </w:pPr>
      <w:r w:rsidRPr="00755210">
        <w:t xml:space="preserve">any other notifications required by CCS or </w:t>
      </w:r>
      <w:r w:rsidRPr="00161735">
        <w:t>Buyers</w:t>
      </w:r>
      <w:r w:rsidR="006D0A03" w:rsidRPr="00161735">
        <w:t>,</w:t>
      </w:r>
    </w:p>
    <w:p w14:paraId="7793C88A" w14:textId="0AC52761" w:rsidR="00500574" w:rsidRDefault="00500574" w:rsidP="00500574">
      <w:pPr>
        <w:pStyle w:val="ssPara3"/>
      </w:pPr>
      <w:r w:rsidRPr="00485CAB">
        <w:t xml:space="preserve">then </w:t>
      </w:r>
      <w:r>
        <w:t>the Supplier</w:t>
      </w:r>
      <w:r w:rsidRPr="00485CAB">
        <w:t xml:space="preserve"> shall promptly notify</w:t>
      </w:r>
      <w:r>
        <w:t xml:space="preserve"> the</w:t>
      </w:r>
      <w:r w:rsidRPr="00485CAB">
        <w:t xml:space="preserve"> Buyer (and in any event within ten (10) </w:t>
      </w:r>
      <w:r w:rsidR="00534B1A">
        <w:t>Working Day</w:t>
      </w:r>
      <w:r w:rsidRPr="00485CAB">
        <w:t>s of becoming aware of the same) together with a revised construction schedule and supporting report describing the revised methods</w:t>
      </w:r>
      <w:r>
        <w:t xml:space="preserve"> including any methods to cure any of the circumstances described under above</w:t>
      </w:r>
      <w:r w:rsidRPr="00485CAB">
        <w:t xml:space="preserve"> that </w:t>
      </w:r>
      <w:r>
        <w:t>the Supplier</w:t>
      </w:r>
      <w:r w:rsidRPr="00485CAB">
        <w:t xml:space="preserve"> proposes to adopt in order to </w:t>
      </w:r>
      <w:r>
        <w:t xml:space="preserve">remedy those circumstances. </w:t>
      </w:r>
    </w:p>
    <w:p w14:paraId="7B8156EE" w14:textId="77777777" w:rsidR="00500574" w:rsidRPr="004D0DAC" w:rsidRDefault="00500574" w:rsidP="00500574">
      <w:pPr>
        <w:pStyle w:val="Heading2"/>
      </w:pPr>
      <w:bookmarkStart w:id="10" w:name="_Ref57586173"/>
      <w:r w:rsidRPr="004D0DAC">
        <w:t>Delay Damages</w:t>
      </w:r>
      <w:bookmarkEnd w:id="10"/>
    </w:p>
    <w:p w14:paraId="2BF0F1F5" w14:textId="1C23D6E4" w:rsidR="00500574" w:rsidRPr="007270C3" w:rsidRDefault="00500574" w:rsidP="00500574">
      <w:pPr>
        <w:pStyle w:val="ssNoHeading3"/>
      </w:pPr>
      <w:bookmarkStart w:id="11" w:name="_Ref169977989"/>
      <w:r w:rsidRPr="004D0DAC">
        <w:t xml:space="preserve">If </w:t>
      </w:r>
      <w:r>
        <w:t xml:space="preserve">the Actual COD </w:t>
      </w:r>
      <w:r w:rsidRPr="004D0DAC">
        <w:t xml:space="preserve">does not occur on or before the </w:t>
      </w:r>
      <w:r>
        <w:t>Expected COD</w:t>
      </w:r>
      <w:r w:rsidRPr="004D0DAC">
        <w:t xml:space="preserve"> </w:t>
      </w:r>
      <w:r w:rsidRPr="007270C3">
        <w:t xml:space="preserve">and the Buyer has not accepted a </w:t>
      </w:r>
      <w:r>
        <w:t>Replacement Facility</w:t>
      </w:r>
      <w:r w:rsidRPr="007270C3">
        <w:t xml:space="preserve"> in accordance with </w:t>
      </w:r>
      <w:r>
        <w:t>Paragraph</w:t>
      </w:r>
      <w:r w:rsidRPr="007270C3">
        <w:t xml:space="preserve"> </w:t>
      </w:r>
      <w:r>
        <w:fldChar w:fldCharType="begin"/>
      </w:r>
      <w:r>
        <w:instrText xml:space="preserve"> REF _Ref166775150 \r \h </w:instrText>
      </w:r>
      <w:r>
        <w:fldChar w:fldCharType="separate"/>
      </w:r>
      <w:r w:rsidR="00B503C7">
        <w:rPr>
          <w:cs/>
        </w:rPr>
        <w:t>‎</w:t>
      </w:r>
      <w:r w:rsidR="00B503C7">
        <w:t>3.4</w:t>
      </w:r>
      <w:r>
        <w:fldChar w:fldCharType="end"/>
      </w:r>
      <w:r>
        <w:t xml:space="preserve"> </w:t>
      </w:r>
      <w:r w:rsidRPr="007270C3">
        <w:t>(</w:t>
      </w:r>
      <w:r>
        <w:rPr>
          <w:i/>
          <w:iCs/>
        </w:rPr>
        <w:t>Replacement Facility</w:t>
      </w:r>
      <w:r w:rsidRPr="007270C3">
        <w:t>)</w:t>
      </w:r>
      <w:r w:rsidR="007845AC" w:rsidRPr="007845AC">
        <w:t xml:space="preserve"> </w:t>
      </w:r>
      <w:r w:rsidR="007845AC">
        <w:t>of this Call-Off Schedule 31 (</w:t>
      </w:r>
      <w:r w:rsidR="007845AC">
        <w:rPr>
          <w:i/>
          <w:iCs/>
        </w:rPr>
        <w:t>New Build Facilities</w:t>
      </w:r>
      <w:r w:rsidR="007845AC">
        <w:t>)</w:t>
      </w:r>
      <w:r w:rsidRPr="007270C3">
        <w:t>:</w:t>
      </w:r>
      <w:bookmarkEnd w:id="11"/>
    </w:p>
    <w:p w14:paraId="557F0378" w14:textId="31A48F0F" w:rsidR="00500574" w:rsidRDefault="00500574" w:rsidP="00500574">
      <w:pPr>
        <w:pStyle w:val="ssNoHeading4"/>
        <w:numPr>
          <w:ilvl w:val="4"/>
          <w:numId w:val="2"/>
        </w:numPr>
        <w:tabs>
          <w:tab w:val="clear" w:pos="1985"/>
          <w:tab w:val="num" w:pos="360"/>
        </w:tabs>
      </w:pPr>
      <w:r w:rsidRPr="004D0DAC">
        <w:t xml:space="preserve">the </w:t>
      </w:r>
      <w:r>
        <w:t>Supplier</w:t>
      </w:r>
      <w:r w:rsidRPr="004D0DAC">
        <w:t xml:space="preserve"> shall continue using commercially reasonable efforts to ensure that the </w:t>
      </w:r>
      <w:r>
        <w:t>Actual COD</w:t>
      </w:r>
      <w:r w:rsidRPr="004D0DAC">
        <w:t xml:space="preserve"> occurs as soon as practicable thereafter; and</w:t>
      </w:r>
    </w:p>
    <w:p w14:paraId="111106E6" w14:textId="23AA9F23" w:rsidR="007A5C9C" w:rsidRDefault="007A5C9C" w:rsidP="00500574">
      <w:pPr>
        <w:pStyle w:val="ssNoHeading4"/>
        <w:numPr>
          <w:ilvl w:val="4"/>
          <w:numId w:val="2"/>
        </w:numPr>
        <w:tabs>
          <w:tab w:val="clear" w:pos="1985"/>
          <w:tab w:val="num" w:pos="360"/>
        </w:tabs>
      </w:pPr>
      <w:bookmarkStart w:id="12" w:name="_Ref58444038"/>
      <w:r>
        <w:t xml:space="preserve">subject to Paragraph </w:t>
      </w:r>
      <w:r>
        <w:fldChar w:fldCharType="begin"/>
      </w:r>
      <w:r>
        <w:instrText xml:space="preserve"> REF _Ref169977762 \w \h </w:instrText>
      </w:r>
      <w:r>
        <w:fldChar w:fldCharType="separate"/>
      </w:r>
      <w:r w:rsidR="00B503C7">
        <w:rPr>
          <w:cs/>
        </w:rPr>
        <w:t>‎</w:t>
      </w:r>
      <w:r w:rsidR="00B503C7">
        <w:t>3.3(B)</w:t>
      </w:r>
      <w:r>
        <w:fldChar w:fldCharType="end"/>
      </w:r>
      <w:r>
        <w:t xml:space="preserve"> (</w:t>
      </w:r>
      <w:r w:rsidRPr="007A5C9C">
        <w:rPr>
          <w:i/>
          <w:iCs w:val="0"/>
        </w:rPr>
        <w:t>Delay Damages</w:t>
      </w:r>
      <w:r>
        <w:t>)</w:t>
      </w:r>
      <w:r w:rsidRPr="007845AC">
        <w:t xml:space="preserve"> </w:t>
      </w:r>
      <w:r>
        <w:t>of this Call-Off Schedule 31 (</w:t>
      </w:r>
      <w:r w:rsidRPr="007A5C9C">
        <w:rPr>
          <w:i/>
          <w:iCs w:val="0"/>
        </w:rPr>
        <w:t>New Build Facilities</w:t>
      </w:r>
      <w:r>
        <w:t xml:space="preserve">), </w:t>
      </w:r>
      <w:r w:rsidRPr="007A5C9C">
        <w:t xml:space="preserve">the Supplier shall pay </w:t>
      </w:r>
      <w:r>
        <w:t xml:space="preserve">Delay Damages </w:t>
      </w:r>
      <w:r w:rsidRPr="007A5C9C">
        <w:t>to the Buyer, for each day after the Expected COD until the earlier of (i) the Actual COD or (ii) the Longstop Date</w:t>
      </w:r>
      <w:bookmarkEnd w:id="12"/>
      <w:r>
        <w:t>.</w:t>
      </w:r>
    </w:p>
    <w:p w14:paraId="63FFB63A" w14:textId="0F9AA3B5" w:rsidR="00284208" w:rsidRDefault="00500574" w:rsidP="00546490">
      <w:pPr>
        <w:pStyle w:val="ssNoHeading3"/>
      </w:pPr>
      <w:bookmarkStart w:id="13" w:name="_Ref169977762"/>
      <w:bookmarkStart w:id="14" w:name="_Ref173792940"/>
      <w:r w:rsidRPr="00D54AF8">
        <w:t>During the period in which Delay Damages are payable</w:t>
      </w:r>
      <w:r>
        <w:t xml:space="preserve"> in accordance with Paragraph  </w:t>
      </w:r>
      <w:r>
        <w:fldChar w:fldCharType="begin"/>
      </w:r>
      <w:r>
        <w:instrText xml:space="preserve"> REF _Ref169977989 \w \h </w:instrText>
      </w:r>
      <w:r>
        <w:fldChar w:fldCharType="separate"/>
      </w:r>
      <w:r w:rsidR="00B503C7">
        <w:rPr>
          <w:cs/>
        </w:rPr>
        <w:t>‎</w:t>
      </w:r>
      <w:r w:rsidR="00B503C7">
        <w:t>3.3(A)</w:t>
      </w:r>
      <w:r>
        <w:fldChar w:fldCharType="end"/>
      </w:r>
      <w:r w:rsidR="007845AC">
        <w:t xml:space="preserve"> (</w:t>
      </w:r>
      <w:r w:rsidR="007845AC">
        <w:rPr>
          <w:i/>
          <w:iCs/>
        </w:rPr>
        <w:t>Delay Damages</w:t>
      </w:r>
      <w:r w:rsidR="007845AC">
        <w:t>) of this Call-Off Schedule 31 (</w:t>
      </w:r>
      <w:r w:rsidR="007845AC">
        <w:rPr>
          <w:i/>
          <w:iCs/>
        </w:rPr>
        <w:t>New Build Facilities</w:t>
      </w:r>
      <w:r w:rsidR="007845AC">
        <w:t>)</w:t>
      </w:r>
      <w:r w:rsidRPr="00D54AF8">
        <w:t xml:space="preserve">, the Buyer may (at its sole discretion) </w:t>
      </w:r>
      <w:r>
        <w:t xml:space="preserve">allow </w:t>
      </w:r>
      <w:r w:rsidRPr="00D54AF8">
        <w:t xml:space="preserve">the Supplier to supply </w:t>
      </w:r>
      <w:r w:rsidR="007A5C9C">
        <w:t xml:space="preserve">electricity </w:t>
      </w:r>
      <w:r w:rsidRPr="00D54AF8">
        <w:t xml:space="preserve">and </w:t>
      </w:r>
      <w:r w:rsidR="00284208">
        <w:t xml:space="preserve">Comparable </w:t>
      </w:r>
      <w:r w:rsidR="007C0FC9">
        <w:t>Environmental Attribute</w:t>
      </w:r>
      <w:r w:rsidRPr="00D54AF8">
        <w:t xml:space="preserve">s from </w:t>
      </w:r>
      <w:r>
        <w:t xml:space="preserve">another renewable energy generation </w:t>
      </w:r>
      <w:r w:rsidRPr="00D54AF8">
        <w:t xml:space="preserve">facility </w:t>
      </w:r>
      <w:r>
        <w:t xml:space="preserve">acceptable to the Buyer </w:t>
      </w:r>
      <w:r w:rsidRPr="00D54AF8">
        <w:t>during the period of delay</w:t>
      </w:r>
      <w:r>
        <w:t xml:space="preserve">, in </w:t>
      </w:r>
      <w:r w:rsidR="00284208">
        <w:t xml:space="preserve">whole or in part up to </w:t>
      </w:r>
      <w:r>
        <w:t>an amount equal to the Buyer’s Expected Annual Production, pro rated for the period of the delay</w:t>
      </w:r>
      <w:r w:rsidRPr="00D54AF8">
        <w:t xml:space="preserve">. If </w:t>
      </w:r>
      <w:r>
        <w:t xml:space="preserve">the </w:t>
      </w:r>
      <w:r w:rsidRPr="00546490">
        <w:t xml:space="preserve">Buyer exercises this option, then </w:t>
      </w:r>
      <w:bookmarkEnd w:id="13"/>
      <w:r w:rsidRPr="00546490">
        <w:t xml:space="preserve">the </w:t>
      </w:r>
      <w:r w:rsidR="00284208">
        <w:t>following shall apply:</w:t>
      </w:r>
      <w:bookmarkEnd w:id="14"/>
      <w:r w:rsidR="00284208">
        <w:t xml:space="preserve"> </w:t>
      </w:r>
    </w:p>
    <w:p w14:paraId="39B48850" w14:textId="6C9B78C4" w:rsidR="00284208" w:rsidRPr="00284208" w:rsidRDefault="00284208" w:rsidP="00284208">
      <w:pPr>
        <w:pStyle w:val="Heading4"/>
        <w:rPr>
          <w:b w:val="0"/>
          <w:bCs w:val="0"/>
        </w:rPr>
      </w:pPr>
      <w:r w:rsidRPr="00284208">
        <w:rPr>
          <w:b w:val="0"/>
          <w:bCs w:val="0"/>
        </w:rPr>
        <w:lastRenderedPageBreak/>
        <w:t xml:space="preserve">the </w:t>
      </w:r>
      <w:r w:rsidR="00500574" w:rsidRPr="00284208">
        <w:rPr>
          <w:b w:val="0"/>
          <w:bCs w:val="0"/>
        </w:rPr>
        <w:t xml:space="preserve">Supplier shall supply such electricity and </w:t>
      </w:r>
      <w:r w:rsidRPr="00284208">
        <w:rPr>
          <w:b w:val="0"/>
          <w:bCs w:val="0"/>
        </w:rPr>
        <w:t xml:space="preserve">Comparable </w:t>
      </w:r>
      <w:r w:rsidR="007C0FC9">
        <w:rPr>
          <w:b w:val="0"/>
          <w:bCs w:val="0"/>
        </w:rPr>
        <w:t>Environmental Attribute</w:t>
      </w:r>
      <w:r w:rsidR="00500574" w:rsidRPr="00284208">
        <w:rPr>
          <w:b w:val="0"/>
          <w:bCs w:val="0"/>
        </w:rPr>
        <w:t xml:space="preserve">s </w:t>
      </w:r>
      <w:r w:rsidR="00755210" w:rsidRPr="00284208">
        <w:rPr>
          <w:b w:val="0"/>
          <w:bCs w:val="0"/>
        </w:rPr>
        <w:t xml:space="preserve">for the </w:t>
      </w:r>
      <w:r w:rsidR="00F43CE6" w:rsidRPr="00284208">
        <w:rPr>
          <w:b w:val="0"/>
          <w:bCs w:val="0"/>
        </w:rPr>
        <w:t>applicable Charge</w:t>
      </w:r>
      <w:r>
        <w:rPr>
          <w:b w:val="0"/>
          <w:bCs w:val="0"/>
        </w:rPr>
        <w:t>s in the Call-Off Contract</w:t>
      </w:r>
      <w:r w:rsidRPr="00284208">
        <w:rPr>
          <w:b w:val="0"/>
          <w:bCs w:val="0"/>
        </w:rPr>
        <w:t xml:space="preserve">; </w:t>
      </w:r>
      <w:r w:rsidR="00500574" w:rsidRPr="00284208">
        <w:rPr>
          <w:b w:val="0"/>
          <w:bCs w:val="0"/>
        </w:rPr>
        <w:t xml:space="preserve">  </w:t>
      </w:r>
    </w:p>
    <w:p w14:paraId="0CD956B8" w14:textId="57F2D0F7" w:rsidR="00284208" w:rsidRPr="00284208" w:rsidRDefault="00284208" w:rsidP="00284208">
      <w:pPr>
        <w:pStyle w:val="Heading4"/>
        <w:rPr>
          <w:b w:val="0"/>
          <w:bCs w:val="0"/>
        </w:rPr>
      </w:pPr>
      <w:r w:rsidRPr="00284208">
        <w:rPr>
          <w:b w:val="0"/>
          <w:bCs w:val="0"/>
        </w:rPr>
        <w:t xml:space="preserve">if the volume of electricity and Comparable </w:t>
      </w:r>
      <w:r w:rsidR="007C0FC9">
        <w:rPr>
          <w:b w:val="0"/>
          <w:bCs w:val="0"/>
        </w:rPr>
        <w:t>Environmental Attribute</w:t>
      </w:r>
      <w:r w:rsidRPr="00284208">
        <w:rPr>
          <w:b w:val="0"/>
          <w:bCs w:val="0"/>
        </w:rPr>
        <w:t xml:space="preserve">s supplied is less than the Buyer’s Expected Annual Production, pro rated for the period of the delay with associated </w:t>
      </w:r>
      <w:r w:rsidR="007C0FC9">
        <w:rPr>
          <w:b w:val="0"/>
          <w:bCs w:val="0"/>
        </w:rPr>
        <w:t>Environmental Attribute</w:t>
      </w:r>
      <w:r w:rsidRPr="00284208">
        <w:rPr>
          <w:b w:val="0"/>
          <w:bCs w:val="0"/>
        </w:rPr>
        <w:t xml:space="preserve">s, then the Supplier shall pay Shortfall Damages on the same basis as under Paragraph </w:t>
      </w:r>
      <w:r w:rsidRPr="00284208">
        <w:rPr>
          <w:b w:val="0"/>
          <w:bCs w:val="0"/>
        </w:rPr>
        <w:fldChar w:fldCharType="begin"/>
      </w:r>
      <w:r w:rsidRPr="00284208">
        <w:rPr>
          <w:b w:val="0"/>
          <w:bCs w:val="0"/>
        </w:rPr>
        <w:instrText xml:space="preserve"> REF _Ref173790392 \r \h </w:instrText>
      </w:r>
      <w:r>
        <w:rPr>
          <w:b w:val="0"/>
          <w:bCs w:val="0"/>
        </w:rPr>
        <w:instrText xml:space="preserve"> \* MERGEFORMAT </w:instrText>
      </w:r>
      <w:r w:rsidRPr="00284208">
        <w:rPr>
          <w:b w:val="0"/>
          <w:bCs w:val="0"/>
        </w:rPr>
      </w:r>
      <w:r w:rsidRPr="00284208">
        <w:rPr>
          <w:b w:val="0"/>
          <w:bCs w:val="0"/>
        </w:rPr>
        <w:fldChar w:fldCharType="separate"/>
      </w:r>
      <w:r w:rsidRPr="00284208">
        <w:rPr>
          <w:b w:val="0"/>
          <w:bCs w:val="0"/>
          <w:cs/>
        </w:rPr>
        <w:t>‎</w:t>
      </w:r>
      <w:r w:rsidRPr="00284208">
        <w:rPr>
          <w:b w:val="0"/>
          <w:bCs w:val="0"/>
        </w:rPr>
        <w:t>4.2(B)</w:t>
      </w:r>
      <w:r w:rsidRPr="00284208">
        <w:rPr>
          <w:b w:val="0"/>
          <w:bCs w:val="0"/>
        </w:rPr>
        <w:fldChar w:fldCharType="end"/>
      </w:r>
      <w:r w:rsidR="008C52FB">
        <w:rPr>
          <w:b w:val="0"/>
          <w:bCs w:val="0"/>
        </w:rPr>
        <w:t xml:space="preserve"> (</w:t>
      </w:r>
      <w:r w:rsidR="008C52FB">
        <w:rPr>
          <w:b w:val="0"/>
          <w:bCs w:val="0"/>
          <w:i/>
          <w:iCs w:val="0"/>
        </w:rPr>
        <w:t>Shortfall Damages</w:t>
      </w:r>
      <w:r w:rsidR="008C52FB">
        <w:rPr>
          <w:b w:val="0"/>
          <w:bCs w:val="0"/>
        </w:rPr>
        <w:t>)</w:t>
      </w:r>
      <w:r w:rsidRPr="00284208">
        <w:rPr>
          <w:b w:val="0"/>
          <w:bCs w:val="0"/>
        </w:rPr>
        <w:t xml:space="preserve"> in respect of such shortfall (references to Permitted Capacity Shortfall being construed as the shortfall referred to in this Paragraph); </w:t>
      </w:r>
    </w:p>
    <w:p w14:paraId="63703BB2" w14:textId="657C9D9D" w:rsidR="00284208" w:rsidRPr="00284208" w:rsidRDefault="00500574" w:rsidP="00284208">
      <w:pPr>
        <w:pStyle w:val="Heading4"/>
        <w:rPr>
          <w:b w:val="0"/>
          <w:bCs w:val="0"/>
        </w:rPr>
      </w:pPr>
      <w:r w:rsidRPr="00284208">
        <w:rPr>
          <w:b w:val="0"/>
          <w:bCs w:val="0"/>
        </w:rPr>
        <w:t>Paragraph</w:t>
      </w:r>
      <w:r w:rsidR="00B503C7" w:rsidRPr="00284208">
        <w:rPr>
          <w:b w:val="0"/>
          <w:bCs w:val="0"/>
        </w:rPr>
        <w:t>s</w:t>
      </w:r>
      <w:r w:rsidRPr="00284208">
        <w:rPr>
          <w:b w:val="0"/>
          <w:bCs w:val="0"/>
        </w:rPr>
        <w:t xml:space="preserve"> </w:t>
      </w:r>
      <w:r w:rsidR="008C2F21" w:rsidRPr="00284208">
        <w:rPr>
          <w:b w:val="0"/>
          <w:bCs w:val="0"/>
        </w:rPr>
        <w:t>6</w:t>
      </w:r>
      <w:r w:rsidR="007A5C9C" w:rsidRPr="00284208">
        <w:rPr>
          <w:b w:val="0"/>
          <w:bCs w:val="0"/>
        </w:rPr>
        <w:t xml:space="preserve"> (</w:t>
      </w:r>
      <w:r w:rsidR="007A5C9C" w:rsidRPr="00284208">
        <w:rPr>
          <w:b w:val="0"/>
          <w:bCs w:val="0"/>
          <w:i/>
        </w:rPr>
        <w:t>Physical Transfer of Contract Electricity; Sleeving and Balancing</w:t>
      </w:r>
      <w:r w:rsidR="007A5C9C" w:rsidRPr="00284208">
        <w:rPr>
          <w:b w:val="0"/>
          <w:bCs w:val="0"/>
        </w:rPr>
        <w:t xml:space="preserve">), </w:t>
      </w:r>
      <w:r w:rsidR="008C2F21" w:rsidRPr="00284208">
        <w:rPr>
          <w:b w:val="0"/>
          <w:bCs w:val="0"/>
        </w:rPr>
        <w:t>8</w:t>
      </w:r>
      <w:r w:rsidR="007A5C9C" w:rsidRPr="00284208">
        <w:rPr>
          <w:b w:val="0"/>
          <w:bCs w:val="0"/>
        </w:rPr>
        <w:t xml:space="preserve"> (</w:t>
      </w:r>
      <w:r w:rsidR="007A5C9C" w:rsidRPr="00284208">
        <w:rPr>
          <w:b w:val="0"/>
          <w:bCs w:val="0"/>
          <w:i/>
        </w:rPr>
        <w:t>Title and Risk of Loss</w:t>
      </w:r>
      <w:r w:rsidR="007A5C9C" w:rsidRPr="00284208">
        <w:rPr>
          <w:b w:val="0"/>
          <w:bCs w:val="0"/>
        </w:rPr>
        <w:t>) of Call-Off Schedule 25 (</w:t>
      </w:r>
      <w:r w:rsidR="007A5C9C" w:rsidRPr="00284208">
        <w:rPr>
          <w:b w:val="0"/>
          <w:bCs w:val="0"/>
          <w:i/>
        </w:rPr>
        <w:t>Call-Off PPA Terms</w:t>
      </w:r>
      <w:r w:rsidR="007A5C9C" w:rsidRPr="00284208">
        <w:rPr>
          <w:b w:val="0"/>
          <w:bCs w:val="0"/>
        </w:rPr>
        <w:t xml:space="preserve">) shall apply in respect of the transfer of such electricity </w:t>
      </w:r>
      <w:r w:rsidR="00284208" w:rsidRPr="00284208">
        <w:rPr>
          <w:b w:val="0"/>
          <w:bCs w:val="0"/>
        </w:rPr>
        <w:t>and Call-Off Schedule 27 (</w:t>
      </w:r>
      <w:r w:rsidR="00284208" w:rsidRPr="00284208">
        <w:rPr>
          <w:b w:val="0"/>
          <w:bCs w:val="0"/>
          <w:i/>
        </w:rPr>
        <w:t>Environmental Attributes</w:t>
      </w:r>
      <w:r w:rsidR="00284208" w:rsidRPr="00284208">
        <w:rPr>
          <w:b w:val="0"/>
          <w:bCs w:val="0"/>
        </w:rPr>
        <w:t xml:space="preserve">) shall apply in respect of the Conveyance of Comparable </w:t>
      </w:r>
      <w:r w:rsidR="007C0FC9">
        <w:rPr>
          <w:b w:val="0"/>
          <w:bCs w:val="0"/>
        </w:rPr>
        <w:t>Environmental Attribute</w:t>
      </w:r>
      <w:r w:rsidR="00284208" w:rsidRPr="00284208">
        <w:rPr>
          <w:b w:val="0"/>
          <w:bCs w:val="0"/>
        </w:rPr>
        <w:t xml:space="preserve">s </w:t>
      </w:r>
      <w:r w:rsidR="007A5C9C" w:rsidRPr="00284208">
        <w:rPr>
          <w:b w:val="0"/>
          <w:bCs w:val="0"/>
        </w:rPr>
        <w:t>and any references in the Call-Off Contract to Contract Electricity shall, for such purposes be deemed to be references to such replacement electricity</w:t>
      </w:r>
      <w:r w:rsidR="00284208" w:rsidRPr="00284208">
        <w:rPr>
          <w:b w:val="0"/>
          <w:bCs w:val="0"/>
        </w:rPr>
        <w:t>; and</w:t>
      </w:r>
      <w:r w:rsidR="00546490" w:rsidRPr="00284208">
        <w:rPr>
          <w:b w:val="0"/>
          <w:bCs w:val="0"/>
        </w:rPr>
        <w:t xml:space="preserve"> </w:t>
      </w:r>
    </w:p>
    <w:p w14:paraId="67BD4F8E" w14:textId="3100958E" w:rsidR="00500574" w:rsidRPr="00284208" w:rsidRDefault="00284208" w:rsidP="00284208">
      <w:pPr>
        <w:pStyle w:val="Heading4"/>
        <w:rPr>
          <w:b w:val="0"/>
          <w:bCs w:val="0"/>
        </w:rPr>
      </w:pPr>
      <w:r w:rsidRPr="00284208">
        <w:rPr>
          <w:b w:val="0"/>
          <w:bCs w:val="0"/>
        </w:rPr>
        <w:t>t</w:t>
      </w:r>
      <w:r w:rsidR="00546490" w:rsidRPr="00284208">
        <w:rPr>
          <w:b w:val="0"/>
          <w:bCs w:val="0"/>
        </w:rPr>
        <w:t xml:space="preserve">he Supplier shall, at its own cost, do all acts and execute all documents requested by the Buyer, which may be necessary to give full effect to </w:t>
      </w:r>
      <w:r>
        <w:rPr>
          <w:b w:val="0"/>
          <w:bCs w:val="0"/>
        </w:rPr>
        <w:t xml:space="preserve">principles set out in the previous sub-paragraphs of this Paragraph </w:t>
      </w:r>
      <w:r>
        <w:rPr>
          <w:b w:val="0"/>
          <w:bCs w:val="0"/>
        </w:rPr>
        <w:fldChar w:fldCharType="begin"/>
      </w:r>
      <w:r>
        <w:rPr>
          <w:b w:val="0"/>
          <w:bCs w:val="0"/>
        </w:rPr>
        <w:instrText xml:space="preserve"> REF _Ref173792940 \w \h </w:instrText>
      </w:r>
      <w:r>
        <w:rPr>
          <w:b w:val="0"/>
          <w:bCs w:val="0"/>
        </w:rPr>
      </w:r>
      <w:r>
        <w:rPr>
          <w:b w:val="0"/>
          <w:bCs w:val="0"/>
        </w:rPr>
        <w:fldChar w:fldCharType="separate"/>
      </w:r>
      <w:r>
        <w:rPr>
          <w:b w:val="0"/>
          <w:bCs w:val="0"/>
          <w:cs/>
        </w:rPr>
        <w:t>‎</w:t>
      </w:r>
      <w:r>
        <w:rPr>
          <w:b w:val="0"/>
          <w:bCs w:val="0"/>
        </w:rPr>
        <w:t>3.3(B)</w:t>
      </w:r>
      <w:r>
        <w:rPr>
          <w:b w:val="0"/>
          <w:bCs w:val="0"/>
        </w:rPr>
        <w:fldChar w:fldCharType="end"/>
      </w:r>
      <w:r>
        <w:rPr>
          <w:b w:val="0"/>
          <w:bCs w:val="0"/>
        </w:rPr>
        <w:t xml:space="preserve"> in respect of </w:t>
      </w:r>
      <w:r w:rsidR="00546490" w:rsidRPr="00284208">
        <w:rPr>
          <w:b w:val="0"/>
          <w:bCs w:val="0"/>
        </w:rPr>
        <w:t xml:space="preserve">the </w:t>
      </w:r>
      <w:r w:rsidR="00755210" w:rsidRPr="00284208">
        <w:rPr>
          <w:b w:val="0"/>
          <w:bCs w:val="0"/>
        </w:rPr>
        <w:t xml:space="preserve">temporary </w:t>
      </w:r>
      <w:r w:rsidR="00546490" w:rsidRPr="00284208">
        <w:rPr>
          <w:b w:val="0"/>
          <w:bCs w:val="0"/>
        </w:rPr>
        <w:t>transfer of replacement electricity</w:t>
      </w:r>
      <w:r>
        <w:rPr>
          <w:b w:val="0"/>
          <w:bCs w:val="0"/>
        </w:rPr>
        <w:t>,</w:t>
      </w:r>
      <w:r w:rsidR="00546490" w:rsidRPr="00284208">
        <w:rPr>
          <w:b w:val="0"/>
          <w:bCs w:val="0"/>
        </w:rPr>
        <w:t xml:space="preserve"> the </w:t>
      </w:r>
      <w:r w:rsidR="0036384F" w:rsidRPr="00284208">
        <w:rPr>
          <w:b w:val="0"/>
          <w:bCs w:val="0"/>
        </w:rPr>
        <w:t>Conveyance</w:t>
      </w:r>
      <w:r w:rsidR="00546490" w:rsidRPr="00284208">
        <w:rPr>
          <w:b w:val="0"/>
          <w:bCs w:val="0"/>
        </w:rPr>
        <w:t xml:space="preserve"> of Comparable </w:t>
      </w:r>
      <w:r w:rsidR="007C0FC9">
        <w:rPr>
          <w:b w:val="0"/>
          <w:bCs w:val="0"/>
        </w:rPr>
        <w:t>Environmental Attribute</w:t>
      </w:r>
      <w:r w:rsidR="00546490" w:rsidRPr="00284208">
        <w:rPr>
          <w:b w:val="0"/>
          <w:bCs w:val="0"/>
        </w:rPr>
        <w:t>s</w:t>
      </w:r>
      <w:r w:rsidRPr="00284208">
        <w:rPr>
          <w:b w:val="0"/>
          <w:bCs w:val="0"/>
        </w:rPr>
        <w:t xml:space="preserve"> and (if applicable) the payment of Shortfall Damages</w:t>
      </w:r>
      <w:r w:rsidR="00546490" w:rsidRPr="00284208">
        <w:rPr>
          <w:b w:val="0"/>
          <w:bCs w:val="0"/>
        </w:rPr>
        <w:t xml:space="preserve">. </w:t>
      </w:r>
    </w:p>
    <w:p w14:paraId="6A108E2A" w14:textId="17BCF9D8" w:rsidR="007A5C9C" w:rsidRDefault="007A5C9C" w:rsidP="007A5C9C">
      <w:pPr>
        <w:pStyle w:val="ssNoHeading3"/>
      </w:pPr>
      <w:r>
        <w:t>T</w:t>
      </w:r>
      <w:r w:rsidRPr="004D0DAC">
        <w:t xml:space="preserve">he </w:t>
      </w:r>
      <w:r>
        <w:t>Supplier’</w:t>
      </w:r>
      <w:r w:rsidRPr="004D0DAC">
        <w:t xml:space="preserve">s obligations </w:t>
      </w:r>
      <w:r>
        <w:t xml:space="preserve">under </w:t>
      </w:r>
      <w:r>
        <w:rPr>
          <w:bCs w:val="0"/>
        </w:rPr>
        <w:t>Call-Off Schedule 27</w:t>
      </w:r>
      <w:r>
        <w:t xml:space="preserve"> (</w:t>
      </w:r>
      <w:r>
        <w:rPr>
          <w:i/>
          <w:iCs/>
        </w:rPr>
        <w:t>Environmental Attributes</w:t>
      </w:r>
      <w:r>
        <w:t xml:space="preserve">) </w:t>
      </w:r>
      <w:r w:rsidRPr="004D0DAC">
        <w:t xml:space="preserve">shall </w:t>
      </w:r>
      <w:r>
        <w:t xml:space="preserve">apply in respect of any Comparable </w:t>
      </w:r>
      <w:r w:rsidR="007C0FC9">
        <w:t>Environmental Attribute</w:t>
      </w:r>
      <w:r>
        <w:t xml:space="preserve">s required to be </w:t>
      </w:r>
      <w:r w:rsidR="0036384F">
        <w:t>Conveyed</w:t>
      </w:r>
      <w:r>
        <w:t xml:space="preserve"> as part of </w:t>
      </w:r>
      <w:r w:rsidRPr="004D0DAC">
        <w:t>any Delay Damages.</w:t>
      </w:r>
    </w:p>
    <w:p w14:paraId="64A1D971" w14:textId="77777777" w:rsidR="00500574" w:rsidRPr="00B04A4B" w:rsidRDefault="00500574" w:rsidP="00500574">
      <w:pPr>
        <w:pStyle w:val="Heading2"/>
      </w:pPr>
      <w:bookmarkStart w:id="15" w:name="_Ref127740646"/>
      <w:bookmarkStart w:id="16" w:name="_Ref166775150"/>
      <w:bookmarkStart w:id="17" w:name="_Ref169612965"/>
      <w:r>
        <w:t>Replacement Facilit</w:t>
      </w:r>
      <w:bookmarkEnd w:id="15"/>
      <w:r>
        <w:t>y</w:t>
      </w:r>
      <w:bookmarkEnd w:id="16"/>
      <w:r>
        <w:t xml:space="preserve"> </w:t>
      </w:r>
      <w:bookmarkEnd w:id="17"/>
    </w:p>
    <w:p w14:paraId="301FC29B" w14:textId="265F7038" w:rsidR="00500574" w:rsidRDefault="00500574" w:rsidP="00500574">
      <w:pPr>
        <w:pStyle w:val="ssNoHeading3"/>
      </w:pPr>
      <w:bookmarkStart w:id="18" w:name="_Ref138863736"/>
      <w:bookmarkStart w:id="19" w:name="_Ref141901862"/>
      <w:bookmarkStart w:id="20" w:name="_Ref141799875"/>
      <w:r w:rsidRPr="00B04A4B">
        <w:t xml:space="preserve">If, notwithstanding the revised methods implemented, the issues identified under </w:t>
      </w:r>
      <w:r>
        <w:t xml:space="preserve">Paragraph </w:t>
      </w:r>
      <w:r>
        <w:fldChar w:fldCharType="begin"/>
      </w:r>
      <w:r>
        <w:instrText xml:space="preserve"> REF _Ref166774139 \r \h </w:instrText>
      </w:r>
      <w:r>
        <w:fldChar w:fldCharType="separate"/>
      </w:r>
      <w:r w:rsidR="00B503C7">
        <w:rPr>
          <w:cs/>
        </w:rPr>
        <w:t>‎</w:t>
      </w:r>
      <w:r w:rsidR="00B503C7">
        <w:t>3.2</w:t>
      </w:r>
      <w:r>
        <w:fldChar w:fldCharType="end"/>
      </w:r>
      <w:r>
        <w:t xml:space="preserve"> (</w:t>
      </w:r>
      <w:r w:rsidRPr="00A96047">
        <w:rPr>
          <w:i/>
          <w:iCs/>
        </w:rPr>
        <w:t>Delays to Construction</w:t>
      </w:r>
      <w:r>
        <w:t xml:space="preserve">) </w:t>
      </w:r>
      <w:r w:rsidR="007845AC">
        <w:t>of this Call-Off Schedule 31 (</w:t>
      </w:r>
      <w:r w:rsidR="007845AC">
        <w:rPr>
          <w:i/>
          <w:iCs/>
        </w:rPr>
        <w:t>New Build Facilities</w:t>
      </w:r>
      <w:r w:rsidR="007845AC">
        <w:t xml:space="preserve">) </w:t>
      </w:r>
      <w:r w:rsidRPr="00B04A4B">
        <w:t xml:space="preserve">are continuing, </w:t>
      </w:r>
      <w:r>
        <w:t xml:space="preserve">the Supplier may </w:t>
      </w:r>
      <w:r w:rsidRPr="00B04A4B">
        <w:t xml:space="preserve">no later than </w:t>
      </w:r>
      <w:r>
        <w:t xml:space="preserve">ninety </w:t>
      </w:r>
      <w:r w:rsidRPr="00B04A4B">
        <w:t>(</w:t>
      </w:r>
      <w:r>
        <w:t>90</w:t>
      </w:r>
      <w:r w:rsidRPr="00B04A4B">
        <w:t xml:space="preserve">) </w:t>
      </w:r>
      <w:r w:rsidR="00534B1A">
        <w:t>Working Day</w:t>
      </w:r>
      <w:r w:rsidRPr="00B04A4B">
        <w:t xml:space="preserve">s before the </w:t>
      </w:r>
      <w:r>
        <w:t xml:space="preserve">Longstop </w:t>
      </w:r>
      <w:r w:rsidRPr="00B04A4B">
        <w:t xml:space="preserve">Date, </w:t>
      </w:r>
      <w:bookmarkStart w:id="21" w:name="_Ref127719375"/>
      <w:bookmarkStart w:id="22" w:name="_Ref137021524"/>
      <w:bookmarkStart w:id="23" w:name="_Ref159459496"/>
      <w:bookmarkEnd w:id="18"/>
      <w:bookmarkEnd w:id="19"/>
      <w:r>
        <w:t>p</w:t>
      </w:r>
      <w:r w:rsidRPr="00B04A4B">
        <w:rPr>
          <w:iCs/>
        </w:rPr>
        <w:t xml:space="preserve">ropose to replace the </w:t>
      </w:r>
      <w:r>
        <w:rPr>
          <w:iCs/>
        </w:rPr>
        <w:t xml:space="preserve">Facility </w:t>
      </w:r>
      <w:r w:rsidRPr="00B04A4B">
        <w:rPr>
          <w:iCs/>
        </w:rPr>
        <w:t xml:space="preserve">with a </w:t>
      </w:r>
      <w:r>
        <w:t xml:space="preserve">Replacement Facility by requesting a Variation in accordance with the Variation Procedure, in which case the </w:t>
      </w:r>
      <w:bookmarkStart w:id="24" w:name="_Ref138860976"/>
      <w:bookmarkStart w:id="25" w:name="_Ref145535682"/>
      <w:bookmarkEnd w:id="20"/>
      <w:bookmarkEnd w:id="21"/>
      <w:bookmarkEnd w:id="22"/>
      <w:bookmarkEnd w:id="23"/>
      <w:r>
        <w:t xml:space="preserve">Supplier shall provide to the Buyer with such proposal: </w:t>
      </w:r>
    </w:p>
    <w:p w14:paraId="4D798621" w14:textId="77777777" w:rsidR="00500574" w:rsidRDefault="00500574" w:rsidP="00500574">
      <w:pPr>
        <w:pStyle w:val="ssNoHeading4"/>
        <w:numPr>
          <w:ilvl w:val="4"/>
          <w:numId w:val="2"/>
        </w:numPr>
        <w:tabs>
          <w:tab w:val="clear" w:pos="1985"/>
          <w:tab w:val="num" w:pos="360"/>
        </w:tabs>
      </w:pPr>
      <w:r>
        <w:t xml:space="preserve">a Variation Form setting out an Impact Assessment of the replacement, provided that any financial impact shall be for information only and the Supplier shall not be entitled to propose any increase in the Framework Prices, Charges or any other financial compensation or payment by the Buyer as part of the Impact Assessment; and </w:t>
      </w:r>
    </w:p>
    <w:p w14:paraId="4A1B8750" w14:textId="77777777" w:rsidR="00500574" w:rsidRDefault="00500574" w:rsidP="00500574">
      <w:pPr>
        <w:pStyle w:val="ssNoHeading4"/>
        <w:numPr>
          <w:ilvl w:val="4"/>
          <w:numId w:val="2"/>
        </w:numPr>
        <w:tabs>
          <w:tab w:val="clear" w:pos="1985"/>
          <w:tab w:val="num" w:pos="360"/>
        </w:tabs>
      </w:pPr>
      <w:r w:rsidRPr="00B04A4B">
        <w:t xml:space="preserve">all supporting documentation reasonably required for the Buyer to assess whether the proposed replacement </w:t>
      </w:r>
      <w:r>
        <w:t xml:space="preserve">Facility </w:t>
      </w:r>
      <w:r w:rsidRPr="00B04A4B">
        <w:t xml:space="preserve">meets the conditions set out in </w:t>
      </w:r>
      <w:r>
        <w:t>this Call-Off Contract</w:t>
      </w:r>
      <w:r w:rsidRPr="00B04A4B">
        <w:t xml:space="preserve"> for a </w:t>
      </w:r>
      <w:r>
        <w:t>Replacement Facility</w:t>
      </w:r>
      <w:r w:rsidRPr="00B04A4B">
        <w:t xml:space="preserve">. </w:t>
      </w:r>
    </w:p>
    <w:p w14:paraId="1D22F469" w14:textId="72EFC7DA" w:rsidR="00500574" w:rsidRDefault="00500574" w:rsidP="00500574">
      <w:pPr>
        <w:pStyle w:val="ssNoHeading3"/>
      </w:pPr>
      <w:r w:rsidRPr="00B04A4B">
        <w:t xml:space="preserve">Following the provision of such information by the </w:t>
      </w:r>
      <w:r>
        <w:t>Supplier</w:t>
      </w:r>
      <w:r w:rsidRPr="00B04A4B">
        <w:t xml:space="preserve">, the Buyer shall have a period of </w:t>
      </w:r>
      <w:r>
        <w:t xml:space="preserve">forty-five </w:t>
      </w:r>
      <w:r w:rsidRPr="00B04A4B">
        <w:t>(</w:t>
      </w:r>
      <w:r>
        <w:t>45</w:t>
      </w:r>
      <w:r w:rsidRPr="00B04A4B">
        <w:t xml:space="preserve">) </w:t>
      </w:r>
      <w:r w:rsidR="00534B1A">
        <w:t>Working Day</w:t>
      </w:r>
      <w:r w:rsidRPr="00B04A4B">
        <w:t>s to review the supporting documentation</w:t>
      </w:r>
      <w:r>
        <w:t xml:space="preserve">, during which the Supplier shall promptly respond to any </w:t>
      </w:r>
      <w:r>
        <w:lastRenderedPageBreak/>
        <w:t xml:space="preserve">requests for additional information by the Buyer and attend any clarification meetings requested by the Buyer.  </w:t>
      </w:r>
      <w:bookmarkEnd w:id="24"/>
      <w:bookmarkEnd w:id="25"/>
      <w:r>
        <w:t xml:space="preserve">The Buyer may approve or reject a Replacement Facility in its sole discretion and the provisions of the Variation Procedure shall apply, provided that: </w:t>
      </w:r>
    </w:p>
    <w:p w14:paraId="61072CA5" w14:textId="2C872770" w:rsidR="00500574" w:rsidRDefault="00500574" w:rsidP="00500574">
      <w:pPr>
        <w:pStyle w:val="ssNoHeading4"/>
        <w:numPr>
          <w:ilvl w:val="4"/>
          <w:numId w:val="2"/>
        </w:numPr>
        <w:tabs>
          <w:tab w:val="clear" w:pos="1985"/>
          <w:tab w:val="num" w:pos="360"/>
        </w:tabs>
      </w:pPr>
      <w:r>
        <w:t>notwithstanding any other provision of Clause 24 (</w:t>
      </w:r>
      <w:r w:rsidRPr="004C543D">
        <w:rPr>
          <w:i/>
          <w:iCs w:val="0"/>
        </w:rPr>
        <w:t>Changing the Contract</w:t>
      </w:r>
      <w:r>
        <w:t xml:space="preserve">) of the Core Terms or the contents of the Variation Form, the Supplier shall not be entitled to any financial compensation, financial variation, increase in the </w:t>
      </w:r>
      <w:r w:rsidR="00CE08E1">
        <w:t>Charges</w:t>
      </w:r>
      <w:r>
        <w:t xml:space="preserve"> or value of the Contract under a Variation made to implement the replacement of the Facility with a Replacement Facility.</w:t>
      </w:r>
    </w:p>
    <w:p w14:paraId="6B48A13D" w14:textId="5386386D" w:rsidR="00500574" w:rsidRDefault="00500574" w:rsidP="00500574">
      <w:pPr>
        <w:pStyle w:val="ssNoHeading4"/>
        <w:numPr>
          <w:ilvl w:val="4"/>
          <w:numId w:val="2"/>
        </w:numPr>
        <w:tabs>
          <w:tab w:val="clear" w:pos="1985"/>
          <w:tab w:val="num" w:pos="360"/>
        </w:tabs>
      </w:pPr>
      <w:r>
        <w:t>if Buyer exercises its right to terminate the Contract for failure to agree the Variation under Clause 24.3 (</w:t>
      </w:r>
      <w:r w:rsidRPr="004C543D">
        <w:rPr>
          <w:i/>
          <w:iCs w:val="0"/>
        </w:rPr>
        <w:t>Changing the Contract</w:t>
      </w:r>
      <w:r>
        <w:t xml:space="preserve">) of the Core Terms, such a termination shall constitute a termination by the Buyer for the Default of the Supplier for </w:t>
      </w:r>
      <w:r w:rsidRPr="004D0DAC">
        <w:t xml:space="preserve">the </w:t>
      </w:r>
      <w:r>
        <w:t>Actual COD</w:t>
      </w:r>
      <w:r w:rsidRPr="004D0DAC">
        <w:t xml:space="preserve"> </w:t>
      </w:r>
      <w:r>
        <w:t xml:space="preserve">not having </w:t>
      </w:r>
      <w:r w:rsidRPr="004D0DAC">
        <w:t xml:space="preserve">occurred on or prior to the </w:t>
      </w:r>
      <w:r>
        <w:t>Longstop Date</w:t>
      </w:r>
      <w:r w:rsidRPr="004D0DAC">
        <w:t xml:space="preserve"> </w:t>
      </w:r>
      <w:r>
        <w:t xml:space="preserve">and Paragraph </w:t>
      </w:r>
      <w:r>
        <w:fldChar w:fldCharType="begin"/>
      </w:r>
      <w:r>
        <w:instrText xml:space="preserve"> REF _Ref57585772 \r \h </w:instrText>
      </w:r>
      <w:r>
        <w:fldChar w:fldCharType="separate"/>
      </w:r>
      <w:r w:rsidR="00B503C7">
        <w:rPr>
          <w:cs/>
        </w:rPr>
        <w:t>‎</w:t>
      </w:r>
      <w:r w:rsidR="00B503C7">
        <w:t>3.5</w:t>
      </w:r>
      <w:r>
        <w:fldChar w:fldCharType="end"/>
      </w:r>
      <w:r>
        <w:t xml:space="preserve"> (</w:t>
      </w:r>
      <w:r w:rsidRPr="00A66039">
        <w:rPr>
          <w:i/>
        </w:rPr>
        <w:t>Early termination for failure to complete</w:t>
      </w:r>
      <w:r>
        <w:t xml:space="preserve">) </w:t>
      </w:r>
      <w:r w:rsidR="007845AC">
        <w:t>of this Call-Off Schedule 31 (</w:t>
      </w:r>
      <w:r w:rsidR="007845AC">
        <w:rPr>
          <w:i/>
          <w:iCs w:val="0"/>
        </w:rPr>
        <w:t>New Build Facilities</w:t>
      </w:r>
      <w:r w:rsidR="007845AC">
        <w:t xml:space="preserve">) </w:t>
      </w:r>
      <w:r>
        <w:t xml:space="preserve">shall apply in respect of that Default. </w:t>
      </w:r>
    </w:p>
    <w:p w14:paraId="5C5E7F32" w14:textId="77777777" w:rsidR="00500574" w:rsidRPr="004D0DAC" w:rsidRDefault="00500574" w:rsidP="00500574">
      <w:pPr>
        <w:pStyle w:val="Heading2"/>
      </w:pPr>
      <w:bookmarkStart w:id="26" w:name="_Ref57585772"/>
      <w:r w:rsidRPr="004D0DAC">
        <w:t>Early termination for failure to complete</w:t>
      </w:r>
      <w:bookmarkEnd w:id="26"/>
    </w:p>
    <w:p w14:paraId="30427981" w14:textId="3DF87F06" w:rsidR="00500574" w:rsidRPr="004D0DAC" w:rsidRDefault="00500574" w:rsidP="00500574">
      <w:pPr>
        <w:pStyle w:val="ssNoHeading3"/>
      </w:pPr>
      <w:bookmarkStart w:id="27" w:name="_Ref172296080"/>
      <w:r w:rsidRPr="004D0DAC">
        <w:t xml:space="preserve">Subject to </w:t>
      </w:r>
      <w:r>
        <w:t>Paragraph</w:t>
      </w:r>
      <w:r w:rsidRPr="007270C3">
        <w:t xml:space="preserve"> </w:t>
      </w:r>
      <w:r>
        <w:fldChar w:fldCharType="begin"/>
      </w:r>
      <w:r>
        <w:instrText xml:space="preserve"> REF _Ref166775150 \r \h </w:instrText>
      </w:r>
      <w:r>
        <w:fldChar w:fldCharType="separate"/>
      </w:r>
      <w:r w:rsidR="00B503C7">
        <w:rPr>
          <w:cs/>
        </w:rPr>
        <w:t>‎</w:t>
      </w:r>
      <w:r w:rsidR="00B503C7">
        <w:t>3.4</w:t>
      </w:r>
      <w:r>
        <w:fldChar w:fldCharType="end"/>
      </w:r>
      <w:r>
        <w:t xml:space="preserve"> </w:t>
      </w:r>
      <w:r w:rsidRPr="007270C3">
        <w:t>(</w:t>
      </w:r>
      <w:r>
        <w:rPr>
          <w:i/>
          <w:iCs/>
        </w:rPr>
        <w:t>Replacement Facility</w:t>
      </w:r>
      <w:r w:rsidRPr="007270C3">
        <w:t>)</w:t>
      </w:r>
      <w:r w:rsidR="007845AC" w:rsidRPr="007845AC">
        <w:t xml:space="preserve"> </w:t>
      </w:r>
      <w:r w:rsidR="007845AC">
        <w:t>of this Call-Off Schedule 31 (</w:t>
      </w:r>
      <w:r w:rsidR="007845AC">
        <w:rPr>
          <w:i/>
          <w:iCs/>
        </w:rPr>
        <w:t>New Build Facilities</w:t>
      </w:r>
      <w:r w:rsidR="007845AC">
        <w:t>)</w:t>
      </w:r>
      <w:r w:rsidRPr="007270C3">
        <w:t>,</w:t>
      </w:r>
      <w:r w:rsidRPr="004D0DAC">
        <w:t xml:space="preserve"> </w:t>
      </w:r>
      <w:r>
        <w:t>if</w:t>
      </w:r>
      <w:r w:rsidRPr="004D0DAC">
        <w:t xml:space="preserve"> the </w:t>
      </w:r>
      <w:r>
        <w:t>Actual COD</w:t>
      </w:r>
      <w:r w:rsidRPr="004D0DAC">
        <w:t xml:space="preserve"> has not occurred on or prior to the </w:t>
      </w:r>
      <w:r>
        <w:t>Longstop Date</w:t>
      </w:r>
      <w:r w:rsidRPr="004D0DAC">
        <w:t xml:space="preserve"> the</w:t>
      </w:r>
      <w:r>
        <w:t>n</w:t>
      </w:r>
      <w:r w:rsidR="00D40A12">
        <w:t xml:space="preserve"> </w:t>
      </w:r>
      <w:r w:rsidR="000F55E0">
        <w:t xml:space="preserve">the </w:t>
      </w:r>
      <w:r w:rsidR="00D40A12">
        <w:t>Parties shall have</w:t>
      </w:r>
      <w:r w:rsidR="000F55E0">
        <w:t xml:space="preserve"> thirty (</w:t>
      </w:r>
      <w:r w:rsidR="00D40A12">
        <w:t>30</w:t>
      </w:r>
      <w:r w:rsidR="000F55E0">
        <w:t>)</w:t>
      </w:r>
      <w:r w:rsidR="00D40A12">
        <w:t xml:space="preserve"> days</w:t>
      </w:r>
      <w:r w:rsidR="000F55E0">
        <w:t xml:space="preserve"> in which to agree an extension to the Longstop Date, failing which it shall be deemed that a </w:t>
      </w:r>
      <w:r>
        <w:t xml:space="preserve">Default by the Supplier </w:t>
      </w:r>
      <w:r w:rsidR="000F55E0">
        <w:t xml:space="preserve">has occurred </w:t>
      </w:r>
      <w:r w:rsidR="000E5D11">
        <w:t xml:space="preserve">as well as </w:t>
      </w:r>
      <w:r>
        <w:t>an additional event under Clause 10.4.1 (</w:t>
      </w:r>
      <w:r w:rsidRPr="00524EDE">
        <w:rPr>
          <w:i/>
          <w:iCs/>
        </w:rPr>
        <w:t>When CCS or the buyer can end a contract</w:t>
      </w:r>
      <w:r>
        <w:t>) of the Core Terms</w:t>
      </w:r>
      <w:r w:rsidR="000E5D11">
        <w:t>,</w:t>
      </w:r>
      <w:r>
        <w:t xml:space="preserve"> and the </w:t>
      </w:r>
      <w:r w:rsidRPr="004D0DAC">
        <w:t xml:space="preserve">Buyer may elect in its sole discretion to terminate </w:t>
      </w:r>
      <w:r>
        <w:t>this Call-Off Contract</w:t>
      </w:r>
      <w:r w:rsidRPr="004D0DAC">
        <w:t xml:space="preserve"> </w:t>
      </w:r>
      <w:r>
        <w:t xml:space="preserve">by issuing a Termination Notice </w:t>
      </w:r>
      <w:r w:rsidRPr="004D0DAC">
        <w:t xml:space="preserve">to the </w:t>
      </w:r>
      <w:r>
        <w:t>Supplier</w:t>
      </w:r>
      <w:r w:rsidRPr="004D0DAC">
        <w:t xml:space="preserve"> </w:t>
      </w:r>
      <w:r>
        <w:t xml:space="preserve">without any further right of remedy (whether a Rectification Plan or otherwise) on the part of the Supplier </w:t>
      </w:r>
      <w:r w:rsidRPr="004D0DAC">
        <w:t>(</w:t>
      </w:r>
      <w:r>
        <w:t>“</w:t>
      </w:r>
      <w:r w:rsidRPr="00655FBD">
        <w:rPr>
          <w:b/>
          <w:bCs w:val="0"/>
        </w:rPr>
        <w:t>Buyer’s Early Termination Right</w:t>
      </w:r>
      <w:r>
        <w:t>”</w:t>
      </w:r>
      <w:r w:rsidRPr="004D0DAC">
        <w:t>).</w:t>
      </w:r>
      <w:bookmarkEnd w:id="27"/>
    </w:p>
    <w:p w14:paraId="013C29A0" w14:textId="5E4533ED" w:rsidR="00500574" w:rsidRPr="00103D31" w:rsidRDefault="00500574" w:rsidP="00500574">
      <w:pPr>
        <w:pStyle w:val="ssNoHeading3"/>
      </w:pPr>
      <w:bookmarkStart w:id="28" w:name="_Ref172296116"/>
      <w:r w:rsidRPr="00103D31">
        <w:t>If:</w:t>
      </w:r>
      <w:bookmarkEnd w:id="28"/>
    </w:p>
    <w:p w14:paraId="7C1597D8" w14:textId="77777777" w:rsidR="00500574" w:rsidRPr="00103D31" w:rsidRDefault="00500574" w:rsidP="00500574">
      <w:pPr>
        <w:pStyle w:val="ssNoHeading4"/>
        <w:numPr>
          <w:ilvl w:val="4"/>
          <w:numId w:val="2"/>
        </w:numPr>
        <w:tabs>
          <w:tab w:val="clear" w:pos="1985"/>
          <w:tab w:val="num" w:pos="360"/>
        </w:tabs>
      </w:pPr>
      <w:r w:rsidRPr="00103D31">
        <w:t xml:space="preserve">the Buyer has </w:t>
      </w:r>
      <w:r>
        <w:t xml:space="preserve">neither </w:t>
      </w:r>
      <w:r w:rsidRPr="00103D31">
        <w:t>exercised the Buyer</w:t>
      </w:r>
      <w:r>
        <w:t>’</w:t>
      </w:r>
      <w:r w:rsidRPr="00103D31">
        <w:t xml:space="preserve">s Early Termination Right </w:t>
      </w:r>
      <w:r>
        <w:t>n</w:t>
      </w:r>
      <w:r w:rsidRPr="00103D31">
        <w:t xml:space="preserve">or has agreed to the replacement of the Facility with a </w:t>
      </w:r>
      <w:r>
        <w:t>Replacement Facility</w:t>
      </w:r>
      <w:r w:rsidRPr="00103D31">
        <w:t>; and</w:t>
      </w:r>
    </w:p>
    <w:p w14:paraId="7DFC74B3" w14:textId="41B73C19" w:rsidR="00A41A36" w:rsidRDefault="00A41A36" w:rsidP="00500574">
      <w:pPr>
        <w:pStyle w:val="ssNoHeading4"/>
        <w:numPr>
          <w:ilvl w:val="4"/>
          <w:numId w:val="2"/>
        </w:numPr>
        <w:tabs>
          <w:tab w:val="clear" w:pos="1985"/>
          <w:tab w:val="num" w:pos="360"/>
        </w:tabs>
      </w:pPr>
      <w:r>
        <w:t xml:space="preserve">the </w:t>
      </w:r>
      <w:r w:rsidR="003B1D1A">
        <w:t>thirty</w:t>
      </w:r>
      <w:r w:rsidR="000F55E0">
        <w:t xml:space="preserve"> (30)</w:t>
      </w:r>
      <w:r w:rsidR="003B1D1A">
        <w:t xml:space="preserve"> day period mentioned in </w:t>
      </w:r>
      <w:r w:rsidR="0083627F">
        <w:t>Paragraph</w:t>
      </w:r>
      <w:r w:rsidR="000F55E0">
        <w:t xml:space="preserve"> </w:t>
      </w:r>
      <w:r w:rsidR="000F55E0">
        <w:fldChar w:fldCharType="begin"/>
      </w:r>
      <w:r w:rsidR="000F55E0">
        <w:instrText xml:space="preserve"> REF _Ref172296080 \w \h </w:instrText>
      </w:r>
      <w:r w:rsidR="000F55E0">
        <w:fldChar w:fldCharType="separate"/>
      </w:r>
      <w:r w:rsidR="00B503C7">
        <w:rPr>
          <w:cs/>
        </w:rPr>
        <w:t>‎</w:t>
      </w:r>
      <w:r w:rsidR="00B503C7">
        <w:t>3.5(A)</w:t>
      </w:r>
      <w:r w:rsidR="000F55E0">
        <w:fldChar w:fldCharType="end"/>
      </w:r>
      <w:r w:rsidR="003D2042">
        <w:t xml:space="preserve"> </w:t>
      </w:r>
      <w:r w:rsidR="003B1D1A">
        <w:t>(</w:t>
      </w:r>
      <w:r w:rsidR="003B1D1A" w:rsidRPr="003B1D1A">
        <w:rPr>
          <w:i/>
          <w:iCs w:val="0"/>
        </w:rPr>
        <w:t>Early termination for failure to complete</w:t>
      </w:r>
      <w:r w:rsidR="003B1D1A">
        <w:t xml:space="preserve">) </w:t>
      </w:r>
      <w:r>
        <w:t xml:space="preserve">has elapsed, </w:t>
      </w:r>
    </w:p>
    <w:p w14:paraId="3A2759AD" w14:textId="4057BFEE" w:rsidR="00500574" w:rsidRPr="004D0DAC" w:rsidRDefault="00500574" w:rsidP="00500574">
      <w:pPr>
        <w:pStyle w:val="ssPara4"/>
        <w:numPr>
          <w:ilvl w:val="0"/>
          <w:numId w:val="0"/>
        </w:numPr>
        <w:ind w:left="1418"/>
      </w:pPr>
      <w:r>
        <w:t>this Call-Off Contract</w:t>
      </w:r>
      <w:r w:rsidRPr="00103D31">
        <w:t xml:space="preserve"> shall automatically terminate</w:t>
      </w:r>
      <w:r>
        <w:t xml:space="preserve"> and such termination shall constitute a termination by the Buyer for Default of the Supplier under Clause 10.4.1 (</w:t>
      </w:r>
      <w:r w:rsidRPr="00524EDE">
        <w:rPr>
          <w:i/>
          <w:iCs/>
        </w:rPr>
        <w:t>When CCS or the buyer can end a contract</w:t>
      </w:r>
      <w:r>
        <w:t>) of the Core Terms</w:t>
      </w:r>
      <w:r w:rsidRPr="00103D31">
        <w:t>.</w:t>
      </w:r>
    </w:p>
    <w:p w14:paraId="12A802E3" w14:textId="48D176C6" w:rsidR="00500574" w:rsidRDefault="009D3971" w:rsidP="00500574">
      <w:pPr>
        <w:pStyle w:val="Heading1"/>
      </w:pPr>
      <w:bookmarkStart w:id="29" w:name="_Ref90310720"/>
      <w:bookmarkStart w:id="30" w:name="_Ref90310725"/>
      <w:bookmarkStart w:id="31" w:name="_Ref90311417"/>
      <w:bookmarkStart w:id="32" w:name="_Ref90311421"/>
      <w:bookmarkStart w:id="33" w:name="_Toc167264699"/>
      <w:r>
        <w:t xml:space="preserve">Permitted Capacity Shortfall and </w:t>
      </w:r>
      <w:r w:rsidR="00500574" w:rsidRPr="004D0DAC">
        <w:t>S</w:t>
      </w:r>
      <w:bookmarkStart w:id="34" w:name="_Ref57586085"/>
      <w:bookmarkStart w:id="35" w:name="_Toc58506038"/>
      <w:r w:rsidR="00500574" w:rsidRPr="004D0DAC">
        <w:t>hortfall Damages</w:t>
      </w:r>
      <w:bookmarkEnd w:id="29"/>
      <w:bookmarkEnd w:id="30"/>
      <w:bookmarkEnd w:id="31"/>
      <w:bookmarkEnd w:id="32"/>
      <w:bookmarkEnd w:id="33"/>
      <w:bookmarkEnd w:id="34"/>
      <w:bookmarkEnd w:id="35"/>
    </w:p>
    <w:p w14:paraId="55965E5C" w14:textId="20759139" w:rsidR="009D3971" w:rsidRPr="009D3971" w:rsidRDefault="009D3971" w:rsidP="00500574">
      <w:pPr>
        <w:pStyle w:val="ssNoHeading2"/>
        <w:rPr>
          <w:b/>
          <w:bCs w:val="0"/>
        </w:rPr>
      </w:pPr>
      <w:r w:rsidRPr="009D3971">
        <w:rPr>
          <w:b/>
          <w:bCs w:val="0"/>
        </w:rPr>
        <w:t>Reallocation of Nameplate Capacity</w:t>
      </w:r>
    </w:p>
    <w:p w14:paraId="7FE42919" w14:textId="399B7A37" w:rsidR="00232B01" w:rsidRDefault="00500574" w:rsidP="009D3971">
      <w:pPr>
        <w:pStyle w:val="ssNoHeading2"/>
        <w:numPr>
          <w:ilvl w:val="0"/>
          <w:numId w:val="0"/>
        </w:numPr>
        <w:ind w:left="709"/>
      </w:pPr>
      <w:r>
        <w:t>If</w:t>
      </w:r>
      <w:r w:rsidRPr="004D0DAC">
        <w:t xml:space="preserve"> on the </w:t>
      </w:r>
      <w:r>
        <w:t xml:space="preserve">Actual COD there </w:t>
      </w:r>
      <w:r w:rsidRPr="00CE08E1">
        <w:t xml:space="preserve">is a </w:t>
      </w:r>
      <w:r w:rsidR="00161735">
        <w:t xml:space="preserve">Permitted </w:t>
      </w:r>
      <w:r w:rsidRPr="00CE08E1">
        <w:t>Capacity Shortfall</w:t>
      </w:r>
      <w:r w:rsidR="00161735">
        <w:t xml:space="preserve"> </w:t>
      </w:r>
      <w:r w:rsidRPr="00CE08E1">
        <w:t>and</w:t>
      </w:r>
      <w:r w:rsidRPr="00FB236B">
        <w:t xml:space="preserve"> the </w:t>
      </w:r>
      <w:r w:rsidRPr="00374943">
        <w:t>Nameplate Capacity</w:t>
      </w:r>
      <w:r w:rsidRPr="00FB236B">
        <w:t xml:space="preserve"> </w:t>
      </w:r>
      <w:r>
        <w:t xml:space="preserve">of the Facility is equal to or greater than </w:t>
      </w:r>
      <w:r w:rsidRPr="00FB236B">
        <w:t xml:space="preserve">the Buyer’s Capacity, the </w:t>
      </w:r>
      <w:r>
        <w:t>Supplier</w:t>
      </w:r>
      <w:r w:rsidRPr="00FB236B">
        <w:t xml:space="preserve"> shall have the right to re</w:t>
      </w:r>
      <w:r>
        <w:t xml:space="preserve">allocate Nameplate Capacity to the Buyer in </w:t>
      </w:r>
      <w:r w:rsidRPr="00FB236B">
        <w:t xml:space="preserve">order to </w:t>
      </w:r>
      <w:r>
        <w:t xml:space="preserve">allocate to the Buyer the entire </w:t>
      </w:r>
      <w:r w:rsidRPr="00FB236B">
        <w:t>Buyer’s Capacity.</w:t>
      </w:r>
    </w:p>
    <w:p w14:paraId="1CAC60E8" w14:textId="77777777" w:rsidR="00386E75" w:rsidRDefault="00386E75" w:rsidP="009D3971">
      <w:pPr>
        <w:pStyle w:val="ssNoHeading2"/>
        <w:numPr>
          <w:ilvl w:val="0"/>
          <w:numId w:val="0"/>
        </w:numPr>
        <w:ind w:left="709"/>
      </w:pPr>
    </w:p>
    <w:p w14:paraId="10D11672" w14:textId="401979C2" w:rsidR="009D3971" w:rsidRPr="009D3971" w:rsidRDefault="009D3971" w:rsidP="009D3971">
      <w:pPr>
        <w:pStyle w:val="ssNoHeading2"/>
        <w:rPr>
          <w:b/>
          <w:bCs w:val="0"/>
        </w:rPr>
      </w:pPr>
      <w:r w:rsidRPr="009D3971">
        <w:rPr>
          <w:b/>
          <w:bCs w:val="0"/>
        </w:rPr>
        <w:t>Shortfall Damages</w:t>
      </w:r>
    </w:p>
    <w:p w14:paraId="271D5F33" w14:textId="5950EE41" w:rsidR="00232B01" w:rsidRDefault="00232B01" w:rsidP="009D3971">
      <w:pPr>
        <w:pStyle w:val="ssNoHeading2"/>
        <w:numPr>
          <w:ilvl w:val="0"/>
          <w:numId w:val="0"/>
        </w:numPr>
        <w:ind w:left="709"/>
      </w:pPr>
      <w:r>
        <w:t xml:space="preserve">If on the Actual COD there is a </w:t>
      </w:r>
      <w:r w:rsidR="00161735">
        <w:t xml:space="preserve">Permitted </w:t>
      </w:r>
      <w:r w:rsidRPr="00CE08E1">
        <w:t>Capacity Shortfall and</w:t>
      </w:r>
      <w:r w:rsidRPr="00FB236B">
        <w:t xml:space="preserve"> the </w:t>
      </w:r>
      <w:r>
        <w:t>Supplier</w:t>
      </w:r>
      <w:r w:rsidRPr="00FB236B">
        <w:t xml:space="preserve"> </w:t>
      </w:r>
      <w:r>
        <w:t xml:space="preserve">does not </w:t>
      </w:r>
      <w:r w:rsidRPr="00FB236B">
        <w:t>re</w:t>
      </w:r>
      <w:r>
        <w:t xml:space="preserve">allocate Nameplate Capacity to the Buyer in </w:t>
      </w:r>
      <w:r w:rsidRPr="00FB236B">
        <w:t xml:space="preserve">order to </w:t>
      </w:r>
      <w:r>
        <w:t xml:space="preserve">allocate to the Buyer the entire </w:t>
      </w:r>
      <w:r w:rsidRPr="00FB236B">
        <w:t>Buyer’s Capacity</w:t>
      </w:r>
      <w:r>
        <w:t xml:space="preserve"> then the following shall apply:</w:t>
      </w:r>
    </w:p>
    <w:p w14:paraId="078079C0" w14:textId="3D63E97E" w:rsidR="00232B01" w:rsidRDefault="00232B01" w:rsidP="00232B01">
      <w:pPr>
        <w:pStyle w:val="ssNoHeading3"/>
      </w:pPr>
      <w:bookmarkStart w:id="36" w:name="_Ref172909387"/>
      <w:r>
        <w:t>the Supplier may elect to pay liquidated damages</w:t>
      </w:r>
      <w:r w:rsidR="00161735">
        <w:t xml:space="preserve"> in a lump sum</w:t>
      </w:r>
      <w:r>
        <w:t xml:space="preserve"> in respect of the </w:t>
      </w:r>
      <w:r w:rsidR="00161735">
        <w:t xml:space="preserve">Permitted </w:t>
      </w:r>
      <w:r>
        <w:t>Capacity Shortfall for the remainder of the Contract Period, calculated as follows:</w:t>
      </w:r>
      <w:bookmarkEnd w:id="36"/>
    </w:p>
    <w:p w14:paraId="7C078D67" w14:textId="77777777" w:rsidR="006560E1" w:rsidRPr="006560E1" w:rsidRDefault="006560E1" w:rsidP="006560E1">
      <w:pPr>
        <w:pStyle w:val="Heading4"/>
        <w:rPr>
          <w:b w:val="0"/>
          <w:bCs w:val="0"/>
        </w:rPr>
      </w:pPr>
      <w:r w:rsidRPr="006560E1">
        <w:rPr>
          <w:b w:val="0"/>
          <w:bCs w:val="0"/>
        </w:rPr>
        <w:t>the result of the following calculation, if it is a positive number:</w:t>
      </w:r>
    </w:p>
    <w:p w14:paraId="3D016DCD" w14:textId="5116256A" w:rsidR="00BE3479" w:rsidRPr="006560E1" w:rsidRDefault="00656316" w:rsidP="006560E1">
      <w:pPr>
        <w:pStyle w:val="Heading5"/>
        <w:rPr>
          <w:b w:val="0"/>
          <w:bCs/>
        </w:rPr>
      </w:pPr>
      <w:r w:rsidRPr="006560E1">
        <w:rPr>
          <w:b w:val="0"/>
          <w:bCs/>
        </w:rPr>
        <w:t xml:space="preserve">an amount, based on the average price of three quotations of relevant rates or prices from three or more leading traders, brokers or other price sources in Great Britain’s wholesale electricity market who are independent of the Buyer and the Supplier, which represents the forecast Market Price that would be paid by the Buyer for </w:t>
      </w:r>
      <w:r w:rsidR="001517C0" w:rsidRPr="006560E1">
        <w:rPr>
          <w:b w:val="0"/>
          <w:bCs/>
        </w:rPr>
        <w:t xml:space="preserve">(the Buyer's Expected Annual Production </w:t>
      </w:r>
      <w:r w:rsidR="001517C0" w:rsidRPr="006560E1">
        <w:rPr>
          <w:b w:val="0"/>
          <w:bCs/>
          <w:i/>
          <w:iCs/>
        </w:rPr>
        <w:t>multiplied by</w:t>
      </w:r>
      <w:r w:rsidR="001517C0" w:rsidRPr="006560E1">
        <w:rPr>
          <w:b w:val="0"/>
          <w:bCs/>
        </w:rPr>
        <w:t xml:space="preserve"> the Permitted Capacity Shortfall) for each Contract </w:t>
      </w:r>
      <w:r w:rsidR="00052BB1">
        <w:rPr>
          <w:b w:val="0"/>
          <w:bCs/>
        </w:rPr>
        <w:t>Y</w:t>
      </w:r>
      <w:r w:rsidR="001517C0" w:rsidRPr="006560E1">
        <w:rPr>
          <w:b w:val="0"/>
          <w:bCs/>
        </w:rPr>
        <w:t xml:space="preserve">ear of the remainder of the Contract Period </w:t>
      </w:r>
    </w:p>
    <w:p w14:paraId="111A4BBA" w14:textId="3DFC2D84" w:rsidR="006560E1" w:rsidRPr="006560E1" w:rsidRDefault="006560E1" w:rsidP="006560E1">
      <w:pPr>
        <w:pStyle w:val="ssPara5"/>
        <w:rPr>
          <w:bCs/>
          <w:lang w:eastAsia="en-GB"/>
        </w:rPr>
      </w:pPr>
      <w:r w:rsidRPr="006560E1">
        <w:rPr>
          <w:bCs/>
          <w:lang w:eastAsia="en-GB"/>
        </w:rPr>
        <w:t>less</w:t>
      </w:r>
    </w:p>
    <w:p w14:paraId="0E6AF8B3" w14:textId="58CA2E1F" w:rsidR="006560E1" w:rsidRPr="006560E1" w:rsidRDefault="006560E1" w:rsidP="006560E1">
      <w:pPr>
        <w:pStyle w:val="Heading5"/>
        <w:rPr>
          <w:b w:val="0"/>
          <w:bCs/>
        </w:rPr>
      </w:pPr>
      <w:r w:rsidRPr="006560E1">
        <w:rPr>
          <w:b w:val="0"/>
          <w:bCs/>
        </w:rPr>
        <w:t>an amount</w:t>
      </w:r>
      <w:r>
        <w:rPr>
          <w:b w:val="0"/>
          <w:bCs/>
        </w:rPr>
        <w:t xml:space="preserve"> equal to the Electricity Price on the date of the calculation </w:t>
      </w:r>
      <w:r w:rsidRPr="006560E1">
        <w:rPr>
          <w:b w:val="0"/>
          <w:bCs/>
          <w:i/>
          <w:iCs/>
        </w:rPr>
        <w:t xml:space="preserve">multiplied </w:t>
      </w:r>
      <w:r>
        <w:rPr>
          <w:b w:val="0"/>
          <w:bCs/>
          <w:i/>
          <w:iCs/>
        </w:rPr>
        <w:t xml:space="preserve">by </w:t>
      </w:r>
      <w:r w:rsidRPr="006560E1">
        <w:rPr>
          <w:b w:val="0"/>
          <w:bCs/>
        </w:rPr>
        <w:t xml:space="preserve">(the Buyer's Expected Annual Production </w:t>
      </w:r>
      <w:r w:rsidRPr="006560E1">
        <w:rPr>
          <w:b w:val="0"/>
          <w:bCs/>
          <w:i/>
          <w:iCs/>
        </w:rPr>
        <w:t>multiplied by</w:t>
      </w:r>
      <w:r w:rsidRPr="006560E1">
        <w:rPr>
          <w:b w:val="0"/>
          <w:bCs/>
        </w:rPr>
        <w:t xml:space="preserve"> the Permitted Capacity Shortfall) for each Contract </w:t>
      </w:r>
      <w:r w:rsidR="00052BB1">
        <w:rPr>
          <w:b w:val="0"/>
          <w:bCs/>
        </w:rPr>
        <w:t>Y</w:t>
      </w:r>
      <w:r w:rsidRPr="006560E1">
        <w:rPr>
          <w:b w:val="0"/>
          <w:bCs/>
        </w:rPr>
        <w:t xml:space="preserve">ear of the remainder of the Contract Period </w:t>
      </w:r>
    </w:p>
    <w:p w14:paraId="1E41676A" w14:textId="77777777" w:rsidR="006560E1" w:rsidRPr="006560E1" w:rsidRDefault="001517C0" w:rsidP="006560E1">
      <w:pPr>
        <w:pStyle w:val="Heading4"/>
        <w:numPr>
          <w:ilvl w:val="0"/>
          <w:numId w:val="0"/>
        </w:numPr>
        <w:ind w:left="1985"/>
        <w:rPr>
          <w:b w:val="0"/>
          <w:bCs w:val="0"/>
        </w:rPr>
      </w:pPr>
      <w:r w:rsidRPr="006560E1">
        <w:rPr>
          <w:b w:val="0"/>
          <w:bCs w:val="0"/>
        </w:rPr>
        <w:t xml:space="preserve">plus </w:t>
      </w:r>
    </w:p>
    <w:p w14:paraId="5B5E2BEC" w14:textId="60CFD7B0" w:rsidR="001517C0" w:rsidRPr="006560E1" w:rsidRDefault="001517C0" w:rsidP="006560E1">
      <w:pPr>
        <w:pStyle w:val="Heading4"/>
        <w:rPr>
          <w:b w:val="0"/>
          <w:bCs w:val="0"/>
        </w:rPr>
      </w:pPr>
      <w:r w:rsidRPr="006560E1">
        <w:rPr>
          <w:b w:val="0"/>
          <w:bCs w:val="0"/>
        </w:rPr>
        <w:t xml:space="preserve">the Average </w:t>
      </w:r>
      <w:r w:rsidR="007C0FC9">
        <w:rPr>
          <w:b w:val="0"/>
          <w:bCs w:val="0"/>
        </w:rPr>
        <w:t>Environmental Attribute</w:t>
      </w:r>
      <w:r w:rsidRPr="006560E1">
        <w:rPr>
          <w:b w:val="0"/>
          <w:bCs w:val="0"/>
        </w:rPr>
        <w:t xml:space="preserve"> Value for the number of Comparable </w:t>
      </w:r>
      <w:r w:rsidR="007C0FC9">
        <w:rPr>
          <w:b w:val="0"/>
          <w:bCs w:val="0"/>
        </w:rPr>
        <w:t>Environmental Attribute</w:t>
      </w:r>
      <w:r w:rsidRPr="006560E1">
        <w:rPr>
          <w:b w:val="0"/>
          <w:bCs w:val="0"/>
        </w:rPr>
        <w:t xml:space="preserve">s that would be associated with the (the Buyer's Expected Annual Production </w:t>
      </w:r>
      <w:r w:rsidRPr="006560E1">
        <w:rPr>
          <w:b w:val="0"/>
          <w:bCs w:val="0"/>
          <w:i/>
        </w:rPr>
        <w:t>multiplied by</w:t>
      </w:r>
      <w:r w:rsidRPr="006560E1">
        <w:rPr>
          <w:b w:val="0"/>
          <w:bCs w:val="0"/>
        </w:rPr>
        <w:t xml:space="preserve"> the Permitted Capacity Shortfall)]</w:t>
      </w:r>
    </w:p>
    <w:p w14:paraId="28FDA35B" w14:textId="69B5B297" w:rsidR="00232B01" w:rsidRDefault="00232B01" w:rsidP="00232B01">
      <w:pPr>
        <w:pStyle w:val="ssNoHeading3"/>
      </w:pPr>
      <w:bookmarkStart w:id="37" w:name="_Ref173790392"/>
      <w:r>
        <w:t xml:space="preserve">if the Supplier reasonably believes that there is a reasonable prospect of remedying the </w:t>
      </w:r>
      <w:r w:rsidR="00AF1C39">
        <w:t xml:space="preserve">Permitted </w:t>
      </w:r>
      <w:r>
        <w:t xml:space="preserve">Capacity Shortfall by the Longstop Date, the Supplier may elect to pay liquidated damages on an ongoing basis until the earlier of the date on which the </w:t>
      </w:r>
      <w:r w:rsidR="00AF1C39">
        <w:t xml:space="preserve">Permitted </w:t>
      </w:r>
      <w:r>
        <w:t>Capacity Shortfall ceases to exist and the Longstop Date, calculated as follows:</w:t>
      </w:r>
      <w:bookmarkEnd w:id="37"/>
    </w:p>
    <w:p w14:paraId="26822791" w14:textId="77777777" w:rsidR="006560E1" w:rsidRDefault="006560E1" w:rsidP="006560E1">
      <w:pPr>
        <w:pStyle w:val="Heading4"/>
        <w:rPr>
          <w:b w:val="0"/>
          <w:bCs w:val="0"/>
        </w:rPr>
      </w:pPr>
      <w:r w:rsidRPr="006560E1">
        <w:rPr>
          <w:b w:val="0"/>
          <w:bCs w:val="0"/>
        </w:rPr>
        <w:t>the result of the following calculation, if it is a positive number:</w:t>
      </w:r>
    </w:p>
    <w:p w14:paraId="22315DBC" w14:textId="422D628F" w:rsidR="00BE3479" w:rsidRPr="006560E1" w:rsidRDefault="006560E1" w:rsidP="006560E1">
      <w:pPr>
        <w:pStyle w:val="Heading5"/>
        <w:rPr>
          <w:b w:val="0"/>
          <w:bCs/>
        </w:rPr>
      </w:pPr>
      <w:r w:rsidRPr="006560E1">
        <w:rPr>
          <w:b w:val="0"/>
          <w:bCs/>
        </w:rPr>
        <w:t xml:space="preserve">the </w:t>
      </w:r>
      <w:r w:rsidR="00BE3479" w:rsidRPr="006560E1">
        <w:rPr>
          <w:b w:val="0"/>
          <w:bCs/>
        </w:rPr>
        <w:t>Market Price of what would be the Metered Energy produced by the Permitted Capacity Shortfall for each Settlement Period, calculated based on the Metered Energy of the Nameplate Capacity during that Settlement Period</w:t>
      </w:r>
    </w:p>
    <w:p w14:paraId="09E4932D" w14:textId="7743E0BB" w:rsidR="006560E1" w:rsidRPr="006560E1" w:rsidRDefault="006560E1" w:rsidP="006560E1">
      <w:pPr>
        <w:pStyle w:val="ssPara5"/>
        <w:rPr>
          <w:bCs/>
          <w:lang w:eastAsia="en-GB"/>
        </w:rPr>
      </w:pPr>
      <w:r w:rsidRPr="006560E1">
        <w:rPr>
          <w:bCs/>
          <w:lang w:eastAsia="en-GB"/>
        </w:rPr>
        <w:t>less</w:t>
      </w:r>
    </w:p>
    <w:p w14:paraId="7AFFF8E1" w14:textId="536664DF" w:rsidR="006560E1" w:rsidRPr="00AE7027" w:rsidRDefault="006560E1" w:rsidP="00AE7027">
      <w:pPr>
        <w:pStyle w:val="Heading5"/>
        <w:rPr>
          <w:b w:val="0"/>
          <w:bCs/>
        </w:rPr>
      </w:pPr>
      <w:r w:rsidRPr="006560E1">
        <w:rPr>
          <w:b w:val="0"/>
          <w:bCs/>
        </w:rPr>
        <w:lastRenderedPageBreak/>
        <w:t>the Electricity Price on the date of the calculation of what would be the Metered Energy produced by the Permitted Capacity Shortfall for each Settlement Period, calculated based on the Metered Energy of the Nameplate Capacity during that Settlement Period</w:t>
      </w:r>
    </w:p>
    <w:p w14:paraId="71B83757" w14:textId="77777777" w:rsidR="006560E1" w:rsidRPr="006560E1" w:rsidRDefault="00BE3479" w:rsidP="00BE3479">
      <w:pPr>
        <w:pStyle w:val="ssNoHeading3"/>
        <w:numPr>
          <w:ilvl w:val="0"/>
          <w:numId w:val="0"/>
        </w:numPr>
        <w:ind w:left="1418"/>
        <w:rPr>
          <w:bCs w:val="0"/>
        </w:rPr>
      </w:pPr>
      <w:r w:rsidRPr="006560E1">
        <w:rPr>
          <w:bCs w:val="0"/>
        </w:rPr>
        <w:t xml:space="preserve">plus </w:t>
      </w:r>
    </w:p>
    <w:p w14:paraId="27A52224" w14:textId="799AB991" w:rsidR="005B68D5" w:rsidRPr="006560E1" w:rsidRDefault="00BE3479" w:rsidP="006560E1">
      <w:pPr>
        <w:pStyle w:val="Heading4"/>
        <w:rPr>
          <w:b w:val="0"/>
          <w:bCs w:val="0"/>
        </w:rPr>
      </w:pPr>
      <w:r w:rsidRPr="006560E1">
        <w:rPr>
          <w:b w:val="0"/>
          <w:bCs w:val="0"/>
        </w:rPr>
        <w:t xml:space="preserve">the Average </w:t>
      </w:r>
      <w:r w:rsidR="007C0FC9">
        <w:rPr>
          <w:b w:val="0"/>
          <w:bCs w:val="0"/>
        </w:rPr>
        <w:t>Environmental Attribute</w:t>
      </w:r>
      <w:r w:rsidRPr="006560E1">
        <w:rPr>
          <w:b w:val="0"/>
          <w:bCs w:val="0"/>
        </w:rPr>
        <w:t xml:space="preserve"> Value for the number of Comparable </w:t>
      </w:r>
      <w:r w:rsidR="007C0FC9">
        <w:rPr>
          <w:b w:val="0"/>
          <w:bCs w:val="0"/>
        </w:rPr>
        <w:t>Environmental Attribute</w:t>
      </w:r>
      <w:r w:rsidRPr="006560E1">
        <w:rPr>
          <w:b w:val="0"/>
          <w:bCs w:val="0"/>
        </w:rPr>
        <w:t xml:space="preserve">s that would be associated </w:t>
      </w:r>
      <w:r w:rsidR="00A464A1" w:rsidRPr="006560E1">
        <w:rPr>
          <w:b w:val="0"/>
          <w:bCs w:val="0"/>
        </w:rPr>
        <w:t xml:space="preserve">with </w:t>
      </w:r>
      <w:r w:rsidRPr="006560E1">
        <w:rPr>
          <w:b w:val="0"/>
          <w:bCs w:val="0"/>
        </w:rPr>
        <w:t>the Metered Energy that would have been produced by the Capacity Shortfall</w:t>
      </w:r>
      <w:r w:rsidR="00AE7027">
        <w:rPr>
          <w:b w:val="0"/>
          <w:bCs w:val="0"/>
        </w:rPr>
        <w:t>.</w:t>
      </w:r>
    </w:p>
    <w:p w14:paraId="794D1C90" w14:textId="6676F4A7" w:rsidR="00AF132C" w:rsidRDefault="00232B01" w:rsidP="00AF132C">
      <w:pPr>
        <w:pStyle w:val="ssNoHeading3"/>
        <w:numPr>
          <w:ilvl w:val="0"/>
          <w:numId w:val="0"/>
        </w:numPr>
        <w:ind w:left="1418"/>
      </w:pPr>
      <w:r>
        <w:t xml:space="preserve">If on the Longstop Date there remains a Capacity Shortfall, then the Supplier shall pay liquidated damages </w:t>
      </w:r>
      <w:r w:rsidR="00BE3479">
        <w:t xml:space="preserve">for the remainder of the Contract Period </w:t>
      </w:r>
      <w:r>
        <w:t xml:space="preserve">in respect of that Capacity Shortfall in accordance with Paragraph </w:t>
      </w:r>
      <w:r>
        <w:fldChar w:fldCharType="begin"/>
      </w:r>
      <w:r>
        <w:instrText xml:space="preserve"> REF _Ref172909387 \w \h </w:instrText>
      </w:r>
      <w:r>
        <w:fldChar w:fldCharType="separate"/>
      </w:r>
      <w:r w:rsidR="00B503C7">
        <w:rPr>
          <w:cs/>
        </w:rPr>
        <w:t>‎</w:t>
      </w:r>
      <w:r w:rsidR="00B503C7">
        <w:t>4.2(A)</w:t>
      </w:r>
      <w:r>
        <w:fldChar w:fldCharType="end"/>
      </w:r>
      <w:r w:rsidR="009A07F3" w:rsidRPr="009A07F3">
        <w:t xml:space="preserve"> </w:t>
      </w:r>
      <w:r w:rsidR="009A07F3">
        <w:t>(</w:t>
      </w:r>
      <w:r w:rsidR="009A07F3" w:rsidRPr="009A07F3">
        <w:rPr>
          <w:i/>
          <w:iCs/>
        </w:rPr>
        <w:t>Shortfall Damages</w:t>
      </w:r>
      <w:r w:rsidR="009A07F3">
        <w:t>)</w:t>
      </w:r>
      <w:r>
        <w:t>.</w:t>
      </w:r>
    </w:p>
    <w:p w14:paraId="1E7D8A26" w14:textId="7689DAED" w:rsidR="009D3971" w:rsidRDefault="009D3971" w:rsidP="00386E75">
      <w:pPr>
        <w:pStyle w:val="Heading1"/>
      </w:pPr>
      <w:r w:rsidRPr="009D3971">
        <w:t xml:space="preserve">Recalculation of </w:t>
      </w:r>
      <w:r w:rsidR="00386E75">
        <w:t xml:space="preserve">Buyer's Capacity, Expected Annual Production  and </w:t>
      </w:r>
      <w:r w:rsidRPr="009D3971">
        <w:t>Buyer's Percentage</w:t>
      </w:r>
    </w:p>
    <w:p w14:paraId="45B9F00B" w14:textId="559146DD" w:rsidR="00D90319" w:rsidRDefault="00006BC4" w:rsidP="00386E75">
      <w:pPr>
        <w:pStyle w:val="Heading2"/>
      </w:pPr>
      <w:r>
        <w:t>Scenario where the Buyer's Percentage is 100%</w:t>
      </w:r>
      <w:r w:rsidR="00D90319">
        <w:t xml:space="preserve"> and there is no Capacity Shortfall</w:t>
      </w:r>
    </w:p>
    <w:p w14:paraId="087B4DF8" w14:textId="6BD95A72" w:rsidR="00006BC4" w:rsidRDefault="00D90319" w:rsidP="00D90319">
      <w:pPr>
        <w:pStyle w:val="ssPara2"/>
      </w:pPr>
      <w:r>
        <w:t xml:space="preserve">If the Buyer's Percentage is 100% of the Nameplate Capacity and then if there is no Capacity Shortfall, the Buyer's Expected Production shall be recalculated to be the certified Expected Annual Production of the Facility provided to the Buyer on the Actual COD. </w:t>
      </w:r>
      <w:r w:rsidR="00006BC4">
        <w:t xml:space="preserve"> </w:t>
      </w:r>
    </w:p>
    <w:p w14:paraId="591658DA" w14:textId="0B7F8F79" w:rsidR="00386E75" w:rsidRDefault="00386E75" w:rsidP="00386E75">
      <w:pPr>
        <w:pStyle w:val="Heading2"/>
      </w:pPr>
      <w:r>
        <w:t xml:space="preserve">Scenario where </w:t>
      </w:r>
      <w:r w:rsidR="00006BC4">
        <w:t xml:space="preserve">the Buyer's Percentage is less than 100% and </w:t>
      </w:r>
      <w:r>
        <w:t>there is no Capacity Shortfall on Actual COD</w:t>
      </w:r>
    </w:p>
    <w:p w14:paraId="65B712CF" w14:textId="3DC5D948" w:rsidR="00386E75" w:rsidRDefault="00386E75" w:rsidP="00386E75">
      <w:pPr>
        <w:pStyle w:val="ssNoHeading3"/>
        <w:numPr>
          <w:ilvl w:val="0"/>
          <w:numId w:val="0"/>
        </w:numPr>
        <w:ind w:left="709"/>
      </w:pPr>
      <w:r>
        <w:t xml:space="preserve">If </w:t>
      </w:r>
      <w:r w:rsidR="00006BC4">
        <w:t xml:space="preserve">the Buyer's Percentage is less than 100% prior to the Actual COD and </w:t>
      </w:r>
      <w:r>
        <w:t>there is no Capacity Shortfall</w:t>
      </w:r>
      <w:r w:rsidR="00006BC4">
        <w:t xml:space="preserve"> on the Actual COD</w:t>
      </w:r>
      <w:r>
        <w:t xml:space="preserve">, then on the Actual COD: </w:t>
      </w:r>
    </w:p>
    <w:p w14:paraId="7C62C342" w14:textId="4D3956E3" w:rsidR="00386E75" w:rsidRDefault="00386E75" w:rsidP="00386E75">
      <w:pPr>
        <w:pStyle w:val="ssNoHeading3"/>
      </w:pPr>
      <w:bookmarkStart w:id="38" w:name="_Ref173936304"/>
      <w:r>
        <w:t xml:space="preserve">the Buyer's Percentage shall be recalculated to be the percentage that is the result of the </w:t>
      </w:r>
      <w:r w:rsidR="00006BC4">
        <w:t>Buyer's Expected Annual Production divided by the certified Expected Annual Production of the Facility provided to the Buyer on the Actual COD; and</w:t>
      </w:r>
      <w:bookmarkEnd w:id="38"/>
    </w:p>
    <w:p w14:paraId="3B541052" w14:textId="7D950782" w:rsidR="00006BC4" w:rsidRDefault="00006BC4" w:rsidP="00386E75">
      <w:pPr>
        <w:pStyle w:val="ssNoHeading3"/>
      </w:pPr>
      <w:bookmarkStart w:id="39" w:name="_Ref173936308"/>
      <w:r>
        <w:t>the Buyer's Capacity shall</w:t>
      </w:r>
      <w:r w:rsidR="00AF1C39">
        <w:t xml:space="preserve"> then</w:t>
      </w:r>
      <w:r>
        <w:t xml:space="preserve"> be recalculated to be the result of the </w:t>
      </w:r>
      <w:r w:rsidR="00414675">
        <w:t>Buyer's Percentage multiplied by the Nameplate Capacity,</w:t>
      </w:r>
      <w:bookmarkEnd w:id="39"/>
    </w:p>
    <w:p w14:paraId="03EE7F06" w14:textId="75B31242" w:rsidR="00386E75" w:rsidRDefault="00414675" w:rsidP="00414675">
      <w:pPr>
        <w:pStyle w:val="ssNoHeading3"/>
        <w:numPr>
          <w:ilvl w:val="0"/>
          <w:numId w:val="0"/>
        </w:numPr>
        <w:ind w:left="709"/>
      </w:pPr>
      <w:r>
        <w:t xml:space="preserve">in each case as certified </w:t>
      </w:r>
      <w:r w:rsidR="00386E75" w:rsidRPr="00386E75">
        <w:t xml:space="preserve">by </w:t>
      </w:r>
      <w:r w:rsidR="00386E75" w:rsidRPr="00386E75">
        <w:rPr>
          <w:rFonts w:asciiTheme="minorBidi" w:eastAsia="Arial" w:hAnsiTheme="minorBidi" w:cstheme="minorBidi"/>
          <w:color w:val="000000"/>
        </w:rPr>
        <w:t>a leading independent technical adviser</w:t>
      </w:r>
      <w:r w:rsidR="00386E75" w:rsidRPr="00386E75">
        <w:t>.</w:t>
      </w:r>
    </w:p>
    <w:p w14:paraId="1C450245" w14:textId="46C11B6E" w:rsidR="00414675" w:rsidRDefault="00414675" w:rsidP="00414675">
      <w:pPr>
        <w:pStyle w:val="Heading2"/>
      </w:pPr>
      <w:r>
        <w:t>Scenario where there is a Capacity Shortfall on Actual COD</w:t>
      </w:r>
      <w:r w:rsidR="00D90319">
        <w:t xml:space="preserve"> and the Buyer's Percentage is 100% or less than 100%</w:t>
      </w:r>
    </w:p>
    <w:p w14:paraId="37402E09" w14:textId="52756489" w:rsidR="00414675" w:rsidRDefault="00414675" w:rsidP="00414675">
      <w:pPr>
        <w:pStyle w:val="ssNoHeading3"/>
        <w:numPr>
          <w:ilvl w:val="0"/>
          <w:numId w:val="0"/>
        </w:numPr>
        <w:ind w:left="709"/>
      </w:pPr>
      <w:r>
        <w:t xml:space="preserve">If there is a Permitted Capacity Shortfall on the Actual COD, then the following shall apply: </w:t>
      </w:r>
    </w:p>
    <w:p w14:paraId="41F57A8A" w14:textId="54808E2F" w:rsidR="00414675" w:rsidRDefault="00414675" w:rsidP="00414675">
      <w:pPr>
        <w:pStyle w:val="ssNoHeading3"/>
      </w:pPr>
      <w:r>
        <w:t xml:space="preserve">until the earlier of the </w:t>
      </w:r>
      <w:r w:rsidR="00AF1C39">
        <w:t xml:space="preserve">date on which the Permitted Capacity Shortfall is remedied and </w:t>
      </w:r>
      <w:r>
        <w:t xml:space="preserve">the date on which the Supplier </w:t>
      </w:r>
      <w:r w:rsidR="00AF1C39">
        <w:t>has paid</w:t>
      </w:r>
      <w:r>
        <w:t xml:space="preserve"> lump sum Shortfall Damages in accordance with Paragraph </w:t>
      </w:r>
      <w:r>
        <w:fldChar w:fldCharType="begin"/>
      </w:r>
      <w:r>
        <w:instrText xml:space="preserve"> REF _Ref172909387 \r \h </w:instrText>
      </w:r>
      <w:r>
        <w:fldChar w:fldCharType="separate"/>
      </w:r>
      <w:r>
        <w:rPr>
          <w:cs/>
        </w:rPr>
        <w:t>‎</w:t>
      </w:r>
      <w:r>
        <w:t>4.2(A)</w:t>
      </w:r>
      <w:r>
        <w:fldChar w:fldCharType="end"/>
      </w:r>
      <w:r>
        <w:t xml:space="preserve">, no change shall be made to the Buyer's Percentage or the Buyer's Capacity; </w:t>
      </w:r>
    </w:p>
    <w:p w14:paraId="3CD9049D" w14:textId="7D052ACE" w:rsidR="0071100E" w:rsidRDefault="00AF1C39" w:rsidP="00414675">
      <w:pPr>
        <w:pStyle w:val="ssNoHeading3"/>
      </w:pPr>
      <w:r>
        <w:lastRenderedPageBreak/>
        <w:t xml:space="preserve">if the Permitted Capacity Shortfall is remedied by the Longstop Date or if the Supplier pays lump sum Capacity Damages in accordance with Paragraph </w:t>
      </w:r>
      <w:r>
        <w:fldChar w:fldCharType="begin"/>
      </w:r>
      <w:r>
        <w:instrText xml:space="preserve"> REF _Ref172909387 \r \h </w:instrText>
      </w:r>
      <w:r>
        <w:fldChar w:fldCharType="separate"/>
      </w:r>
      <w:r>
        <w:rPr>
          <w:cs/>
        </w:rPr>
        <w:t>‎</w:t>
      </w:r>
      <w:r>
        <w:t>4.2(A)</w:t>
      </w:r>
      <w:r>
        <w:fldChar w:fldCharType="end"/>
      </w:r>
      <w:r>
        <w:t>, then</w:t>
      </w:r>
      <w:r w:rsidR="0071100E">
        <w:t xml:space="preserve"> the following shall apply (in the following order):</w:t>
      </w:r>
    </w:p>
    <w:p w14:paraId="15EAEC05" w14:textId="427C63F6" w:rsidR="0071100E" w:rsidRPr="0071100E" w:rsidRDefault="0071100E" w:rsidP="0071100E">
      <w:pPr>
        <w:pStyle w:val="Heading4"/>
        <w:rPr>
          <w:b w:val="0"/>
          <w:bCs w:val="0"/>
        </w:rPr>
      </w:pPr>
      <w:r w:rsidRPr="0071100E">
        <w:rPr>
          <w:b w:val="0"/>
          <w:bCs w:val="0"/>
        </w:rPr>
        <w:t xml:space="preserve">the Supplier shall confirm to the Buyer the final Nameplate Capacity following the applicable of the remedy and the payment of lump sum Capacity Damages, such confirmation to be certified by a leading independent technical adviser appointed by the Supplier; </w:t>
      </w:r>
    </w:p>
    <w:p w14:paraId="04BD86DA" w14:textId="21F06F4A" w:rsidR="0071100E" w:rsidRDefault="0071100E" w:rsidP="00AF1C39">
      <w:pPr>
        <w:pStyle w:val="Heading4"/>
        <w:rPr>
          <w:b w:val="0"/>
          <w:bCs w:val="0"/>
        </w:rPr>
      </w:pPr>
      <w:r w:rsidRPr="00AF1C39">
        <w:rPr>
          <w:b w:val="0"/>
          <w:bCs w:val="0"/>
        </w:rPr>
        <w:t xml:space="preserve">the </w:t>
      </w:r>
      <w:r>
        <w:rPr>
          <w:b w:val="0"/>
          <w:bCs w:val="0"/>
        </w:rPr>
        <w:t xml:space="preserve">Supplier shall recalculate the </w:t>
      </w:r>
      <w:r w:rsidRPr="00AF1C39">
        <w:rPr>
          <w:b w:val="0"/>
          <w:bCs w:val="0"/>
        </w:rPr>
        <w:t xml:space="preserve">Expected Annual Production </w:t>
      </w:r>
      <w:r>
        <w:rPr>
          <w:b w:val="0"/>
          <w:bCs w:val="0"/>
        </w:rPr>
        <w:t xml:space="preserve">and the </w:t>
      </w:r>
      <w:r w:rsidRPr="00AF1C39">
        <w:rPr>
          <w:b w:val="0"/>
          <w:bCs w:val="0"/>
        </w:rPr>
        <w:t>Buyer's Expected Annual Production</w:t>
      </w:r>
      <w:r>
        <w:rPr>
          <w:b w:val="0"/>
          <w:bCs w:val="0"/>
        </w:rPr>
        <w:t xml:space="preserve"> based on the certified Nameplate Capacity and confirm the Expected Annual Production and the Buyer's Expected Annual Production to the Buyer, </w:t>
      </w:r>
      <w:r w:rsidRPr="0071100E">
        <w:rPr>
          <w:b w:val="0"/>
          <w:bCs w:val="0"/>
        </w:rPr>
        <w:t>such confirmation to be certified by a leading independent technical adviser appointed by the Supplier</w:t>
      </w:r>
      <w:r>
        <w:rPr>
          <w:b w:val="0"/>
          <w:bCs w:val="0"/>
        </w:rPr>
        <w:t xml:space="preserve">; </w:t>
      </w:r>
    </w:p>
    <w:p w14:paraId="74301D32" w14:textId="77777777" w:rsidR="00D90319" w:rsidRDefault="00D90319" w:rsidP="0071100E">
      <w:pPr>
        <w:pStyle w:val="Heading4"/>
        <w:rPr>
          <w:b w:val="0"/>
          <w:bCs w:val="0"/>
        </w:rPr>
      </w:pPr>
      <w:r>
        <w:rPr>
          <w:b w:val="0"/>
          <w:bCs w:val="0"/>
        </w:rPr>
        <w:t xml:space="preserve">if the Buyer's Percentage is less than 100%: </w:t>
      </w:r>
    </w:p>
    <w:p w14:paraId="532FBAC1" w14:textId="4ECEF23E" w:rsidR="00AF1C39" w:rsidRPr="00D90319" w:rsidRDefault="00AF1C39" w:rsidP="00D90319">
      <w:pPr>
        <w:pStyle w:val="Heading5"/>
        <w:rPr>
          <w:b w:val="0"/>
          <w:bCs/>
        </w:rPr>
      </w:pPr>
      <w:r w:rsidRPr="00D90319">
        <w:rPr>
          <w:b w:val="0"/>
          <w:bCs/>
        </w:rPr>
        <w:t xml:space="preserve">the Buyer's Percentage shall be recalculated to be the percentage that is the result of the </w:t>
      </w:r>
      <w:r w:rsidR="0071100E" w:rsidRPr="00D90319">
        <w:rPr>
          <w:b w:val="0"/>
          <w:bCs/>
        </w:rPr>
        <w:t xml:space="preserve">updated and certified </w:t>
      </w:r>
      <w:r w:rsidRPr="00D90319">
        <w:rPr>
          <w:b w:val="0"/>
          <w:bCs/>
        </w:rPr>
        <w:t>Buyer's Expected Annual Production divided by</w:t>
      </w:r>
      <w:r w:rsidR="0071100E" w:rsidRPr="00D90319">
        <w:rPr>
          <w:b w:val="0"/>
          <w:bCs/>
        </w:rPr>
        <w:t xml:space="preserve"> the Expected Annual Production, such calculation to be certified by a leading independent technical adviser appointed by the Supplier</w:t>
      </w:r>
      <w:r w:rsidRPr="00D90319">
        <w:rPr>
          <w:b w:val="0"/>
          <w:bCs/>
        </w:rPr>
        <w:t>; and</w:t>
      </w:r>
    </w:p>
    <w:p w14:paraId="691C6F41" w14:textId="74DCFDD9" w:rsidR="00AF1C39" w:rsidRPr="00D90319" w:rsidRDefault="00AF1C39" w:rsidP="00D90319">
      <w:pPr>
        <w:pStyle w:val="Heading5"/>
        <w:rPr>
          <w:b w:val="0"/>
          <w:bCs/>
        </w:rPr>
      </w:pPr>
      <w:r w:rsidRPr="00D90319">
        <w:rPr>
          <w:b w:val="0"/>
          <w:bCs/>
        </w:rPr>
        <w:t>the Buyer's Capacity shall then be recalculated to be the result of the Buyer's Percentage multiplied by the Nameplate Capacity</w:t>
      </w:r>
      <w:r w:rsidR="0071100E" w:rsidRPr="00D90319">
        <w:rPr>
          <w:b w:val="0"/>
          <w:bCs/>
        </w:rPr>
        <w:t>, such calculation to be certified by a leading independent technical adviser appointed by the Supplier.</w:t>
      </w:r>
    </w:p>
    <w:p w14:paraId="51F4EBC6" w14:textId="016AE56E" w:rsidR="00E43AE1" w:rsidRPr="004D0DAC" w:rsidRDefault="00E43AE1" w:rsidP="00E43AE1">
      <w:pPr>
        <w:pStyle w:val="Heading1"/>
      </w:pPr>
      <w:r w:rsidRPr="004D0DAC">
        <w:t>Invoicing</w:t>
      </w:r>
    </w:p>
    <w:p w14:paraId="75E2EA6B" w14:textId="0F584FFB" w:rsidR="006F61C4" w:rsidRDefault="006F61C4" w:rsidP="006F61C4">
      <w:pPr>
        <w:pStyle w:val="ssNoHeading2"/>
        <w:numPr>
          <w:ilvl w:val="0"/>
          <w:numId w:val="0"/>
        </w:numPr>
        <w:ind w:left="709"/>
      </w:pPr>
      <w:bookmarkStart w:id="40" w:name="_Ref57586257"/>
      <w:r w:rsidRPr="0081189C">
        <w:t xml:space="preserve">If </w:t>
      </w:r>
      <w:r>
        <w:t xml:space="preserve">Delay Damages or </w:t>
      </w:r>
      <w:r w:rsidRPr="0081189C">
        <w:t xml:space="preserve">Shortfall Damages are owed by the </w:t>
      </w:r>
      <w:r>
        <w:t>Supplier</w:t>
      </w:r>
      <w:r w:rsidRPr="0081189C">
        <w:t xml:space="preserve"> to the Buyer, the </w:t>
      </w:r>
      <w:r>
        <w:t xml:space="preserve">Buyer </w:t>
      </w:r>
      <w:r w:rsidRPr="0081189C">
        <w:t xml:space="preserve">shall calculate the </w:t>
      </w:r>
      <w:r>
        <w:t xml:space="preserve">applicable of the Delay Damages and </w:t>
      </w:r>
      <w:r w:rsidRPr="0081189C">
        <w:t xml:space="preserve">Shortfall Damages due </w:t>
      </w:r>
      <w:r>
        <w:t xml:space="preserve"> </w:t>
      </w:r>
      <w:r w:rsidRPr="004D0DAC">
        <w:t xml:space="preserve">and </w:t>
      </w:r>
      <w:r>
        <w:t xml:space="preserve">shall </w:t>
      </w:r>
      <w:r w:rsidRPr="004D0DAC">
        <w:t xml:space="preserve">issue an invoice </w:t>
      </w:r>
      <w:r w:rsidR="00C932B3">
        <w:t xml:space="preserve">(in a form determined by the Buyer) </w:t>
      </w:r>
      <w:r w:rsidRPr="004D0DAC">
        <w:t xml:space="preserve">for such </w:t>
      </w:r>
      <w:r>
        <w:t xml:space="preserve">Delay Damages or </w:t>
      </w:r>
      <w:r w:rsidRPr="004D0DAC">
        <w:t xml:space="preserve">Shortfall Damages </w:t>
      </w:r>
      <w:r>
        <w:t>as follows:</w:t>
      </w:r>
    </w:p>
    <w:p w14:paraId="49DE22F6" w14:textId="56551707" w:rsidR="00E43AE1" w:rsidRPr="004D0DAC" w:rsidRDefault="002D5AE6" w:rsidP="00E43AE1">
      <w:pPr>
        <w:pStyle w:val="ssNoHeading3"/>
      </w:pPr>
      <w:r>
        <w:t>w</w:t>
      </w:r>
      <w:r w:rsidR="00E43AE1">
        <w:t>ithin thirty (30</w:t>
      </w:r>
      <w:r w:rsidR="00E43AE1" w:rsidRPr="004D0DAC">
        <w:t>)</w:t>
      </w:r>
      <w:r w:rsidR="00E43AE1">
        <w:t xml:space="preserve"> </w:t>
      </w:r>
      <w:r w:rsidR="00E43AE1" w:rsidRPr="004D0DAC">
        <w:t xml:space="preserve">days following the end of </w:t>
      </w:r>
      <w:r w:rsidR="006F61C4">
        <w:t xml:space="preserve">a month in respect of which Delay Damages or Shortfall Damages become due, </w:t>
      </w:r>
      <w:r w:rsidR="00E43AE1" w:rsidRPr="004D0DAC">
        <w:t xml:space="preserve">the </w:t>
      </w:r>
      <w:r w:rsidR="006F61C4">
        <w:t xml:space="preserve">Buyer </w:t>
      </w:r>
      <w:r w:rsidR="00E43AE1" w:rsidRPr="004D0DAC">
        <w:t xml:space="preserve">shall </w:t>
      </w:r>
      <w:r w:rsidR="00E43AE1">
        <w:t xml:space="preserve">issue to the </w:t>
      </w:r>
      <w:r w:rsidR="006F61C4">
        <w:t xml:space="preserve">Supplier </w:t>
      </w:r>
      <w:r w:rsidR="00E43AE1" w:rsidRPr="004D0DAC">
        <w:t>an</w:t>
      </w:r>
      <w:r w:rsidR="00531FF8">
        <w:t xml:space="preserve"> invoice</w:t>
      </w:r>
      <w:r w:rsidR="00E43AE1" w:rsidRPr="004D0DAC">
        <w:t xml:space="preserve"> </w:t>
      </w:r>
      <w:r w:rsidR="00E43AE1">
        <w:t xml:space="preserve">setting out the </w:t>
      </w:r>
      <w:r w:rsidR="006F61C4">
        <w:t>applicable of the Delay Damages or Shortfall Damages</w:t>
      </w:r>
      <w:bookmarkEnd w:id="40"/>
      <w:r>
        <w:t>;</w:t>
      </w:r>
    </w:p>
    <w:p w14:paraId="69F0158D" w14:textId="60AE2936" w:rsidR="00E43AE1" w:rsidRPr="004D0DAC" w:rsidRDefault="002D5AE6" w:rsidP="00E43AE1">
      <w:pPr>
        <w:pStyle w:val="ssNoHeading3"/>
      </w:pPr>
      <w:r>
        <w:t>t</w:t>
      </w:r>
      <w:r w:rsidR="00E43AE1" w:rsidRPr="004D0DAC">
        <w:t xml:space="preserve">o the extent that information required to prepare an invoice is not available to the </w:t>
      </w:r>
      <w:r w:rsidR="006F61C4">
        <w:t xml:space="preserve">Buyer </w:t>
      </w:r>
      <w:r w:rsidR="00E43AE1" w:rsidRPr="004D0DAC">
        <w:t xml:space="preserve">at the time of the </w:t>
      </w:r>
      <w:r w:rsidR="006F61C4">
        <w:t xml:space="preserve">Buyer's </w:t>
      </w:r>
      <w:r w:rsidR="00E43AE1" w:rsidRPr="004D0DAC">
        <w:t xml:space="preserve">invoice, the </w:t>
      </w:r>
      <w:r w:rsidR="006F61C4">
        <w:t xml:space="preserve">Buyer </w:t>
      </w:r>
      <w:r w:rsidR="00E43AE1" w:rsidRPr="004D0DAC">
        <w:t xml:space="preserve">may issue such invoice on an estimated basis using the best available information that it has at that time and then include an adjustment pursuant to </w:t>
      </w:r>
      <w:r w:rsidR="00E43AE1">
        <w:t>Paragraph</w:t>
      </w:r>
      <w:r w:rsidR="00E43AE1" w:rsidRPr="004D0DAC">
        <w:t xml:space="preserve"> </w:t>
      </w:r>
      <w:r w:rsidR="006F61C4">
        <w:t>1</w:t>
      </w:r>
      <w:r w:rsidR="008C2F21">
        <w:t>1</w:t>
      </w:r>
      <w:r w:rsidR="006F61C4">
        <w:t>.4(B)</w:t>
      </w:r>
      <w:r w:rsidR="00E43AE1">
        <w:t xml:space="preserve"> (</w:t>
      </w:r>
      <w:r w:rsidR="00E43AE1" w:rsidRPr="004259E7">
        <w:rPr>
          <w:i/>
          <w:iCs/>
        </w:rPr>
        <w:t>Adjustments to invoices</w:t>
      </w:r>
      <w:r w:rsidR="00E43AE1">
        <w:t>)</w:t>
      </w:r>
      <w:r w:rsidR="00E43AE1" w:rsidRPr="004D0DAC">
        <w:t xml:space="preserve"> </w:t>
      </w:r>
      <w:r w:rsidR="006F61C4">
        <w:t>of Call-Off Schedule 25 (</w:t>
      </w:r>
      <w:r w:rsidR="006F61C4" w:rsidRPr="006F61C4">
        <w:rPr>
          <w:i/>
          <w:iCs/>
        </w:rPr>
        <w:t>Call-Off PPA Terms</w:t>
      </w:r>
      <w:r w:rsidR="006F61C4">
        <w:t xml:space="preserve">) </w:t>
      </w:r>
      <w:r w:rsidR="00E43AE1" w:rsidRPr="004D0DAC">
        <w:t xml:space="preserve">to reflect the actual information in the next invoice after such information becomes available to </w:t>
      </w:r>
      <w:r w:rsidR="006F61C4">
        <w:t>the Buyer</w:t>
      </w:r>
      <w:r w:rsidR="009D4A07">
        <w:t>;</w:t>
      </w:r>
    </w:p>
    <w:p w14:paraId="2788A059" w14:textId="77777777" w:rsidR="00C932B3" w:rsidRDefault="002D5AE6" w:rsidP="00E43AE1">
      <w:pPr>
        <w:pStyle w:val="ssNoHeading3"/>
      </w:pPr>
      <w:r>
        <w:t>a</w:t>
      </w:r>
      <w:r w:rsidR="00E43AE1" w:rsidRPr="004D0DAC">
        <w:t xml:space="preserve">ll invoices rendered to </w:t>
      </w:r>
      <w:r w:rsidR="00E43AE1">
        <w:t xml:space="preserve">the </w:t>
      </w:r>
      <w:r w:rsidR="006F61C4">
        <w:t xml:space="preserve">Supplier </w:t>
      </w:r>
      <w:r w:rsidR="00E43AE1" w:rsidRPr="004D0DAC">
        <w:t>shall demonstrate how the invoice amounts were calculated</w:t>
      </w:r>
      <w:r>
        <w:t xml:space="preserve">; </w:t>
      </w:r>
    </w:p>
    <w:p w14:paraId="3A77A86D" w14:textId="0861F20F" w:rsidR="00E43AE1" w:rsidRPr="004D0DAC" w:rsidRDefault="00C932B3" w:rsidP="00E43AE1">
      <w:pPr>
        <w:pStyle w:val="ssNoHeading3"/>
      </w:pPr>
      <w:r>
        <w:t xml:space="preserve">the Supplier must accept and process an undisputed invoice received from the Buyer and must pay the Buyer the amounts required under the invoice within </w:t>
      </w:r>
      <w:r>
        <w:lastRenderedPageBreak/>
        <w:t>thirty (30) days of receipt of the invoice by the Supplier, in cleared funds using the payment method and details stated in the Order Form or (if not specified in the Order Form) in the invoice; and</w:t>
      </w:r>
    </w:p>
    <w:p w14:paraId="4D4EE6DB" w14:textId="7E07BF23" w:rsidR="00E43AE1" w:rsidRDefault="00E43AE1" w:rsidP="006F61C4">
      <w:pPr>
        <w:pStyle w:val="Heading3"/>
        <w:rPr>
          <w:b w:val="0"/>
          <w:bCs w:val="0"/>
        </w:rPr>
      </w:pPr>
      <w:r w:rsidRPr="006F61C4">
        <w:rPr>
          <w:b w:val="0"/>
          <w:bCs w:val="0"/>
        </w:rPr>
        <w:t>Paragraphs 1</w:t>
      </w:r>
      <w:r w:rsidR="008C2F21">
        <w:rPr>
          <w:b w:val="0"/>
          <w:bCs w:val="0"/>
        </w:rPr>
        <w:t>1</w:t>
      </w:r>
      <w:r w:rsidRPr="006F61C4">
        <w:rPr>
          <w:b w:val="0"/>
          <w:bCs w:val="0"/>
        </w:rPr>
        <w:t>.3</w:t>
      </w:r>
      <w:r w:rsidR="006F61C4" w:rsidRPr="006F61C4">
        <w:rPr>
          <w:b w:val="0"/>
          <w:bCs w:val="0"/>
        </w:rPr>
        <w:t>(A) (</w:t>
      </w:r>
      <w:r w:rsidR="006F61C4" w:rsidRPr="00D870AF">
        <w:rPr>
          <w:b w:val="0"/>
          <w:bCs w:val="0"/>
          <w:i/>
          <w:iCs/>
        </w:rPr>
        <w:t>Payment</w:t>
      </w:r>
      <w:r w:rsidR="006F61C4" w:rsidRPr="006F61C4">
        <w:rPr>
          <w:b w:val="0"/>
          <w:bCs w:val="0"/>
        </w:rPr>
        <w:t>), 1</w:t>
      </w:r>
      <w:r w:rsidR="008C2F21">
        <w:rPr>
          <w:b w:val="0"/>
          <w:bCs w:val="0"/>
        </w:rPr>
        <w:t>1</w:t>
      </w:r>
      <w:r w:rsidR="006F61C4" w:rsidRPr="006F61C4">
        <w:rPr>
          <w:b w:val="0"/>
          <w:bCs w:val="0"/>
        </w:rPr>
        <w:t>.4</w:t>
      </w:r>
      <w:r w:rsidR="00C932B3">
        <w:rPr>
          <w:b w:val="0"/>
          <w:bCs w:val="0"/>
        </w:rPr>
        <w:t>(B)</w:t>
      </w:r>
      <w:r w:rsidR="006F61C4" w:rsidRPr="006F61C4">
        <w:rPr>
          <w:b w:val="0"/>
          <w:bCs w:val="0"/>
        </w:rPr>
        <w:t xml:space="preserve"> (</w:t>
      </w:r>
      <w:r w:rsidR="00C932B3">
        <w:rPr>
          <w:b w:val="0"/>
          <w:bCs w:val="0"/>
          <w:i/>
          <w:iCs/>
        </w:rPr>
        <w:t>Errors in billing or payment</w:t>
      </w:r>
      <w:r w:rsidR="006F61C4" w:rsidRPr="006F61C4">
        <w:rPr>
          <w:b w:val="0"/>
          <w:bCs w:val="0"/>
        </w:rPr>
        <w:t>) and 1</w:t>
      </w:r>
      <w:r w:rsidR="008C2F21">
        <w:rPr>
          <w:b w:val="0"/>
          <w:bCs w:val="0"/>
        </w:rPr>
        <w:t>1</w:t>
      </w:r>
      <w:r w:rsidR="006F61C4" w:rsidRPr="006F61C4">
        <w:rPr>
          <w:b w:val="0"/>
          <w:bCs w:val="0"/>
        </w:rPr>
        <w:t>.5 (</w:t>
      </w:r>
      <w:r w:rsidR="006F61C4" w:rsidRPr="006F61C4">
        <w:rPr>
          <w:b w:val="0"/>
          <w:bCs w:val="0"/>
          <w:i/>
          <w:iCs/>
        </w:rPr>
        <w:t>Disputed Amounts</w:t>
      </w:r>
      <w:r w:rsidR="006F61C4" w:rsidRPr="006F61C4">
        <w:rPr>
          <w:b w:val="0"/>
          <w:bCs w:val="0"/>
        </w:rPr>
        <w:t>) of Call-Off Schedule 25 (</w:t>
      </w:r>
      <w:r w:rsidR="006F61C4" w:rsidRPr="006F61C4">
        <w:rPr>
          <w:b w:val="0"/>
          <w:bCs w:val="0"/>
          <w:i/>
          <w:iCs/>
        </w:rPr>
        <w:t>Call-Off PPA Terms</w:t>
      </w:r>
      <w:r w:rsidR="006F61C4" w:rsidRPr="006F61C4">
        <w:rPr>
          <w:b w:val="0"/>
          <w:bCs w:val="0"/>
        </w:rPr>
        <w:t>) shall apply to invoices issued by the Buyer under this Call-Off Schedule 31 (</w:t>
      </w:r>
      <w:r w:rsidR="006F61C4" w:rsidRPr="006F61C4">
        <w:rPr>
          <w:b w:val="0"/>
          <w:bCs w:val="0"/>
          <w:i/>
          <w:iCs/>
        </w:rPr>
        <w:t>New Build Facilities</w:t>
      </w:r>
      <w:r w:rsidR="006F61C4" w:rsidRPr="006F61C4">
        <w:rPr>
          <w:b w:val="0"/>
          <w:bCs w:val="0"/>
        </w:rPr>
        <w:t xml:space="preserve">). </w:t>
      </w:r>
      <w:r w:rsidRPr="006F61C4">
        <w:rPr>
          <w:b w:val="0"/>
          <w:bCs w:val="0"/>
        </w:rPr>
        <w:t xml:space="preserve"> </w:t>
      </w:r>
    </w:p>
    <w:p w14:paraId="00080BE8" w14:textId="5F32BAEB" w:rsidR="009B0E23" w:rsidRPr="009B0E23" w:rsidRDefault="009B0E23" w:rsidP="001A4395">
      <w:pPr>
        <w:pStyle w:val="ssNoHeading3"/>
        <w:numPr>
          <w:ilvl w:val="0"/>
          <w:numId w:val="0"/>
        </w:numPr>
        <w:ind w:left="1418" w:hanging="709"/>
      </w:pPr>
    </w:p>
    <w:sectPr w:rsidR="009B0E23" w:rsidRPr="009B0E2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BB99D" w14:textId="77777777" w:rsidR="00A10FCA" w:rsidRDefault="00A10FCA" w:rsidP="005508CB">
      <w:r>
        <w:separator/>
      </w:r>
    </w:p>
  </w:endnote>
  <w:endnote w:type="continuationSeparator" w:id="0">
    <w:p w14:paraId="4E2F63C0" w14:textId="77777777" w:rsidR="00A10FCA" w:rsidRDefault="00A10FCA" w:rsidP="00550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ngLiU">
    <w:altName w:val="細明體"/>
    <w:panose1 w:val="02020309000000000000"/>
    <w:charset w:val="88"/>
    <w:family w:val="modern"/>
    <w:pitch w:val="fixed"/>
    <w:sig w:usb0="A00002FF" w:usb1="28CFFCFA" w:usb2="00000016" w:usb3="00000000" w:csb0="00100001" w:csb1="00000000"/>
  </w:font>
  <w:font w:name="Arial Bold">
    <w:altName w:val="Arial"/>
    <w:panose1 w:val="020B0704020202020204"/>
    <w:charset w:val="00"/>
    <w:family w:val="roman"/>
    <w:notTrueType/>
    <w:pitch w:val="default"/>
  </w:font>
  <w:font w:name="STZhongsong">
    <w:panose1 w:val="02010600040101010101"/>
    <w:charset w:val="86"/>
    <w:family w:val="auto"/>
    <w:pitch w:val="variable"/>
    <w:sig w:usb0="00000287" w:usb1="080F0000" w:usb2="00000010" w:usb3="00000000" w:csb0="0004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027" w14:textId="77777777" w:rsidR="00FC2AAB" w:rsidRDefault="00FC2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415069"/>
      <w:docPartObj>
        <w:docPartGallery w:val="Page Numbers (Bottom of Page)"/>
        <w:docPartUnique/>
      </w:docPartObj>
    </w:sdtPr>
    <w:sdtEndPr>
      <w:rPr>
        <w:noProof/>
      </w:rPr>
    </w:sdtEndPr>
    <w:sdtContent>
      <w:p w14:paraId="7119B3D7" w14:textId="77777777" w:rsidR="00824C75" w:rsidRDefault="00824C75" w:rsidP="00824C75">
        <w:pPr>
          <w:pBdr>
            <w:top w:val="nil"/>
            <w:left w:val="nil"/>
            <w:bottom w:val="nil"/>
            <w:right w:val="nil"/>
            <w:between w:val="nil"/>
          </w:pBdr>
          <w:tabs>
            <w:tab w:val="center" w:pos="4513"/>
            <w:tab w:val="right" w:pos="9026"/>
          </w:tabs>
          <w:rPr>
            <w:rFonts w:eastAsia="Arial" w:cs="Arial"/>
            <w:color w:val="A6A6A6"/>
            <w:sz w:val="20"/>
            <w:szCs w:val="20"/>
          </w:rPr>
        </w:pPr>
        <w:r w:rsidRPr="00A868B5">
          <w:rPr>
            <w:rFonts w:eastAsia="Arial" w:cs="Arial"/>
            <w:color w:val="A6A6A6"/>
            <w:sz w:val="20"/>
            <w:szCs w:val="20"/>
          </w:rPr>
          <w:t>Framework Ref: RM6289 Provision of Power Purchase Ag</w:t>
        </w:r>
        <w:r>
          <w:rPr>
            <w:rFonts w:eastAsia="Arial" w:cs="Arial"/>
            <w:color w:val="A6A6A6"/>
            <w:sz w:val="20"/>
            <w:szCs w:val="20"/>
          </w:rPr>
          <w:t>reement</w:t>
        </w:r>
      </w:p>
      <w:p w14:paraId="17754CF9" w14:textId="2F6B6D7D" w:rsidR="00386E75" w:rsidRPr="00824C75" w:rsidRDefault="00824C75" w:rsidP="00824C75">
        <w:pPr>
          <w:pBdr>
            <w:top w:val="nil"/>
            <w:left w:val="nil"/>
            <w:bottom w:val="nil"/>
            <w:right w:val="nil"/>
            <w:between w:val="nil"/>
          </w:pBdr>
          <w:tabs>
            <w:tab w:val="center" w:pos="4513"/>
            <w:tab w:val="right" w:pos="9026"/>
          </w:tabs>
          <w:rPr>
            <w:rFonts w:eastAsia="Arial" w:cs="Arial"/>
            <w:color w:val="A6A6A6"/>
            <w:sz w:val="20"/>
            <w:szCs w:val="20"/>
          </w:rPr>
        </w:pPr>
        <w:r>
          <w:rPr>
            <w:rFonts w:eastAsia="Arial" w:cs="Arial"/>
            <w:color w:val="A6A6A6"/>
            <w:sz w:val="20"/>
            <w:szCs w:val="20"/>
          </w:rPr>
          <w:t>Project Version: v1.0</w:t>
        </w:r>
        <w:r>
          <w:rPr>
            <w:rFonts w:eastAsia="Arial" w:cs="Arial"/>
            <w:color w:val="A6A6A6"/>
            <w:sz w:val="20"/>
            <w:szCs w:val="20"/>
          </w:rPr>
          <w:tab/>
        </w:r>
        <w:r>
          <w:rPr>
            <w:rFonts w:eastAsia="Arial" w:cs="Arial"/>
            <w:color w:val="A6A6A6"/>
            <w:sz w:val="20"/>
            <w:szCs w:val="20"/>
          </w:rPr>
          <w:tab/>
        </w:r>
        <w:r w:rsidR="00386E75">
          <w:fldChar w:fldCharType="begin"/>
        </w:r>
        <w:r w:rsidR="00386E75">
          <w:instrText xml:space="preserve"> PAGE   \* MERGEFORMAT </w:instrText>
        </w:r>
        <w:r w:rsidR="00386E75">
          <w:fldChar w:fldCharType="separate"/>
        </w:r>
        <w:r w:rsidR="00386E75">
          <w:rPr>
            <w:noProof/>
          </w:rPr>
          <w:t>2</w:t>
        </w:r>
        <w:r w:rsidR="00386E75">
          <w:rPr>
            <w:noProof/>
          </w:rPr>
          <w:fldChar w:fldCharType="end"/>
        </w:r>
      </w:p>
    </w:sdtContent>
  </w:sdt>
  <w:p w14:paraId="5CDD707D" w14:textId="07950E8D" w:rsidR="00FC2AAB" w:rsidRPr="00824C75" w:rsidRDefault="00824C75" w:rsidP="00824C75">
    <w:pPr>
      <w:tabs>
        <w:tab w:val="left" w:pos="2731"/>
      </w:tabs>
      <w:rPr>
        <w:rFonts w:eastAsia="Arial" w:cs="Arial"/>
        <w:color w:val="A6A6A6"/>
        <w:sz w:val="20"/>
        <w:szCs w:val="20"/>
      </w:rPr>
    </w:pPr>
    <w:r>
      <w:rPr>
        <w:rFonts w:eastAsia="Arial" w:cs="Arial"/>
        <w:color w:val="A6A6A6"/>
        <w:sz w:val="20"/>
        <w:szCs w:val="20"/>
      </w:rPr>
      <w:t>Model Version: N/A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BF3DC" w14:textId="77777777" w:rsidR="00FC2AAB" w:rsidRDefault="00FC2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0DAD1" w14:textId="77777777" w:rsidR="00A10FCA" w:rsidRDefault="00A10FCA" w:rsidP="005508CB">
      <w:r>
        <w:separator/>
      </w:r>
    </w:p>
  </w:footnote>
  <w:footnote w:type="continuationSeparator" w:id="0">
    <w:p w14:paraId="10161E25" w14:textId="77777777" w:rsidR="00A10FCA" w:rsidRDefault="00A10FCA" w:rsidP="00550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709F8" w14:textId="77777777" w:rsidR="00FC2AAB" w:rsidRDefault="00FC2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87769" w14:textId="36A4FADF" w:rsidR="005508CB" w:rsidRDefault="005508CB" w:rsidP="005508CB">
    <w:pPr>
      <w:tabs>
        <w:tab w:val="center" w:pos="4513"/>
        <w:tab w:val="right" w:pos="9026"/>
      </w:tabs>
      <w:rPr>
        <w:rFonts w:eastAsia="Arial" w:cs="Arial"/>
        <w:sz w:val="20"/>
        <w:szCs w:val="20"/>
      </w:rPr>
    </w:pPr>
    <w:bookmarkStart w:id="41" w:name="_Hlk169517131"/>
    <w:r>
      <w:rPr>
        <w:rFonts w:eastAsia="Arial" w:cs="Arial"/>
        <w:b/>
        <w:sz w:val="20"/>
        <w:szCs w:val="20"/>
      </w:rPr>
      <w:t xml:space="preserve">Call-Off Schedule </w:t>
    </w:r>
    <w:r w:rsidR="008821A8">
      <w:rPr>
        <w:rFonts w:eastAsia="Arial" w:cs="Arial"/>
        <w:b/>
        <w:sz w:val="20"/>
        <w:szCs w:val="20"/>
      </w:rPr>
      <w:t>31 (New Build Facilities)</w:t>
    </w:r>
  </w:p>
  <w:p w14:paraId="25D9E00C" w14:textId="77777777" w:rsidR="005508CB" w:rsidRDefault="005508CB" w:rsidP="005508CB">
    <w:pPr>
      <w:tabs>
        <w:tab w:val="center" w:pos="4513"/>
        <w:tab w:val="right" w:pos="9026"/>
      </w:tabs>
      <w:rPr>
        <w:rFonts w:eastAsia="Arial" w:cs="Arial"/>
        <w:sz w:val="20"/>
        <w:szCs w:val="20"/>
      </w:rPr>
    </w:pPr>
    <w:r>
      <w:rPr>
        <w:rFonts w:eastAsia="Arial" w:cs="Arial"/>
        <w:sz w:val="20"/>
        <w:szCs w:val="20"/>
      </w:rPr>
      <w:t>Call-Off Ref:</w:t>
    </w:r>
  </w:p>
  <w:p w14:paraId="3274EB3A" w14:textId="77777777" w:rsidR="005508CB" w:rsidRDefault="005508CB" w:rsidP="005508CB">
    <w:pPr>
      <w:tabs>
        <w:tab w:val="center" w:pos="4513"/>
        <w:tab w:val="right" w:pos="9026"/>
      </w:tabs>
      <w:rPr>
        <w:rFonts w:eastAsia="Arial" w:cs="Arial"/>
        <w:sz w:val="20"/>
        <w:szCs w:val="20"/>
      </w:rPr>
    </w:pPr>
    <w:r>
      <w:rPr>
        <w:rFonts w:eastAsia="Arial" w:cs="Arial"/>
        <w:sz w:val="20"/>
        <w:szCs w:val="20"/>
      </w:rPr>
      <w:t>Crown Copyright</w:t>
    </w:r>
    <w:r>
      <w:rPr>
        <w:rFonts w:eastAsia="Arial" w:cs="Arial"/>
        <w:sz w:val="14"/>
        <w:szCs w:val="14"/>
      </w:rPr>
      <w:t xml:space="preserve"> </w:t>
    </w:r>
    <w:r>
      <w:rPr>
        <w:rFonts w:eastAsia="Arial" w:cs="Arial"/>
        <w:sz w:val="20"/>
        <w:szCs w:val="20"/>
      </w:rPr>
      <w:t>2024</w:t>
    </w:r>
  </w:p>
  <w:bookmarkEnd w:id="41"/>
  <w:p w14:paraId="36C7EB6F" w14:textId="77777777" w:rsidR="005508CB" w:rsidRDefault="005508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E6C9" w14:textId="77777777" w:rsidR="00FC2AAB" w:rsidRDefault="00FC2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56BE4"/>
    <w:multiLevelType w:val="multilevel"/>
    <w:tmpl w:val="CC80C240"/>
    <w:lvl w:ilvl="0">
      <w:start w:val="1"/>
      <w:numFmt w:val="lowerLetter"/>
      <w:pStyle w:val="GPSL1CLAUSEHEADING"/>
      <w:lvlText w:val="%1)"/>
      <w:lvlJc w:val="left"/>
      <w:pPr>
        <w:ind w:left="432" w:hanging="262"/>
      </w:pPr>
      <w:rPr>
        <w:sz w:val="22"/>
        <w:szCs w:val="22"/>
      </w:rPr>
    </w:lvl>
    <w:lvl w:ilvl="1">
      <w:start w:val="1"/>
      <w:numFmt w:val="lowerLetter"/>
      <w:pStyle w:val="GPSL2numberedclause"/>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pStyle w:val="GPSL3numberedclause"/>
      <w:lvlText w:val="%3)"/>
      <w:lvlJc w:val="left"/>
      <w:pPr>
        <w:ind w:left="1250" w:hanging="360"/>
      </w:pPr>
      <w:rPr>
        <w:rFonts w:ascii="Arial" w:eastAsia="Arial" w:hAnsi="Arial" w:cs="Arial"/>
        <w:sz w:val="22"/>
        <w:szCs w:val="22"/>
      </w:rPr>
    </w:lvl>
    <w:lvl w:ilvl="3">
      <w:start w:val="1"/>
      <w:numFmt w:val="decimal"/>
      <w:pStyle w:val="GPSL4numberedclause"/>
      <w:lvlText w:val="(%4)"/>
      <w:lvlJc w:val="left"/>
      <w:pPr>
        <w:ind w:left="1610" w:hanging="360"/>
      </w:pPr>
    </w:lvl>
    <w:lvl w:ilvl="4">
      <w:start w:val="1"/>
      <w:numFmt w:val="lowerLetter"/>
      <w:pStyle w:val="GPSL5numberedclause"/>
      <w:lvlText w:val="(%5)"/>
      <w:lvlJc w:val="left"/>
      <w:pPr>
        <w:ind w:left="1970" w:hanging="360"/>
      </w:pPr>
    </w:lvl>
    <w:lvl w:ilvl="5">
      <w:start w:val="1"/>
      <w:numFmt w:val="lowerRoman"/>
      <w:pStyle w:val="GPSL6numbered"/>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 w15:restartNumberingAfterBreak="0">
    <w:nsid w:val="0FB83F5E"/>
    <w:multiLevelType w:val="multilevel"/>
    <w:tmpl w:val="5A74A9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ssNoHeading4"/>
      <w:lvlText w:val="%5."/>
      <w:lvlJc w:val="left"/>
      <w:pPr>
        <w:tabs>
          <w:tab w:val="num" w:pos="3600"/>
        </w:tabs>
        <w:ind w:left="3600" w:hanging="720"/>
      </w:pPr>
    </w:lvl>
    <w:lvl w:ilvl="5">
      <w:start w:val="1"/>
      <w:numFmt w:val="decimal"/>
      <w:pStyle w:val="ssNoHeading5"/>
      <w:lvlText w:val="%6."/>
      <w:lvlJc w:val="left"/>
      <w:pPr>
        <w:tabs>
          <w:tab w:val="num" w:pos="4320"/>
        </w:tabs>
        <w:ind w:left="4320" w:hanging="720"/>
      </w:pPr>
    </w:lvl>
    <w:lvl w:ilvl="6">
      <w:start w:val="1"/>
      <w:numFmt w:val="decimal"/>
      <w:pStyle w:val="ssNoHeading6"/>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22B7544"/>
    <w:multiLevelType w:val="multilevel"/>
    <w:tmpl w:val="25A6DE5A"/>
    <w:lvl w:ilvl="0">
      <w:start w:val="1"/>
      <w:numFmt w:val="decimal"/>
      <w:lvlRestart w:val="0"/>
      <w:pStyle w:val="ssqAllegato"/>
      <w:suff w:val="nothing"/>
      <w:lvlText w:val="allegat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350245E9"/>
    <w:multiLevelType w:val="multilevel"/>
    <w:tmpl w:val="B60C81CC"/>
    <w:styleLink w:val="NumPara"/>
    <w:lvl w:ilvl="0">
      <w:start w:val="1"/>
      <w:numFmt w:val="none"/>
      <w:pStyle w:val="ssPara"/>
      <w:suff w:val="nothing"/>
      <w:lvlText w:val=""/>
      <w:lvlJc w:val="left"/>
      <w:pPr>
        <w:ind w:left="0" w:firstLine="0"/>
      </w:pPr>
      <w:rPr>
        <w:rFonts w:hint="default"/>
      </w:rPr>
    </w:lvl>
    <w:lvl w:ilvl="1">
      <w:start w:val="1"/>
      <w:numFmt w:val="none"/>
      <w:pStyle w:val="ssPara1"/>
      <w:suff w:val="nothing"/>
      <w:lvlText w:val=""/>
      <w:lvlJc w:val="left"/>
      <w:pPr>
        <w:ind w:left="709" w:firstLine="0"/>
      </w:pPr>
      <w:rPr>
        <w:rFonts w:hint="default"/>
      </w:rPr>
    </w:lvl>
    <w:lvl w:ilvl="2">
      <w:start w:val="1"/>
      <w:numFmt w:val="none"/>
      <w:pStyle w:val="ssPara2"/>
      <w:suff w:val="nothing"/>
      <w:lvlText w:val=""/>
      <w:lvlJc w:val="left"/>
      <w:pPr>
        <w:ind w:left="709" w:firstLine="0"/>
      </w:pPr>
      <w:rPr>
        <w:rFonts w:hint="default"/>
      </w:rPr>
    </w:lvl>
    <w:lvl w:ilvl="3">
      <w:start w:val="1"/>
      <w:numFmt w:val="none"/>
      <w:pStyle w:val="ssPara3"/>
      <w:suff w:val="nothing"/>
      <w:lvlText w:val=""/>
      <w:lvlJc w:val="left"/>
      <w:pPr>
        <w:ind w:left="1418" w:firstLine="0"/>
      </w:pPr>
      <w:rPr>
        <w:rFonts w:hint="default"/>
      </w:rPr>
    </w:lvl>
    <w:lvl w:ilvl="4">
      <w:start w:val="1"/>
      <w:numFmt w:val="none"/>
      <w:pStyle w:val="ssPara4"/>
      <w:suff w:val="nothing"/>
      <w:lvlText w:val=""/>
      <w:lvlJc w:val="left"/>
      <w:pPr>
        <w:ind w:left="1985" w:firstLine="0"/>
      </w:pPr>
      <w:rPr>
        <w:rFonts w:hint="default"/>
      </w:rPr>
    </w:lvl>
    <w:lvl w:ilvl="5">
      <w:start w:val="1"/>
      <w:numFmt w:val="none"/>
      <w:pStyle w:val="ssPara5"/>
      <w:suff w:val="nothing"/>
      <w:lvlText w:val=""/>
      <w:lvlJc w:val="left"/>
      <w:pPr>
        <w:ind w:left="2552" w:firstLine="0"/>
      </w:pPr>
      <w:rPr>
        <w:rFonts w:hint="default"/>
      </w:rPr>
    </w:lvl>
    <w:lvl w:ilvl="6">
      <w:start w:val="1"/>
      <w:numFmt w:val="none"/>
      <w:pStyle w:val="ssPara6"/>
      <w:suff w:val="nothing"/>
      <w:lvlText w:val=""/>
      <w:lvlJc w:val="left"/>
      <w:pPr>
        <w:ind w:left="3119"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4400737D"/>
    <w:multiLevelType w:val="multilevel"/>
    <w:tmpl w:val="A0821DD6"/>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3792175"/>
    <w:multiLevelType w:val="multilevel"/>
    <w:tmpl w:val="47285A8A"/>
    <w:lvl w:ilvl="0">
      <w:start w:val="1"/>
      <w:numFmt w:val="decimal"/>
      <w:lvlRestart w:val="0"/>
      <w:pStyle w:val="ssqAgendar"/>
      <w:suff w:val="nothing"/>
      <w:lvlText w:val="agenda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54D24CB9"/>
    <w:multiLevelType w:val="multilevel"/>
    <w:tmpl w:val="B96E3722"/>
    <w:lvl w:ilvl="0">
      <w:start w:val="1"/>
      <w:numFmt w:val="decimal"/>
      <w:lvlRestart w:val="0"/>
      <w:pStyle w:val="ssqAnexo"/>
      <w:suff w:val="nothing"/>
      <w:lvlText w:val="anex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6A200A64"/>
    <w:multiLevelType w:val="multilevel"/>
    <w:tmpl w:val="B60C81CC"/>
    <w:numStyleLink w:val="NumPara"/>
  </w:abstractNum>
  <w:num w:numId="1" w16cid:durableId="1947689347">
    <w:abstractNumId w:val="3"/>
  </w:num>
  <w:num w:numId="2" w16cid:durableId="680204529">
    <w:abstractNumId w:val="4"/>
  </w:num>
  <w:num w:numId="3" w16cid:durableId="117914130">
    <w:abstractNumId w:val="7"/>
  </w:num>
  <w:num w:numId="4" w16cid:durableId="1648365581">
    <w:abstractNumId w:val="5"/>
  </w:num>
  <w:num w:numId="5" w16cid:durableId="53283081">
    <w:abstractNumId w:val="2"/>
  </w:num>
  <w:num w:numId="6" w16cid:durableId="1347320841">
    <w:abstractNumId w:val="6"/>
  </w:num>
  <w:num w:numId="7" w16cid:durableId="1151945871">
    <w:abstractNumId w:val="1"/>
  </w:num>
  <w:num w:numId="8" w16cid:durableId="511724763">
    <w:abstractNumId w:val="4"/>
  </w:num>
  <w:num w:numId="9" w16cid:durableId="1337073108">
    <w:abstractNumId w:val="4"/>
  </w:num>
  <w:num w:numId="10" w16cid:durableId="1213661809">
    <w:abstractNumId w:val="4"/>
  </w:num>
  <w:num w:numId="11" w16cid:durableId="18342969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79135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7635818">
    <w:abstractNumId w:val="4"/>
  </w:num>
  <w:num w:numId="14" w16cid:durableId="1168058016">
    <w:abstractNumId w:val="4"/>
  </w:num>
  <w:num w:numId="15" w16cid:durableId="1280183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8CB"/>
    <w:rsid w:val="00006BC4"/>
    <w:rsid w:val="00021F72"/>
    <w:rsid w:val="00032E6A"/>
    <w:rsid w:val="00052BB1"/>
    <w:rsid w:val="00057DFC"/>
    <w:rsid w:val="00095367"/>
    <w:rsid w:val="000B2D93"/>
    <w:rsid w:val="000D2071"/>
    <w:rsid w:val="000E5D11"/>
    <w:rsid w:val="000F55E0"/>
    <w:rsid w:val="00117C40"/>
    <w:rsid w:val="0012264D"/>
    <w:rsid w:val="001517C0"/>
    <w:rsid w:val="00161735"/>
    <w:rsid w:val="0017591A"/>
    <w:rsid w:val="001A4395"/>
    <w:rsid w:val="001C22A2"/>
    <w:rsid w:val="001D4832"/>
    <w:rsid w:val="001F3799"/>
    <w:rsid w:val="001F5ED3"/>
    <w:rsid w:val="00232B01"/>
    <w:rsid w:val="00262950"/>
    <w:rsid w:val="00284208"/>
    <w:rsid w:val="002A0944"/>
    <w:rsid w:val="002D5AE6"/>
    <w:rsid w:val="002D6F16"/>
    <w:rsid w:val="0036384F"/>
    <w:rsid w:val="00372FB9"/>
    <w:rsid w:val="00386E75"/>
    <w:rsid w:val="003B1D1A"/>
    <w:rsid w:val="003B6C52"/>
    <w:rsid w:val="003D2042"/>
    <w:rsid w:val="0041078F"/>
    <w:rsid w:val="00414675"/>
    <w:rsid w:val="0043629F"/>
    <w:rsid w:val="004376A7"/>
    <w:rsid w:val="00477B75"/>
    <w:rsid w:val="004806A8"/>
    <w:rsid w:val="004B420F"/>
    <w:rsid w:val="004C5519"/>
    <w:rsid w:val="004D4BC2"/>
    <w:rsid w:val="00500574"/>
    <w:rsid w:val="005075D1"/>
    <w:rsid w:val="005108CA"/>
    <w:rsid w:val="00513AB1"/>
    <w:rsid w:val="00531FF8"/>
    <w:rsid w:val="00534B1A"/>
    <w:rsid w:val="00546490"/>
    <w:rsid w:val="005508CB"/>
    <w:rsid w:val="00551554"/>
    <w:rsid w:val="005777CC"/>
    <w:rsid w:val="005A7B7F"/>
    <w:rsid w:val="005B68D5"/>
    <w:rsid w:val="005E082F"/>
    <w:rsid w:val="005F7C06"/>
    <w:rsid w:val="006020BB"/>
    <w:rsid w:val="00655FBD"/>
    <w:rsid w:val="006560E1"/>
    <w:rsid w:val="00656316"/>
    <w:rsid w:val="00696BF7"/>
    <w:rsid w:val="006B7FCB"/>
    <w:rsid w:val="006D0A03"/>
    <w:rsid w:val="006F61C4"/>
    <w:rsid w:val="0071100E"/>
    <w:rsid w:val="00755210"/>
    <w:rsid w:val="007845AC"/>
    <w:rsid w:val="00791E87"/>
    <w:rsid w:val="007A5C9C"/>
    <w:rsid w:val="007C0FC9"/>
    <w:rsid w:val="00824C75"/>
    <w:rsid w:val="0083627F"/>
    <w:rsid w:val="00854490"/>
    <w:rsid w:val="008767A0"/>
    <w:rsid w:val="008821A8"/>
    <w:rsid w:val="008B5633"/>
    <w:rsid w:val="008C2F21"/>
    <w:rsid w:val="008C52FB"/>
    <w:rsid w:val="009448E2"/>
    <w:rsid w:val="0094655E"/>
    <w:rsid w:val="009559A3"/>
    <w:rsid w:val="00994F49"/>
    <w:rsid w:val="009A07F3"/>
    <w:rsid w:val="009A647A"/>
    <w:rsid w:val="009B0E23"/>
    <w:rsid w:val="009C703A"/>
    <w:rsid w:val="009D3971"/>
    <w:rsid w:val="009D4A07"/>
    <w:rsid w:val="00A10FCA"/>
    <w:rsid w:val="00A11B3E"/>
    <w:rsid w:val="00A12659"/>
    <w:rsid w:val="00A22AE0"/>
    <w:rsid w:val="00A41A36"/>
    <w:rsid w:val="00A464A1"/>
    <w:rsid w:val="00A527E8"/>
    <w:rsid w:val="00A53C4D"/>
    <w:rsid w:val="00A62214"/>
    <w:rsid w:val="00A85CA9"/>
    <w:rsid w:val="00AD280F"/>
    <w:rsid w:val="00AE7027"/>
    <w:rsid w:val="00AF132C"/>
    <w:rsid w:val="00AF1C39"/>
    <w:rsid w:val="00B02D54"/>
    <w:rsid w:val="00B03866"/>
    <w:rsid w:val="00B170E3"/>
    <w:rsid w:val="00B503C7"/>
    <w:rsid w:val="00B71239"/>
    <w:rsid w:val="00B847F8"/>
    <w:rsid w:val="00BE3479"/>
    <w:rsid w:val="00C138E4"/>
    <w:rsid w:val="00C932B3"/>
    <w:rsid w:val="00CD18FC"/>
    <w:rsid w:val="00CD7873"/>
    <w:rsid w:val="00CE08E1"/>
    <w:rsid w:val="00D230AA"/>
    <w:rsid w:val="00D40A12"/>
    <w:rsid w:val="00D870AF"/>
    <w:rsid w:val="00D871DE"/>
    <w:rsid w:val="00D90319"/>
    <w:rsid w:val="00E0440E"/>
    <w:rsid w:val="00E33E65"/>
    <w:rsid w:val="00E43AE1"/>
    <w:rsid w:val="00E46094"/>
    <w:rsid w:val="00EC2E4A"/>
    <w:rsid w:val="00EF2B91"/>
    <w:rsid w:val="00F06B0B"/>
    <w:rsid w:val="00F06E4C"/>
    <w:rsid w:val="00F43CE6"/>
    <w:rsid w:val="00F75585"/>
    <w:rsid w:val="00FB385C"/>
    <w:rsid w:val="00FC2AA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D2F97"/>
  <w15:chartTrackingRefBased/>
  <w15:docId w15:val="{12D0D193-1FAA-4CD1-9CC0-6BF0ABE6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19" w:qFormat="1"/>
    <w:lsdException w:name="heading 1" w:uiPriority="19" w:qFormat="1"/>
    <w:lsdException w:name="heading 2" w:semiHidden="1" w:uiPriority="9" w:unhideWhenUsed="1" w:qFormat="1"/>
    <w:lsdException w:name="heading 3" w:semiHidden="1" w:uiPriority="9" w:unhideWhenUsed="1" w:qFormat="1"/>
    <w:lsdException w:name="heading 4" w:semiHidden="1" w:uiPriority="1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6"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rsid w:val="005508CB"/>
    <w:pPr>
      <w:spacing w:after="0" w:line="240" w:lineRule="auto"/>
      <w:jc w:val="both"/>
    </w:pPr>
    <w:rPr>
      <w:rFonts w:ascii="Arial" w:eastAsiaTheme="minorHAnsi" w:hAnsi="Arial"/>
      <w:lang w:eastAsia="en-US"/>
    </w:rPr>
  </w:style>
  <w:style w:type="paragraph" w:styleId="Heading1">
    <w:name w:val="heading 1"/>
    <w:aliases w:val="Style 14,(Alt+1),A MAJOR/BOLD,H1,Header1,Heading,Heading 1 (1),Heading 1 (NN),Heading 1 A,Heading 1(Report Only),Lev 1,Outline1,PIP Head 1,Part,Prophead 1,Prophead level 1,Schedheading,Section Heading,h1,h1 chapter heading,h11,l1,lev1"/>
    <w:basedOn w:val="Normal"/>
    <w:next w:val="ssPara1"/>
    <w:link w:val="Heading1Char"/>
    <w:uiPriority w:val="19"/>
    <w:qFormat/>
    <w:rsid w:val="005508CB"/>
    <w:pPr>
      <w:keepNext/>
      <w:keepLines/>
      <w:numPr>
        <w:ilvl w:val="1"/>
        <w:numId w:val="2"/>
      </w:numPr>
      <w:spacing w:after="260"/>
      <w:outlineLvl w:val="0"/>
    </w:pPr>
    <w:rPr>
      <w:rFonts w:eastAsia="MingLiU" w:cs="Times New Roman"/>
      <w:b/>
      <w:bCs/>
      <w:kern w:val="32"/>
      <w:szCs w:val="28"/>
      <w:u w:val="single"/>
      <w:lang w:eastAsia="en-GB"/>
    </w:rPr>
  </w:style>
  <w:style w:type="paragraph" w:styleId="Heading2">
    <w:name w:val="heading 2"/>
    <w:aliases w:val="Style 18,1.1 Heading 2,2,21,2m,H2,HD2,Heading Two,KJL:1st Level,Lev 2,Major,Outline2,PARA2,PIP Head 2,Prophead 2,Section,h2,h21,h211,h2111,h212,h2121,h213,h22,h221,h23,h231,h24,headi,heading 2,heading2,lev2,m,paragraaf titel"/>
    <w:basedOn w:val="Normal"/>
    <w:next w:val="ssPara2"/>
    <w:link w:val="Heading2Char"/>
    <w:uiPriority w:val="9"/>
    <w:qFormat/>
    <w:rsid w:val="005508CB"/>
    <w:pPr>
      <w:keepNext/>
      <w:keepLines/>
      <w:numPr>
        <w:ilvl w:val="2"/>
        <w:numId w:val="2"/>
      </w:numPr>
      <w:spacing w:after="260"/>
      <w:outlineLvl w:val="1"/>
    </w:pPr>
    <w:rPr>
      <w:rFonts w:eastAsia="MingLiU" w:cs="Times New Roman"/>
      <w:b/>
      <w:bCs/>
      <w:szCs w:val="26"/>
      <w:lang w:eastAsia="en-GB"/>
    </w:rPr>
  </w:style>
  <w:style w:type="paragraph" w:styleId="Heading3">
    <w:name w:val="heading 3"/>
    <w:aliases w:val="Style 19,(Alt+3),(Alt+3)1,(Alt+3)10,(Alt+3)11,(Alt+3)12,(Alt+3)13,(Alt+3)2,(Alt+3)21,(Alt+3)22,(Alt+3)23,(Alt+3)3,(Alt+3)31,(Alt+3)32,(Alt+3)33,(Alt+3)4,(Alt+3)41,(Alt+3)42,(Alt+3)43,(Alt+3)5,(Alt+3)6,(Alt+3)7,(Alt+3)8,(Alt+3)9,3,h3,heading 3"/>
    <w:basedOn w:val="Normal"/>
    <w:next w:val="ssPara3"/>
    <w:link w:val="Heading3Char"/>
    <w:uiPriority w:val="9"/>
    <w:qFormat/>
    <w:rsid w:val="005508CB"/>
    <w:pPr>
      <w:keepNext/>
      <w:keepLines/>
      <w:numPr>
        <w:ilvl w:val="3"/>
        <w:numId w:val="2"/>
      </w:numPr>
      <w:spacing w:after="260"/>
      <w:outlineLvl w:val="2"/>
    </w:pPr>
    <w:rPr>
      <w:rFonts w:eastAsia="MingLiU" w:cs="Times New Roman"/>
      <w:b/>
      <w:bCs/>
      <w:lang w:eastAsia="en-GB"/>
    </w:rPr>
  </w:style>
  <w:style w:type="paragraph" w:styleId="Heading4">
    <w:name w:val="heading 4"/>
    <w:aliases w:val="Style 20,g 4"/>
    <w:basedOn w:val="Normal"/>
    <w:next w:val="ssPara4"/>
    <w:link w:val="Heading4Char"/>
    <w:uiPriority w:val="19"/>
    <w:qFormat/>
    <w:rsid w:val="005508CB"/>
    <w:pPr>
      <w:keepNext/>
      <w:keepLines/>
      <w:numPr>
        <w:ilvl w:val="4"/>
        <w:numId w:val="2"/>
      </w:numPr>
      <w:spacing w:after="260"/>
      <w:outlineLvl w:val="3"/>
    </w:pPr>
    <w:rPr>
      <w:rFonts w:eastAsia="MingLiU" w:cs="Times New Roman"/>
      <w:b/>
      <w:bCs/>
      <w:iCs/>
      <w:lang w:eastAsia="en-GB"/>
    </w:rPr>
  </w:style>
  <w:style w:type="paragraph" w:styleId="Heading5">
    <w:name w:val="heading 5"/>
    <w:aliases w:val="Style 21,5,Appendix A to X,H5,H5-Heading 5,H51,Heading 5   Appendix A to X,Heading 5(unused),Heading5,Lev 5,Level 3 - (i),Level 3 - i,PR13,Roman list,Roman list1,Roman list2,Roman list3,Roman list4,Second Subheading,h5,heading5,i) ii) iii),l5"/>
    <w:basedOn w:val="Normal"/>
    <w:next w:val="ssPara5"/>
    <w:link w:val="Heading5Char"/>
    <w:uiPriority w:val="9"/>
    <w:qFormat/>
    <w:rsid w:val="005508CB"/>
    <w:pPr>
      <w:keepNext/>
      <w:keepLines/>
      <w:numPr>
        <w:ilvl w:val="5"/>
        <w:numId w:val="2"/>
      </w:numPr>
      <w:spacing w:after="260"/>
      <w:outlineLvl w:val="4"/>
    </w:pPr>
    <w:rPr>
      <w:rFonts w:eastAsia="MingLiU" w:cs="Times New Roman"/>
      <w:b/>
      <w:lang w:eastAsia="en-GB"/>
    </w:rPr>
  </w:style>
  <w:style w:type="paragraph" w:styleId="Heading6">
    <w:name w:val="heading 6"/>
    <w:aliases w:val="Style 22,6,H6,H61,H610,H6101,H611,H6111,H612,H6121,H613,H6131,H614,H6141,H615,H6151,H616,H6161,H617,H6171,H618,H6181,H619,H62,H620,H621,H622,H623,H624,H625,H626,H627,H628,H629,H63,H631,H64,H641,H65,H651,H66,H661,H67,H671,H68,H681,H69,H691,h6"/>
    <w:basedOn w:val="Normal"/>
    <w:next w:val="ssPara6"/>
    <w:link w:val="Heading6Char"/>
    <w:uiPriority w:val="9"/>
    <w:qFormat/>
    <w:rsid w:val="005508CB"/>
    <w:pPr>
      <w:keepNext/>
      <w:keepLines/>
      <w:numPr>
        <w:ilvl w:val="6"/>
        <w:numId w:val="2"/>
      </w:numPr>
      <w:spacing w:after="260"/>
      <w:outlineLvl w:val="5"/>
    </w:pPr>
    <w:rPr>
      <w:rFonts w:eastAsia="MingLiU" w:cs="Times New Roman"/>
      <w:b/>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8CB"/>
    <w:pPr>
      <w:tabs>
        <w:tab w:val="center" w:pos="4513"/>
        <w:tab w:val="right" w:pos="9026"/>
      </w:tabs>
    </w:pPr>
  </w:style>
  <w:style w:type="character" w:customStyle="1" w:styleId="HeaderChar">
    <w:name w:val="Header Char"/>
    <w:basedOn w:val="DefaultParagraphFont"/>
    <w:link w:val="Header"/>
    <w:uiPriority w:val="99"/>
    <w:rsid w:val="005508CB"/>
  </w:style>
  <w:style w:type="paragraph" w:styleId="Footer">
    <w:name w:val="footer"/>
    <w:basedOn w:val="Normal"/>
    <w:link w:val="FooterChar"/>
    <w:uiPriority w:val="99"/>
    <w:unhideWhenUsed/>
    <w:rsid w:val="005508CB"/>
    <w:pPr>
      <w:tabs>
        <w:tab w:val="center" w:pos="4513"/>
        <w:tab w:val="right" w:pos="9026"/>
      </w:tabs>
    </w:pPr>
  </w:style>
  <w:style w:type="character" w:customStyle="1" w:styleId="FooterChar">
    <w:name w:val="Footer Char"/>
    <w:basedOn w:val="DefaultParagraphFont"/>
    <w:link w:val="Footer"/>
    <w:uiPriority w:val="99"/>
    <w:rsid w:val="005508CB"/>
  </w:style>
  <w:style w:type="character" w:customStyle="1" w:styleId="Heading1Char">
    <w:name w:val="Heading 1 Char"/>
    <w:aliases w:val="Style 14 Char,(Alt+1) Char,A MAJOR/BOLD Char,H1 Char,Header1 Char,Heading Char,Heading 1 (1) Char,Heading 1 (NN) Char,Heading 1 A Char,Heading 1(Report Only) Char,Lev 1 Char,Outline1 Char,PIP Head 1 Char,Part Char,Prophead 1 Char,h1 Char"/>
    <w:basedOn w:val="DefaultParagraphFont"/>
    <w:link w:val="Heading1"/>
    <w:uiPriority w:val="19"/>
    <w:rsid w:val="005508CB"/>
    <w:rPr>
      <w:rFonts w:ascii="Arial" w:eastAsia="MingLiU" w:hAnsi="Arial" w:cs="Times New Roman"/>
      <w:b/>
      <w:bCs/>
      <w:kern w:val="32"/>
      <w:szCs w:val="28"/>
      <w:u w:val="single"/>
      <w:lang w:eastAsia="en-GB"/>
    </w:rPr>
  </w:style>
  <w:style w:type="character" w:customStyle="1" w:styleId="Heading2Char">
    <w:name w:val="Heading 2 Char"/>
    <w:aliases w:val="Style 18 Char,1.1 Heading 2 Char,2 Char,21 Char,2m Char,H2 Char,HD2 Char,Heading Two Char,KJL:1st Level Char,Lev 2 Char,Major Char,Outline2 Char,PARA2 Char,PIP Head 2 Char,Prophead 2 Char,Section Char,h2 Char,h21 Char,h211 Char,h2111 Char"/>
    <w:basedOn w:val="DefaultParagraphFont"/>
    <w:link w:val="Heading2"/>
    <w:uiPriority w:val="9"/>
    <w:rsid w:val="005508CB"/>
    <w:rPr>
      <w:rFonts w:ascii="Arial" w:eastAsia="MingLiU" w:hAnsi="Arial" w:cs="Times New Roman"/>
      <w:b/>
      <w:bCs/>
      <w:szCs w:val="26"/>
      <w:lang w:eastAsia="en-GB"/>
    </w:rPr>
  </w:style>
  <w:style w:type="character" w:customStyle="1" w:styleId="Heading3Char">
    <w:name w:val="Heading 3 Char"/>
    <w:aliases w:val="Style 19 Char,(Alt+3) Char,(Alt+3)1 Char,(Alt+3)10 Char,(Alt+3)11 Char,(Alt+3)12 Char,(Alt+3)13 Char,(Alt+3)2 Char,(Alt+3)21 Char,(Alt+3)22 Char,(Alt+3)23 Char,(Alt+3)3 Char,(Alt+3)31 Char,(Alt+3)32 Char,(Alt+3)33 Char,(Alt+3)4 Char"/>
    <w:basedOn w:val="DefaultParagraphFont"/>
    <w:link w:val="Heading3"/>
    <w:uiPriority w:val="9"/>
    <w:rsid w:val="005508CB"/>
    <w:rPr>
      <w:rFonts w:ascii="Arial" w:eastAsia="MingLiU" w:hAnsi="Arial" w:cs="Times New Roman"/>
      <w:b/>
      <w:bCs/>
      <w:lang w:eastAsia="en-GB"/>
    </w:rPr>
  </w:style>
  <w:style w:type="character" w:customStyle="1" w:styleId="Heading4Char">
    <w:name w:val="Heading 4 Char"/>
    <w:aliases w:val="Style 20 Char,g 4 Char"/>
    <w:basedOn w:val="DefaultParagraphFont"/>
    <w:link w:val="Heading4"/>
    <w:uiPriority w:val="19"/>
    <w:rsid w:val="005508CB"/>
    <w:rPr>
      <w:rFonts w:ascii="Arial" w:eastAsia="MingLiU" w:hAnsi="Arial" w:cs="Times New Roman"/>
      <w:b/>
      <w:bCs/>
      <w:iCs/>
      <w:lang w:eastAsia="en-GB"/>
    </w:rPr>
  </w:style>
  <w:style w:type="character" w:customStyle="1" w:styleId="Heading5Char">
    <w:name w:val="Heading 5 Char"/>
    <w:aliases w:val="Style 21 Char,5 Char,Appendix A to X Char,H5 Char,H5-Heading 5 Char,H51 Char,Heading 5   Appendix A to X Char,Heading 5(unused) Char,Heading5 Char,Lev 5 Char,Level 3 - (i) Char,Level 3 - i Char,PR13 Char,Roman list Char,Roman list1 Char"/>
    <w:basedOn w:val="DefaultParagraphFont"/>
    <w:link w:val="Heading5"/>
    <w:uiPriority w:val="9"/>
    <w:rsid w:val="005508CB"/>
    <w:rPr>
      <w:rFonts w:ascii="Arial" w:eastAsia="MingLiU" w:hAnsi="Arial" w:cs="Times New Roman"/>
      <w:b/>
      <w:lang w:eastAsia="en-GB"/>
    </w:rPr>
  </w:style>
  <w:style w:type="character" w:customStyle="1" w:styleId="Heading6Char">
    <w:name w:val="Heading 6 Char"/>
    <w:aliases w:val="Style 22 Char,6 Char,H6 Char,H61 Char,H610 Char,H6101 Char,H611 Char,H6111 Char,H612 Char,H6121 Char,H613 Char,H6131 Char,H614 Char,H6141 Char,H615 Char,H6151 Char,H616 Char,H6161 Char,H617 Char,H6171 Char,H618 Char,H6181 Char,H619 Char"/>
    <w:basedOn w:val="DefaultParagraphFont"/>
    <w:link w:val="Heading6"/>
    <w:uiPriority w:val="9"/>
    <w:rsid w:val="005508CB"/>
    <w:rPr>
      <w:rFonts w:ascii="Arial" w:eastAsia="MingLiU" w:hAnsi="Arial" w:cs="Times New Roman"/>
      <w:b/>
      <w:iCs/>
      <w:lang w:eastAsia="en-GB"/>
    </w:rPr>
  </w:style>
  <w:style w:type="character" w:styleId="FootnoteReference">
    <w:name w:val="footnote reference"/>
    <w:basedOn w:val="DefaultParagraphFont"/>
    <w:uiPriority w:val="99"/>
    <w:rsid w:val="005508CB"/>
    <w:rPr>
      <w:vertAlign w:val="superscript"/>
    </w:rPr>
  </w:style>
  <w:style w:type="paragraph" w:styleId="FootnoteText">
    <w:name w:val="footnote text"/>
    <w:basedOn w:val="Normal"/>
    <w:link w:val="FootnoteTextChar"/>
    <w:uiPriority w:val="6"/>
    <w:rsid w:val="005508CB"/>
    <w:rPr>
      <w:sz w:val="20"/>
      <w:szCs w:val="20"/>
    </w:rPr>
  </w:style>
  <w:style w:type="character" w:customStyle="1" w:styleId="FootnoteTextChar">
    <w:name w:val="Footnote Text Char"/>
    <w:basedOn w:val="DefaultParagraphFont"/>
    <w:link w:val="FootnoteText"/>
    <w:uiPriority w:val="6"/>
    <w:rsid w:val="005508CB"/>
    <w:rPr>
      <w:rFonts w:ascii="Arial" w:eastAsiaTheme="minorHAnsi" w:hAnsi="Arial"/>
      <w:sz w:val="20"/>
      <w:szCs w:val="20"/>
      <w:lang w:eastAsia="en-US"/>
    </w:rPr>
  </w:style>
  <w:style w:type="paragraph" w:customStyle="1" w:styleId="ssNoHeading2">
    <w:name w:val="ssNoHeading2"/>
    <w:basedOn w:val="Heading2"/>
    <w:uiPriority w:val="29"/>
    <w:qFormat/>
    <w:rsid w:val="005508CB"/>
    <w:pPr>
      <w:keepNext w:val="0"/>
      <w:keepLines w:val="0"/>
    </w:pPr>
    <w:rPr>
      <w:b w:val="0"/>
    </w:rPr>
  </w:style>
  <w:style w:type="paragraph" w:customStyle="1" w:styleId="ssNoHeading3">
    <w:name w:val="ssNoHeading3"/>
    <w:basedOn w:val="Heading3"/>
    <w:uiPriority w:val="29"/>
    <w:qFormat/>
    <w:rsid w:val="005508CB"/>
    <w:pPr>
      <w:keepNext w:val="0"/>
      <w:keepLines w:val="0"/>
    </w:pPr>
    <w:rPr>
      <w:b w:val="0"/>
    </w:rPr>
  </w:style>
  <w:style w:type="paragraph" w:customStyle="1" w:styleId="ssPara">
    <w:name w:val="ssPara"/>
    <w:basedOn w:val="Normal"/>
    <w:uiPriority w:val="1"/>
    <w:qFormat/>
    <w:rsid w:val="005508CB"/>
    <w:pPr>
      <w:numPr>
        <w:numId w:val="3"/>
      </w:numPr>
      <w:spacing w:after="260"/>
    </w:pPr>
  </w:style>
  <w:style w:type="paragraph" w:customStyle="1" w:styleId="ssPara1">
    <w:name w:val="ssPara1"/>
    <w:basedOn w:val="Normal"/>
    <w:link w:val="ssPara1Char"/>
    <w:uiPriority w:val="1"/>
    <w:qFormat/>
    <w:rsid w:val="005508CB"/>
    <w:pPr>
      <w:numPr>
        <w:ilvl w:val="1"/>
        <w:numId w:val="3"/>
      </w:numPr>
      <w:spacing w:after="260"/>
    </w:pPr>
  </w:style>
  <w:style w:type="paragraph" w:customStyle="1" w:styleId="ssPara2">
    <w:name w:val="ssPara2"/>
    <w:basedOn w:val="Normal"/>
    <w:uiPriority w:val="1"/>
    <w:qFormat/>
    <w:rsid w:val="005508CB"/>
    <w:pPr>
      <w:numPr>
        <w:ilvl w:val="2"/>
        <w:numId w:val="3"/>
      </w:numPr>
      <w:spacing w:after="260"/>
    </w:pPr>
  </w:style>
  <w:style w:type="paragraph" w:customStyle="1" w:styleId="ssPara3">
    <w:name w:val="ssPara3"/>
    <w:basedOn w:val="Normal"/>
    <w:uiPriority w:val="1"/>
    <w:rsid w:val="005508CB"/>
    <w:pPr>
      <w:numPr>
        <w:ilvl w:val="3"/>
        <w:numId w:val="3"/>
      </w:numPr>
      <w:spacing w:after="260"/>
    </w:pPr>
  </w:style>
  <w:style w:type="paragraph" w:customStyle="1" w:styleId="ssPara4">
    <w:name w:val="ssPara4"/>
    <w:basedOn w:val="Normal"/>
    <w:uiPriority w:val="1"/>
    <w:rsid w:val="005508CB"/>
    <w:pPr>
      <w:numPr>
        <w:ilvl w:val="4"/>
        <w:numId w:val="3"/>
      </w:numPr>
      <w:spacing w:after="260"/>
    </w:pPr>
  </w:style>
  <w:style w:type="paragraph" w:customStyle="1" w:styleId="ssPara5">
    <w:name w:val="ssPara5"/>
    <w:basedOn w:val="Normal"/>
    <w:uiPriority w:val="1"/>
    <w:rsid w:val="005508CB"/>
    <w:pPr>
      <w:numPr>
        <w:ilvl w:val="5"/>
        <w:numId w:val="3"/>
      </w:numPr>
      <w:spacing w:after="260"/>
    </w:pPr>
  </w:style>
  <w:style w:type="paragraph" w:customStyle="1" w:styleId="ssPara6">
    <w:name w:val="ssPara6"/>
    <w:basedOn w:val="Normal"/>
    <w:uiPriority w:val="1"/>
    <w:rsid w:val="005508CB"/>
    <w:pPr>
      <w:numPr>
        <w:ilvl w:val="6"/>
        <w:numId w:val="3"/>
      </w:numPr>
      <w:spacing w:after="260"/>
    </w:pPr>
  </w:style>
  <w:style w:type="numbering" w:customStyle="1" w:styleId="NumPara">
    <w:name w:val="NumPara"/>
    <w:uiPriority w:val="99"/>
    <w:rsid w:val="005508CB"/>
    <w:pPr>
      <w:numPr>
        <w:numId w:val="1"/>
      </w:numPr>
    </w:pPr>
  </w:style>
  <w:style w:type="character" w:customStyle="1" w:styleId="ssPara1Char">
    <w:name w:val="ssPara1 Char"/>
    <w:basedOn w:val="DefaultParagraphFont"/>
    <w:link w:val="ssPara1"/>
    <w:uiPriority w:val="1"/>
    <w:rsid w:val="005508CB"/>
    <w:rPr>
      <w:rFonts w:ascii="Arial" w:eastAsiaTheme="minorHAnsi" w:hAnsi="Arial"/>
      <w:lang w:eastAsia="en-US"/>
    </w:rPr>
  </w:style>
  <w:style w:type="paragraph" w:customStyle="1" w:styleId="ssRestartNumber">
    <w:name w:val="ssRestartNumber"/>
    <w:basedOn w:val="Normal"/>
    <w:next w:val="ssPara1"/>
    <w:uiPriority w:val="38"/>
    <w:rsid w:val="005508CB"/>
    <w:pPr>
      <w:numPr>
        <w:numId w:val="2"/>
      </w:numPr>
    </w:pPr>
    <w:rPr>
      <w:rFonts w:asciiTheme="minorHAnsi" w:eastAsia="MingLiU" w:hAnsiTheme="minorHAnsi" w:cs="Times New Roman"/>
      <w:color w:val="FF0000"/>
      <w:lang w:eastAsia="en-GB"/>
    </w:rPr>
  </w:style>
  <w:style w:type="paragraph" w:customStyle="1" w:styleId="ssNoHeading4">
    <w:name w:val="ssNoHeading4"/>
    <w:basedOn w:val="Heading4"/>
    <w:uiPriority w:val="29"/>
    <w:qFormat/>
    <w:rsid w:val="00500574"/>
    <w:pPr>
      <w:keepNext w:val="0"/>
      <w:keepLines w:val="0"/>
      <w:numPr>
        <w:numId w:val="7"/>
      </w:numPr>
    </w:pPr>
    <w:rPr>
      <w:b w:val="0"/>
    </w:rPr>
  </w:style>
  <w:style w:type="paragraph" w:customStyle="1" w:styleId="ssNoHeading5">
    <w:name w:val="ssNoHeading5"/>
    <w:basedOn w:val="Heading5"/>
    <w:uiPriority w:val="29"/>
    <w:qFormat/>
    <w:rsid w:val="00500574"/>
    <w:pPr>
      <w:keepNext w:val="0"/>
      <w:keepLines w:val="0"/>
      <w:numPr>
        <w:numId w:val="7"/>
      </w:numPr>
    </w:pPr>
    <w:rPr>
      <w:b w:val="0"/>
    </w:rPr>
  </w:style>
  <w:style w:type="paragraph" w:customStyle="1" w:styleId="ssNoHeading6">
    <w:name w:val="ssNoHeading6"/>
    <w:basedOn w:val="Heading6"/>
    <w:uiPriority w:val="29"/>
    <w:qFormat/>
    <w:rsid w:val="00500574"/>
    <w:pPr>
      <w:keepNext w:val="0"/>
      <w:keepLines w:val="0"/>
      <w:numPr>
        <w:numId w:val="7"/>
      </w:numPr>
    </w:pPr>
    <w:rPr>
      <w:b w:val="0"/>
    </w:rPr>
  </w:style>
  <w:style w:type="paragraph" w:customStyle="1" w:styleId="ssqAgendar">
    <w:name w:val="ssqAgendar"/>
    <w:basedOn w:val="ssPara1"/>
    <w:next w:val="ssPara1"/>
    <w:semiHidden/>
    <w:rsid w:val="00500574"/>
    <w:pPr>
      <w:pageBreakBefore/>
      <w:numPr>
        <w:ilvl w:val="0"/>
        <w:numId w:val="4"/>
      </w:numPr>
      <w:jc w:val="center"/>
    </w:pPr>
    <w:rPr>
      <w:rFonts w:asciiTheme="minorHAnsi" w:eastAsia="MingLiU" w:hAnsiTheme="minorHAnsi"/>
      <w:b/>
      <w:caps/>
    </w:rPr>
  </w:style>
  <w:style w:type="paragraph" w:customStyle="1" w:styleId="ssqAllegato">
    <w:name w:val="ssqAllegato"/>
    <w:basedOn w:val="ssPara1"/>
    <w:next w:val="ssPara1"/>
    <w:semiHidden/>
    <w:rsid w:val="00500574"/>
    <w:pPr>
      <w:numPr>
        <w:ilvl w:val="0"/>
        <w:numId w:val="5"/>
      </w:numPr>
      <w:jc w:val="center"/>
    </w:pPr>
    <w:rPr>
      <w:rFonts w:asciiTheme="minorHAnsi" w:eastAsia="MingLiU" w:hAnsiTheme="minorHAnsi"/>
      <w:b/>
      <w:caps/>
    </w:rPr>
  </w:style>
  <w:style w:type="paragraph" w:customStyle="1" w:styleId="ssqAnexo">
    <w:name w:val="ssqAnexo"/>
    <w:basedOn w:val="ssPara1"/>
    <w:next w:val="ssPara1"/>
    <w:semiHidden/>
    <w:rsid w:val="00500574"/>
    <w:pPr>
      <w:pageBreakBefore/>
      <w:numPr>
        <w:ilvl w:val="0"/>
        <w:numId w:val="6"/>
      </w:numPr>
      <w:jc w:val="center"/>
    </w:pPr>
    <w:rPr>
      <w:rFonts w:asciiTheme="minorHAnsi" w:eastAsia="MingLiU" w:hAnsiTheme="minorHAnsi"/>
      <w:b/>
      <w:caps/>
    </w:rPr>
  </w:style>
  <w:style w:type="paragraph" w:styleId="Revision">
    <w:name w:val="Revision"/>
    <w:hidden/>
    <w:uiPriority w:val="99"/>
    <w:semiHidden/>
    <w:rsid w:val="00A527E8"/>
    <w:pPr>
      <w:spacing w:after="0" w:line="240" w:lineRule="auto"/>
    </w:pPr>
    <w:rPr>
      <w:rFonts w:ascii="Arial" w:eastAsiaTheme="minorHAnsi" w:hAnsi="Arial"/>
      <w:lang w:eastAsia="en-US"/>
    </w:rPr>
  </w:style>
  <w:style w:type="character" w:customStyle="1" w:styleId="ui-provider">
    <w:name w:val="ui-provider"/>
    <w:basedOn w:val="DefaultParagraphFont"/>
    <w:rsid w:val="009B0E23"/>
  </w:style>
  <w:style w:type="numbering" w:customStyle="1" w:styleId="LFO12">
    <w:name w:val="LFO12"/>
    <w:basedOn w:val="NoList"/>
    <w:rsid w:val="002D6F16"/>
  </w:style>
  <w:style w:type="character" w:styleId="CommentReference">
    <w:name w:val="annotation reference"/>
    <w:basedOn w:val="DefaultParagraphFont"/>
    <w:uiPriority w:val="99"/>
    <w:semiHidden/>
    <w:unhideWhenUsed/>
    <w:rsid w:val="002D6F16"/>
    <w:rPr>
      <w:sz w:val="16"/>
      <w:szCs w:val="16"/>
    </w:rPr>
  </w:style>
  <w:style w:type="paragraph" w:styleId="CommentText">
    <w:name w:val="annotation text"/>
    <w:basedOn w:val="Normal"/>
    <w:link w:val="CommentTextChar"/>
    <w:uiPriority w:val="99"/>
    <w:unhideWhenUsed/>
    <w:rsid w:val="002D6F16"/>
    <w:pPr>
      <w:spacing w:after="200"/>
      <w:jc w:val="left"/>
    </w:pPr>
    <w:rPr>
      <w:rFonts w:ascii="Calibri" w:eastAsia="Calibri" w:hAnsi="Calibri" w:cs="Calibri"/>
      <w:sz w:val="20"/>
      <w:szCs w:val="20"/>
      <w:lang w:eastAsia="zh-CN"/>
    </w:rPr>
  </w:style>
  <w:style w:type="character" w:customStyle="1" w:styleId="CommentTextChar">
    <w:name w:val="Comment Text Char"/>
    <w:basedOn w:val="DefaultParagraphFont"/>
    <w:link w:val="CommentText"/>
    <w:uiPriority w:val="99"/>
    <w:rsid w:val="002D6F16"/>
    <w:rPr>
      <w:rFonts w:ascii="Calibri" w:eastAsia="Calibri" w:hAnsi="Calibri" w:cs="Calibri"/>
      <w:sz w:val="20"/>
      <w:szCs w:val="20"/>
    </w:rPr>
  </w:style>
  <w:style w:type="paragraph" w:customStyle="1" w:styleId="GPSL1CLAUSEHEADING">
    <w:name w:val="GPS L1 CLAUSE HEADING"/>
    <w:basedOn w:val="Normal"/>
    <w:next w:val="Normal"/>
    <w:qFormat/>
    <w:rsid w:val="002D6F16"/>
    <w:pPr>
      <w:numPr>
        <w:numId w:val="15"/>
      </w:numPr>
      <w:tabs>
        <w:tab w:val="left" w:pos="0"/>
      </w:tabs>
      <w:adjustRightInd w:val="0"/>
      <w:spacing w:before="240" w:after="240"/>
      <w:outlineLvl w:val="1"/>
    </w:pPr>
    <w:rPr>
      <w:rFonts w:ascii="Arial Bold" w:eastAsia="STZhongsong" w:hAnsi="Arial Bold" w:cs="Arial"/>
      <w:b/>
      <w:caps/>
      <w:lang w:eastAsia="zh-CN"/>
    </w:rPr>
  </w:style>
  <w:style w:type="paragraph" w:customStyle="1" w:styleId="GPSL2numberedclause">
    <w:name w:val="GPS L2 numbered clause"/>
    <w:basedOn w:val="Normal"/>
    <w:qFormat/>
    <w:rsid w:val="002D6F16"/>
    <w:pPr>
      <w:numPr>
        <w:ilvl w:val="1"/>
        <w:numId w:val="15"/>
      </w:numPr>
      <w:tabs>
        <w:tab w:val="left" w:pos="1134"/>
      </w:tabs>
      <w:adjustRightInd w:val="0"/>
      <w:spacing w:before="120" w:after="120"/>
    </w:pPr>
    <w:rPr>
      <w:rFonts w:ascii="Calibri" w:eastAsia="Times New Roman" w:hAnsi="Calibri" w:cs="Arial"/>
      <w:lang w:eastAsia="zh-CN"/>
    </w:rPr>
  </w:style>
  <w:style w:type="paragraph" w:customStyle="1" w:styleId="GPSL3numberedclause">
    <w:name w:val="GPS L3 numbered clause"/>
    <w:basedOn w:val="GPSL2numberedclause"/>
    <w:qFormat/>
    <w:rsid w:val="002D6F16"/>
    <w:pPr>
      <w:numPr>
        <w:ilvl w:val="2"/>
      </w:numPr>
      <w:tabs>
        <w:tab w:val="clear" w:pos="1134"/>
        <w:tab w:val="left" w:pos="1985"/>
        <w:tab w:val="left" w:pos="2127"/>
      </w:tabs>
    </w:pPr>
  </w:style>
  <w:style w:type="paragraph" w:customStyle="1" w:styleId="GPSL4numberedclause">
    <w:name w:val="GPS L4 numbered clause"/>
    <w:basedOn w:val="GPSL3numberedclause"/>
    <w:qFormat/>
    <w:rsid w:val="002D6F16"/>
    <w:pPr>
      <w:numPr>
        <w:ilvl w:val="3"/>
      </w:numPr>
      <w:tabs>
        <w:tab w:val="clear" w:pos="2127"/>
      </w:tabs>
    </w:pPr>
    <w:rPr>
      <w:szCs w:val="20"/>
    </w:rPr>
  </w:style>
  <w:style w:type="paragraph" w:customStyle="1" w:styleId="GPSL5numberedclause">
    <w:name w:val="GPS L5 numbered clause"/>
    <w:basedOn w:val="GPSL4numberedclause"/>
    <w:qFormat/>
    <w:rsid w:val="002D6F16"/>
    <w:pPr>
      <w:numPr>
        <w:ilvl w:val="4"/>
      </w:numPr>
      <w:tabs>
        <w:tab w:val="left" w:pos="3402"/>
      </w:tabs>
    </w:pPr>
  </w:style>
  <w:style w:type="paragraph" w:customStyle="1" w:styleId="GPSL6numbered">
    <w:name w:val="GPS L6 numbered"/>
    <w:basedOn w:val="GPSL5numberedclause"/>
    <w:qFormat/>
    <w:rsid w:val="002D6F16"/>
    <w:pPr>
      <w:numPr>
        <w:ilvl w:val="5"/>
      </w:numPr>
      <w:tabs>
        <w:tab w:val="left" w:pos="4253"/>
      </w:tabs>
      <w:ind w:left="4253" w:hanging="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22168">
      <w:bodyDiv w:val="1"/>
      <w:marLeft w:val="0"/>
      <w:marRight w:val="0"/>
      <w:marTop w:val="0"/>
      <w:marBottom w:val="0"/>
      <w:divBdr>
        <w:top w:val="none" w:sz="0" w:space="0" w:color="auto"/>
        <w:left w:val="none" w:sz="0" w:space="0" w:color="auto"/>
        <w:bottom w:val="none" w:sz="0" w:space="0" w:color="auto"/>
        <w:right w:val="none" w:sz="0" w:space="0" w:color="auto"/>
      </w:divBdr>
    </w:div>
    <w:div w:id="73612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68FF4-3F50-48B5-8249-9AB2EDACE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3346</Words>
  <Characters>19074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Miller</dc:creator>
  <cp:keywords/>
  <dc:description/>
  <cp:lastModifiedBy>Simmons &amp; Simmons</cp:lastModifiedBy>
  <cp:revision>21</cp:revision>
  <dcterms:created xsi:type="dcterms:W3CDTF">2024-08-05T21:18:00Z</dcterms:created>
  <dcterms:modified xsi:type="dcterms:W3CDTF">2024-08-09T17:34:00Z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#110053437v3&lt;L_LIVE_EMEA1&gt; - PPA v3.0 (Call-Off Schedule 31 - New Build Facilities)</vt:lpwstr>
  </property>
</Properties>
</file>