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7F1" w:rsidRDefault="000F6581">
      <w:pPr>
        <w:rPr>
          <w:rFonts w:ascii="Arial" w:eastAsia="Arial" w:hAnsi="Arial" w:cs="Arial"/>
          <w:b/>
          <w:sz w:val="36"/>
          <w:szCs w:val="36"/>
        </w:rPr>
      </w:pPr>
      <w:r>
        <w:rPr>
          <w:rFonts w:ascii="Arial" w:eastAsia="Arial" w:hAnsi="Arial" w:cs="Arial"/>
          <w:b/>
          <w:sz w:val="36"/>
          <w:szCs w:val="36"/>
        </w:rPr>
        <w:t>Framework Schedule 3 (Framework Prices)</w:t>
      </w:r>
    </w:p>
    <w:p w:rsidR="003057F1" w:rsidRDefault="000F6581">
      <w:pPr>
        <w:numPr>
          <w:ilvl w:val="0"/>
          <w:numId w:val="1"/>
        </w:numPr>
        <w:pBdr>
          <w:top w:val="nil"/>
          <w:left w:val="nil"/>
          <w:bottom w:val="nil"/>
          <w:right w:val="nil"/>
          <w:between w:val="nil"/>
        </w:pBdr>
        <w:tabs>
          <w:tab w:val="left" w:pos="142"/>
        </w:tabs>
        <w:spacing w:before="120" w:after="240" w:line="240" w:lineRule="auto"/>
        <w:jc w:val="both"/>
      </w:pPr>
      <w:bookmarkStart w:id="0" w:name="_heading=h.gjdgxs" w:colFirst="0" w:colLast="0"/>
      <w:bookmarkEnd w:id="0"/>
      <w:r>
        <w:rPr>
          <w:rFonts w:ascii="Arial" w:eastAsia="Arial" w:hAnsi="Arial" w:cs="Arial"/>
          <w:b/>
          <w:color w:val="000000"/>
          <w:sz w:val="24"/>
          <w:szCs w:val="24"/>
        </w:rPr>
        <w:t>Indicative Framework Prices in Annex 1</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Suppliers are requested to complete the pricing scenarios described in Annex 1 in their Framework Tender Response in accordance with the further guidance below.  The version of Annex 1 submitted by Suppliers as part of their Framework Tender Response will </w:t>
      </w:r>
      <w:r>
        <w:rPr>
          <w:rFonts w:ascii="Arial" w:eastAsia="Arial" w:hAnsi="Arial" w:cs="Arial"/>
          <w:color w:val="000000"/>
          <w:sz w:val="24"/>
          <w:szCs w:val="24"/>
        </w:rPr>
        <w:t>form Annex 1 to this Framework Schedule 3 (</w:t>
      </w:r>
      <w:r>
        <w:rPr>
          <w:rFonts w:ascii="Arial" w:eastAsia="Arial" w:hAnsi="Arial" w:cs="Arial"/>
          <w:i/>
          <w:color w:val="000000"/>
          <w:sz w:val="24"/>
          <w:szCs w:val="24"/>
        </w:rPr>
        <w:t>Framework Prices</w:t>
      </w:r>
      <w:r>
        <w:rPr>
          <w:rFonts w:ascii="Arial" w:eastAsia="Arial" w:hAnsi="Arial" w:cs="Arial"/>
          <w:color w:val="000000"/>
          <w:sz w:val="24"/>
          <w:szCs w:val="24"/>
        </w:rPr>
        <w:t>) and the prices in Annex 1 will constitute the Framework Prices for the purposes of this Framework Contract.</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hypothetical Call-Off Contract scenarios detailed in Annex 1 show examples of Call-</w:t>
      </w:r>
      <w:r>
        <w:rPr>
          <w:rFonts w:ascii="Arial" w:eastAsia="Arial" w:hAnsi="Arial" w:cs="Arial"/>
          <w:color w:val="000000"/>
          <w:sz w:val="24"/>
          <w:szCs w:val="24"/>
        </w:rPr>
        <w:t>Off Cont</w:t>
      </w:r>
      <w:bookmarkStart w:id="1" w:name="_GoBack"/>
      <w:bookmarkEnd w:id="1"/>
      <w:r>
        <w:rPr>
          <w:rFonts w:ascii="Arial" w:eastAsia="Arial" w:hAnsi="Arial" w:cs="Arial"/>
          <w:color w:val="000000"/>
          <w:sz w:val="24"/>
          <w:szCs w:val="24"/>
        </w:rPr>
        <w:t xml:space="preserve">racts that may be tendered for under the Call-Off Procedure under this Framework Contract. </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Each scenario includes differences in parameters such as the Buyer's Expected Annual Production and Contract Period, as detailed in Annex 1. For each scenar</w:t>
      </w:r>
      <w:r>
        <w:rPr>
          <w:rFonts w:ascii="Arial" w:eastAsia="Arial" w:hAnsi="Arial" w:cs="Arial"/>
          <w:color w:val="000000"/>
          <w:sz w:val="24"/>
          <w:szCs w:val="24"/>
        </w:rPr>
        <w:t xml:space="preserve">io you are required to provide a final £/MWh as set out in the table in Annex 1. </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All scenarios are on the basis of a pay as produced PPA although other structures may be requested by Buyers at Call-Off.</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As in a potential Call-Off Contract, the scenarios o</w:t>
      </w:r>
      <w:r>
        <w:rPr>
          <w:rFonts w:ascii="Arial" w:eastAsia="Arial" w:hAnsi="Arial" w:cs="Arial"/>
          <w:color w:val="000000"/>
          <w:sz w:val="24"/>
          <w:szCs w:val="24"/>
        </w:rPr>
        <w:t xml:space="preserve">nly specify location as far as a country's geographical area.  </w:t>
      </w:r>
    </w:p>
    <w:p w:rsidR="003057F1" w:rsidRPr="00CD2030" w:rsidRDefault="000F6581" w:rsidP="00CD2030">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sidRPr="00CD2030">
        <w:rPr>
          <w:rFonts w:ascii="Arial" w:eastAsia="Arial" w:hAnsi="Arial" w:cs="Arial"/>
          <w:color w:val="000000"/>
          <w:sz w:val="24"/>
          <w:szCs w:val="24"/>
        </w:rPr>
        <w:t>Given that location has a material impact on the price, when pricing scenarios Suppliers are also asked to specify which county their submission refers to.</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In the "Any Further Detail" section of the table, Suppliers are encouraged to provide any further detail to explain variances in price across scenarios, and a brief explanation of their approach to pricing. This does not need to be detailed 'working' but i</w:t>
      </w:r>
      <w:r>
        <w:rPr>
          <w:rFonts w:ascii="Arial" w:eastAsia="Arial" w:hAnsi="Arial" w:cs="Arial"/>
          <w:color w:val="000000"/>
          <w:sz w:val="24"/>
          <w:szCs w:val="24"/>
        </w:rPr>
        <w:t>s an opportunity for Suppliers to provide indicative information.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3057F1" w:rsidRDefault="000F6581">
      <w:pPr>
        <w:numPr>
          <w:ilvl w:val="0"/>
          <w:numId w:val="1"/>
        </w:numPr>
        <w:pBdr>
          <w:top w:val="nil"/>
          <w:left w:val="nil"/>
          <w:bottom w:val="nil"/>
          <w:right w:val="nil"/>
          <w:between w:val="nil"/>
        </w:pBdr>
        <w:tabs>
          <w:tab w:val="left" w:pos="0"/>
        </w:tabs>
        <w:spacing w:before="240" w:after="240" w:line="240" w:lineRule="auto"/>
        <w:jc w:val="both"/>
        <w:rPr>
          <w:rFonts w:ascii="Arial" w:eastAsia="Arial" w:hAnsi="Arial" w:cs="Arial"/>
          <w:b/>
          <w:color w:val="000000"/>
        </w:rPr>
      </w:pPr>
      <w:r>
        <w:rPr>
          <w:rFonts w:ascii="Arial" w:eastAsia="Arial" w:hAnsi="Arial" w:cs="Arial"/>
          <w:b/>
          <w:color w:val="000000"/>
          <w:sz w:val="24"/>
          <w:szCs w:val="24"/>
        </w:rPr>
        <w:t xml:space="preserve">Distinction between Framework Prices and Charges under Call-Off Contracts </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The Framework Prices: </w:t>
      </w:r>
    </w:p>
    <w:p w:rsidR="003057F1" w:rsidRDefault="000F6581">
      <w:pPr>
        <w:numPr>
          <w:ilvl w:val="2"/>
          <w:numId w:val="1"/>
        </w:numPr>
        <w:pBdr>
          <w:top w:val="nil"/>
          <w:left w:val="nil"/>
          <w:bottom w:val="nil"/>
          <w:right w:val="nil"/>
          <w:between w:val="nil"/>
        </w:pBdr>
        <w:tabs>
          <w:tab w:val="left" w:pos="1985"/>
          <w:tab w:val="left" w:pos="2127"/>
          <w:tab w:val="left" w:pos="144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are indicative only and are intended to enable CCS and Buyers to understand the market and likely price ranges for Call-Off Contracts; and</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are not binding, but Suppliers may be required to explain any material deviation between Charges tendered in a Call-O</w:t>
      </w:r>
      <w:r>
        <w:rPr>
          <w:rFonts w:ascii="Arial" w:eastAsia="Arial" w:hAnsi="Arial" w:cs="Arial"/>
          <w:color w:val="000000"/>
          <w:sz w:val="24"/>
          <w:szCs w:val="24"/>
        </w:rPr>
        <w:t>ff Procedure and the Framework Prices.</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Charges:</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shall be calculated in accordance with the terms of the Call-Off Contract and in particular in accordance with the terms of the Order Form; </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lastRenderedPageBreak/>
        <w:t>cannot be increased except as specifically permitted by the Cal</w:t>
      </w:r>
      <w:r>
        <w:rPr>
          <w:rFonts w:ascii="Arial" w:eastAsia="Arial" w:hAnsi="Arial" w:cs="Arial"/>
          <w:color w:val="000000"/>
          <w:sz w:val="24"/>
          <w:szCs w:val="24"/>
        </w:rPr>
        <w:t>l-Off Contract and in particular shall only be subject to Indexation where specifically stated in the Order Form; and</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shall not be impacted by any change to the Framework Prices. </w:t>
      </w:r>
    </w:p>
    <w:p w:rsidR="003057F1" w:rsidRDefault="000F6581">
      <w:pPr>
        <w:numPr>
          <w:ilvl w:val="0"/>
          <w:numId w:val="1"/>
        </w:numPr>
        <w:pBdr>
          <w:top w:val="nil"/>
          <w:left w:val="nil"/>
          <w:bottom w:val="nil"/>
          <w:right w:val="nil"/>
          <w:between w:val="nil"/>
        </w:pBdr>
        <w:tabs>
          <w:tab w:val="left" w:pos="142"/>
        </w:tabs>
        <w:spacing w:before="120" w:after="240" w:line="240" w:lineRule="auto"/>
        <w:jc w:val="both"/>
      </w:pPr>
      <w:bookmarkStart w:id="2" w:name="_heading=h.30j0zll" w:colFirst="0" w:colLast="0"/>
      <w:bookmarkEnd w:id="2"/>
      <w:r>
        <w:rPr>
          <w:rFonts w:ascii="Arial" w:eastAsia="Arial" w:hAnsi="Arial" w:cs="Arial"/>
          <w:b/>
          <w:color w:val="000000"/>
          <w:sz w:val="24"/>
          <w:szCs w:val="24"/>
        </w:rPr>
        <w:t>Events that allow the Supplier to change the Framework Prices</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Framework Prices can be varied (and Annex 1 will be updated accordingly) due to:</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 Specific Change in Law in accordance with Clause 24;</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 review in accordance with insurance requirements in Clause 13; and</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a request from the Supplier, which it can make </w:t>
      </w:r>
      <w:r>
        <w:rPr>
          <w:rFonts w:ascii="Arial" w:eastAsia="Arial" w:hAnsi="Arial" w:cs="Arial"/>
          <w:color w:val="000000"/>
          <w:sz w:val="24"/>
          <w:szCs w:val="24"/>
        </w:rPr>
        <w:t>at any time, to decrease the Framework Prices.</w:t>
      </w:r>
    </w:p>
    <w:p w:rsidR="003057F1" w:rsidRDefault="000F6581">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When the Framework Prices are linked to inflation </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Where the Framework Charges are stated to be "subject to Indexation" they shall be adjusted in line with changes in the Contract Index.  All other costs, expenses, fees and charges shall not be adjusted to take account of any inflation, change to exchange </w:t>
      </w:r>
      <w:r>
        <w:rPr>
          <w:rFonts w:ascii="Arial" w:eastAsia="Arial" w:hAnsi="Arial" w:cs="Arial"/>
          <w:color w:val="000000"/>
          <w:sz w:val="24"/>
          <w:szCs w:val="24"/>
        </w:rPr>
        <w:t>rate, change to interest rate or any other factor or element which might otherwise increase the cost to the Supplier.</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Where Annex 1 states a </w:t>
      </w:r>
      <w:proofErr w:type="gramStart"/>
      <w:r>
        <w:rPr>
          <w:rFonts w:ascii="Arial" w:eastAsia="Arial" w:hAnsi="Arial" w:cs="Arial"/>
          <w:color w:val="000000"/>
          <w:sz w:val="24"/>
          <w:szCs w:val="24"/>
        </w:rPr>
        <w:t>Framework</w:t>
      </w:r>
      <w:proofErr w:type="gramEnd"/>
      <w:r>
        <w:rPr>
          <w:rFonts w:ascii="Arial" w:eastAsia="Arial" w:hAnsi="Arial" w:cs="Arial"/>
          <w:color w:val="000000"/>
          <w:sz w:val="24"/>
          <w:szCs w:val="24"/>
        </w:rPr>
        <w:t xml:space="preserve"> Price is subject to Indexation then it will be indexed on the date which is one</w:t>
      </w:r>
      <w:r>
        <w:rPr>
          <w:rFonts w:ascii="Arial" w:eastAsia="Arial" w:hAnsi="Arial" w:cs="Arial"/>
          <w:b/>
          <w:color w:val="000000"/>
          <w:sz w:val="24"/>
          <w:szCs w:val="24"/>
        </w:rPr>
        <w:t xml:space="preserve"> </w:t>
      </w:r>
      <w:r>
        <w:rPr>
          <w:rFonts w:ascii="Arial" w:eastAsia="Arial" w:hAnsi="Arial" w:cs="Arial"/>
          <w:color w:val="000000"/>
          <w:sz w:val="24"/>
          <w:szCs w:val="24"/>
        </w:rPr>
        <w:t>(1) year after the Framew</w:t>
      </w:r>
      <w:r>
        <w:rPr>
          <w:rFonts w:ascii="Arial" w:eastAsia="Arial" w:hAnsi="Arial" w:cs="Arial"/>
          <w:color w:val="000000"/>
          <w:sz w:val="24"/>
          <w:szCs w:val="24"/>
        </w:rPr>
        <w:t>ork Start Date to reflect the percentage change in the Contract Index since the Framework Start Date.  They shall be indexed on each following yearly anniversary to reflect the percentage change in the Contract Index since the previous change.</w:t>
      </w:r>
    </w:p>
    <w:p w:rsidR="003057F1" w:rsidRDefault="000F6581">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Where the Co</w:t>
      </w:r>
      <w:r>
        <w:rPr>
          <w:rFonts w:ascii="Arial" w:eastAsia="Arial" w:hAnsi="Arial" w:cs="Arial"/>
          <w:color w:val="000000"/>
          <w:sz w:val="24"/>
          <w:szCs w:val="24"/>
        </w:rPr>
        <w:t>ntract Index:</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used to carry out an indexation calculation is updated (for example due to it being provisional) then the indexation calculation shall also be updated unless CCS and the Supplier agree otherwise; </w:t>
      </w:r>
    </w:p>
    <w:p w:rsidR="003057F1" w:rsidRDefault="000F6581">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is no longer published, CCS and the Supplier </w:t>
      </w:r>
      <w:r>
        <w:rPr>
          <w:rFonts w:ascii="Arial" w:eastAsia="Arial" w:hAnsi="Arial" w:cs="Arial"/>
          <w:color w:val="000000"/>
          <w:sz w:val="24"/>
          <w:szCs w:val="24"/>
        </w:rPr>
        <w:t>shall agree a fair and reasonable replacement that will have substantially the same effect.</w:t>
      </w:r>
    </w:p>
    <w:p w:rsidR="003057F1" w:rsidRDefault="003057F1">
      <w:pPr>
        <w:pBdr>
          <w:top w:val="nil"/>
          <w:left w:val="nil"/>
          <w:bottom w:val="nil"/>
          <w:right w:val="nil"/>
          <w:between w:val="nil"/>
        </w:pBdr>
        <w:tabs>
          <w:tab w:val="left" w:pos="0"/>
        </w:tabs>
        <w:spacing w:before="240" w:after="240" w:line="240" w:lineRule="auto"/>
        <w:ind w:left="644" w:hanging="360"/>
        <w:jc w:val="both"/>
        <w:rPr>
          <w:rFonts w:ascii="Arial" w:eastAsia="Arial" w:hAnsi="Arial" w:cs="Arial"/>
          <w:b/>
          <w:smallCaps/>
          <w:color w:val="000000"/>
          <w:highlight w:val="yellow"/>
        </w:rPr>
      </w:pPr>
      <w:bookmarkStart w:id="4" w:name="_heading=h.3dy6vkm" w:colFirst="0" w:colLast="0"/>
      <w:bookmarkEnd w:id="4"/>
    </w:p>
    <w:p w:rsidR="003057F1" w:rsidRDefault="003057F1">
      <w:pPr>
        <w:pBdr>
          <w:top w:val="nil"/>
          <w:left w:val="nil"/>
          <w:bottom w:val="nil"/>
          <w:right w:val="nil"/>
          <w:between w:val="nil"/>
        </w:pBdr>
        <w:tabs>
          <w:tab w:val="left" w:pos="1985"/>
          <w:tab w:val="left" w:pos="2127"/>
        </w:tabs>
        <w:spacing w:before="120" w:after="120" w:line="240" w:lineRule="auto"/>
        <w:ind w:left="1656" w:hanging="1372"/>
        <w:rPr>
          <w:rFonts w:ascii="Arial" w:eastAsia="Arial" w:hAnsi="Arial" w:cs="Arial"/>
          <w:color w:val="000000"/>
          <w:sz w:val="24"/>
          <w:szCs w:val="24"/>
        </w:rPr>
      </w:pPr>
    </w:p>
    <w:p w:rsidR="003057F1" w:rsidRDefault="000F6581">
      <w:pPr>
        <w:rPr>
          <w:rFonts w:ascii="Arial" w:eastAsia="Arial" w:hAnsi="Arial" w:cs="Arial"/>
          <w:b/>
          <w:sz w:val="36"/>
          <w:szCs w:val="36"/>
        </w:rPr>
      </w:pPr>
      <w:bookmarkStart w:id="5" w:name="_heading=h.4d34og8" w:colFirst="0" w:colLast="0"/>
      <w:bookmarkEnd w:id="5"/>
      <w:r>
        <w:br w:type="page"/>
      </w:r>
      <w:r>
        <w:rPr>
          <w:rFonts w:ascii="Arial" w:eastAsia="Arial" w:hAnsi="Arial" w:cs="Arial"/>
          <w:b/>
          <w:sz w:val="36"/>
          <w:szCs w:val="36"/>
        </w:rPr>
        <w:lastRenderedPageBreak/>
        <w:t xml:space="preserve">Annex 1: Framework Pricing Scenarios </w:t>
      </w:r>
    </w:p>
    <w:p w:rsidR="003057F1" w:rsidRDefault="003057F1">
      <w:pPr>
        <w:rPr>
          <w:rFonts w:ascii="Arial" w:eastAsia="Arial" w:hAnsi="Arial" w:cs="Arial"/>
          <w:sz w:val="24"/>
          <w:szCs w:val="24"/>
        </w:rPr>
      </w:pPr>
    </w:p>
    <w:tbl>
      <w:tblPr>
        <w:tblStyle w:val="a3"/>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276"/>
        <w:gridCol w:w="1226"/>
        <w:gridCol w:w="49"/>
        <w:gridCol w:w="1276"/>
        <w:gridCol w:w="1276"/>
        <w:gridCol w:w="1276"/>
        <w:gridCol w:w="1275"/>
      </w:tblGrid>
      <w:tr w:rsidR="003057F1">
        <w:trPr>
          <w:trHeight w:val="288"/>
        </w:trPr>
        <w:tc>
          <w:tcPr>
            <w:tcW w:w="2269" w:type="dxa"/>
            <w:shd w:val="clear" w:color="auto" w:fill="595959"/>
          </w:tcPr>
          <w:p w:rsidR="003057F1" w:rsidRDefault="000F6581">
            <w:pPr>
              <w:keepNext/>
              <w:spacing w:before="240" w:after="120"/>
              <w:rPr>
                <w:rFonts w:ascii="Arial" w:eastAsia="Arial" w:hAnsi="Arial" w:cs="Arial"/>
                <w:b/>
                <w:color w:val="FFFFFF"/>
              </w:rPr>
            </w:pPr>
            <w:r>
              <w:rPr>
                <w:rFonts w:ascii="Arial" w:eastAsia="Arial" w:hAnsi="Arial" w:cs="Arial"/>
                <w:b/>
                <w:color w:val="FFFFFF"/>
              </w:rPr>
              <w:t>PPA Scenarios</w:t>
            </w:r>
          </w:p>
        </w:tc>
        <w:tc>
          <w:tcPr>
            <w:tcW w:w="1276" w:type="dxa"/>
            <w:shd w:val="clear" w:color="auto" w:fill="595959"/>
          </w:tcPr>
          <w:p w:rsidR="003057F1" w:rsidRDefault="000F6581">
            <w:pPr>
              <w:keepNext/>
              <w:spacing w:before="240" w:after="120"/>
              <w:rPr>
                <w:rFonts w:ascii="Arial" w:eastAsia="Arial" w:hAnsi="Arial" w:cs="Arial"/>
                <w:color w:val="FFFFFF"/>
                <w:sz w:val="21"/>
                <w:szCs w:val="21"/>
              </w:rPr>
            </w:pPr>
            <w:r>
              <w:rPr>
                <w:rFonts w:ascii="Arial" w:eastAsia="Arial" w:hAnsi="Arial" w:cs="Arial"/>
                <w:color w:val="FFFFFF"/>
                <w:sz w:val="21"/>
                <w:szCs w:val="21"/>
              </w:rPr>
              <w:t>Scenario 1</w:t>
            </w:r>
          </w:p>
        </w:tc>
        <w:tc>
          <w:tcPr>
            <w:tcW w:w="1226" w:type="dxa"/>
            <w:shd w:val="clear" w:color="auto" w:fill="595959"/>
          </w:tcPr>
          <w:p w:rsidR="003057F1" w:rsidRDefault="000F6581">
            <w:pPr>
              <w:keepNext/>
              <w:spacing w:before="240" w:after="120"/>
              <w:rPr>
                <w:rFonts w:ascii="Arial" w:eastAsia="Arial" w:hAnsi="Arial" w:cs="Arial"/>
                <w:b/>
                <w:color w:val="FFFFFF"/>
                <w:sz w:val="21"/>
                <w:szCs w:val="21"/>
              </w:rPr>
            </w:pPr>
            <w:r>
              <w:rPr>
                <w:rFonts w:ascii="Arial" w:eastAsia="Arial" w:hAnsi="Arial" w:cs="Arial"/>
                <w:color w:val="FFFFFF"/>
                <w:sz w:val="21"/>
                <w:szCs w:val="21"/>
              </w:rPr>
              <w:t>Scenario 2</w:t>
            </w:r>
          </w:p>
        </w:tc>
        <w:tc>
          <w:tcPr>
            <w:tcW w:w="1325" w:type="dxa"/>
            <w:gridSpan w:val="2"/>
            <w:shd w:val="clear" w:color="auto" w:fill="595959"/>
          </w:tcPr>
          <w:p w:rsidR="003057F1" w:rsidRDefault="000F6581">
            <w:pPr>
              <w:keepNext/>
              <w:spacing w:before="240" w:after="120"/>
              <w:rPr>
                <w:rFonts w:ascii="Arial" w:eastAsia="Arial" w:hAnsi="Arial" w:cs="Arial"/>
                <w:b/>
                <w:color w:val="FFFFFF"/>
                <w:sz w:val="21"/>
                <w:szCs w:val="21"/>
              </w:rPr>
            </w:pPr>
            <w:r>
              <w:rPr>
                <w:rFonts w:ascii="Arial" w:eastAsia="Arial" w:hAnsi="Arial" w:cs="Arial"/>
                <w:color w:val="FFFFFF"/>
                <w:sz w:val="21"/>
                <w:szCs w:val="21"/>
              </w:rPr>
              <w:t>Scenario 3</w:t>
            </w:r>
          </w:p>
        </w:tc>
        <w:tc>
          <w:tcPr>
            <w:tcW w:w="1276" w:type="dxa"/>
            <w:shd w:val="clear" w:color="auto" w:fill="595959"/>
          </w:tcPr>
          <w:p w:rsidR="003057F1" w:rsidRDefault="000F6581">
            <w:pPr>
              <w:keepNext/>
              <w:spacing w:before="240" w:after="120"/>
              <w:rPr>
                <w:rFonts w:ascii="Arial" w:eastAsia="Arial" w:hAnsi="Arial" w:cs="Arial"/>
                <w:b/>
                <w:color w:val="FFFFFF"/>
                <w:sz w:val="21"/>
                <w:szCs w:val="21"/>
              </w:rPr>
            </w:pPr>
            <w:r>
              <w:rPr>
                <w:rFonts w:ascii="Arial" w:eastAsia="Arial" w:hAnsi="Arial" w:cs="Arial"/>
                <w:color w:val="FFFFFF"/>
                <w:sz w:val="21"/>
                <w:szCs w:val="21"/>
              </w:rPr>
              <w:t>Scenario 4</w:t>
            </w:r>
          </w:p>
        </w:tc>
        <w:tc>
          <w:tcPr>
            <w:tcW w:w="1276" w:type="dxa"/>
            <w:shd w:val="clear" w:color="auto" w:fill="595959"/>
          </w:tcPr>
          <w:p w:rsidR="003057F1" w:rsidRDefault="000F6581">
            <w:pPr>
              <w:keepNext/>
              <w:spacing w:before="240" w:after="120"/>
              <w:rPr>
                <w:rFonts w:ascii="Arial" w:eastAsia="Arial" w:hAnsi="Arial" w:cs="Arial"/>
                <w:b/>
                <w:color w:val="FFFFFF"/>
                <w:sz w:val="21"/>
                <w:szCs w:val="21"/>
              </w:rPr>
            </w:pPr>
            <w:r>
              <w:rPr>
                <w:rFonts w:ascii="Arial" w:eastAsia="Arial" w:hAnsi="Arial" w:cs="Arial"/>
                <w:color w:val="FFFFFF"/>
                <w:sz w:val="21"/>
                <w:szCs w:val="21"/>
              </w:rPr>
              <w:t>Scenario 5</w:t>
            </w:r>
          </w:p>
        </w:tc>
        <w:tc>
          <w:tcPr>
            <w:tcW w:w="1275" w:type="dxa"/>
            <w:shd w:val="clear" w:color="auto" w:fill="595959"/>
          </w:tcPr>
          <w:p w:rsidR="003057F1" w:rsidRDefault="000F6581">
            <w:pPr>
              <w:keepNext/>
              <w:spacing w:before="240" w:after="120"/>
              <w:rPr>
                <w:rFonts w:ascii="Arial" w:eastAsia="Arial" w:hAnsi="Arial" w:cs="Arial"/>
                <w:b/>
                <w:color w:val="FFFFFF"/>
                <w:sz w:val="21"/>
                <w:szCs w:val="21"/>
              </w:rPr>
            </w:pPr>
            <w:r>
              <w:rPr>
                <w:rFonts w:ascii="Arial" w:eastAsia="Arial" w:hAnsi="Arial" w:cs="Arial"/>
                <w:color w:val="FFFFFF"/>
                <w:sz w:val="21"/>
                <w:szCs w:val="21"/>
              </w:rPr>
              <w:t>Scenario 6</w:t>
            </w:r>
          </w:p>
        </w:tc>
      </w:tr>
      <w:tr w:rsidR="003057F1">
        <w:trPr>
          <w:trHeight w:val="288"/>
        </w:trPr>
        <w:tc>
          <w:tcPr>
            <w:tcW w:w="9923" w:type="dxa"/>
            <w:gridSpan w:val="8"/>
            <w:shd w:val="clear" w:color="auto" w:fill="548DD4"/>
          </w:tcPr>
          <w:p w:rsidR="003057F1" w:rsidRDefault="000F6581">
            <w:pPr>
              <w:keepNext/>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t>Section 1 – Information</w:t>
            </w:r>
          </w:p>
        </w:tc>
      </w:tr>
      <w:tr w:rsidR="003057F1">
        <w:trPr>
          <w:trHeight w:val="288"/>
        </w:trPr>
        <w:tc>
          <w:tcPr>
            <w:tcW w:w="2269" w:type="dxa"/>
          </w:tcPr>
          <w:p w:rsidR="003057F1" w:rsidRDefault="000F6581">
            <w:pPr>
              <w:spacing w:after="200" w:line="276" w:lineRule="auto"/>
              <w:rPr>
                <w:rFonts w:ascii="Arial" w:eastAsia="Arial" w:hAnsi="Arial" w:cs="Arial"/>
                <w:b/>
                <w:sz w:val="24"/>
                <w:szCs w:val="24"/>
              </w:rPr>
            </w:pPr>
            <w:r>
              <w:rPr>
                <w:rFonts w:ascii="Arial" w:eastAsia="Arial" w:hAnsi="Arial" w:cs="Arial"/>
                <w:b/>
                <w:sz w:val="24"/>
                <w:szCs w:val="24"/>
              </w:rPr>
              <w:t>Technology</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Solar</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Solar</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On-shore Wind</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On-shore Wind</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Off-Shore Wind</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Off-Shore Wind</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Location</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UK</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UK</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Wales</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UK</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Scotland</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UK</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 xml:space="preserve">Additionality </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 xml:space="preserve">New Build </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 xml:space="preserve">Existing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New Build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Existing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New Build </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xml:space="preserve"> Existing </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Start Date (Expected COD for New Build Facility)</w:t>
            </w:r>
          </w:p>
        </w:tc>
        <w:tc>
          <w:tcPr>
            <w:tcW w:w="1276" w:type="dxa"/>
          </w:tcPr>
          <w:p w:rsidR="003057F1" w:rsidRDefault="000F6581">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01.04.</w:t>
            </w:r>
          </w:p>
          <w:p w:rsidR="003057F1" w:rsidRDefault="000F6581">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2027</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 01.04.</w:t>
            </w:r>
          </w:p>
          <w:p w:rsidR="003057F1" w:rsidRDefault="000F6581">
            <w:pPr>
              <w:rPr>
                <w:rFonts w:ascii="Arial" w:eastAsia="Arial" w:hAnsi="Arial" w:cs="Arial"/>
                <w:sz w:val="24"/>
                <w:szCs w:val="24"/>
              </w:rPr>
            </w:pPr>
            <w:r>
              <w:rPr>
                <w:rFonts w:ascii="Arial" w:eastAsia="Arial" w:hAnsi="Arial" w:cs="Arial"/>
                <w:sz w:val="24"/>
                <w:szCs w:val="24"/>
              </w:rPr>
              <w:t>2026</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01.04.</w:t>
            </w:r>
          </w:p>
          <w:p w:rsidR="003057F1" w:rsidRDefault="000F6581">
            <w:pPr>
              <w:spacing w:after="200" w:line="276" w:lineRule="auto"/>
              <w:rPr>
                <w:rFonts w:ascii="Arial" w:eastAsia="Arial" w:hAnsi="Arial" w:cs="Arial"/>
                <w:sz w:val="24"/>
                <w:szCs w:val="24"/>
              </w:rPr>
            </w:pPr>
            <w:r>
              <w:rPr>
                <w:rFonts w:ascii="Arial" w:eastAsia="Arial" w:hAnsi="Arial" w:cs="Arial"/>
                <w:sz w:val="24"/>
                <w:szCs w:val="24"/>
              </w:rPr>
              <w:t>2027</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01.04.</w:t>
            </w:r>
          </w:p>
          <w:p w:rsidR="003057F1" w:rsidRDefault="000F6581">
            <w:pPr>
              <w:spacing w:after="200" w:line="276" w:lineRule="auto"/>
              <w:rPr>
                <w:rFonts w:ascii="Arial" w:eastAsia="Arial" w:hAnsi="Arial" w:cs="Arial"/>
                <w:sz w:val="24"/>
                <w:szCs w:val="24"/>
              </w:rPr>
            </w:pPr>
            <w:r>
              <w:rPr>
                <w:rFonts w:ascii="Arial" w:eastAsia="Arial" w:hAnsi="Arial" w:cs="Arial"/>
                <w:sz w:val="24"/>
                <w:szCs w:val="24"/>
              </w:rPr>
              <w:t>2027</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01.04.</w:t>
            </w:r>
          </w:p>
          <w:p w:rsidR="003057F1" w:rsidRDefault="000F6581">
            <w:pPr>
              <w:spacing w:after="200" w:line="276" w:lineRule="auto"/>
              <w:rPr>
                <w:rFonts w:ascii="Arial" w:eastAsia="Arial" w:hAnsi="Arial" w:cs="Arial"/>
                <w:sz w:val="24"/>
                <w:szCs w:val="24"/>
              </w:rPr>
            </w:pPr>
            <w:r>
              <w:rPr>
                <w:rFonts w:ascii="Arial" w:eastAsia="Arial" w:hAnsi="Arial" w:cs="Arial"/>
                <w:sz w:val="24"/>
                <w:szCs w:val="24"/>
              </w:rPr>
              <w:t>2027</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01.04.</w:t>
            </w:r>
          </w:p>
          <w:p w:rsidR="003057F1" w:rsidRDefault="000F6581">
            <w:pPr>
              <w:spacing w:after="200" w:line="276" w:lineRule="auto"/>
              <w:rPr>
                <w:rFonts w:ascii="Arial" w:eastAsia="Arial" w:hAnsi="Arial" w:cs="Arial"/>
                <w:sz w:val="24"/>
                <w:szCs w:val="24"/>
              </w:rPr>
            </w:pPr>
            <w:r>
              <w:rPr>
                <w:rFonts w:ascii="Arial" w:eastAsia="Arial" w:hAnsi="Arial" w:cs="Arial"/>
                <w:sz w:val="24"/>
                <w:szCs w:val="24"/>
              </w:rPr>
              <w:t>2027</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Days between Expected COD and Longstop Date</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365 days</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N/A</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365 days</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N/A</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w:t>
            </w:r>
            <w:r>
              <w:rPr>
                <w:rFonts w:ascii="Arial" w:eastAsia="Arial" w:hAnsi="Arial" w:cs="Arial"/>
                <w:sz w:val="20"/>
                <w:szCs w:val="20"/>
              </w:rPr>
              <w:t>365 days</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N/A</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Expected Annual Production (MWh)</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 25</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 25</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25</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25</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25</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25</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 xml:space="preserve">Minimum Contracted Capacity </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95%</w:t>
            </w:r>
          </w:p>
        </w:tc>
        <w:tc>
          <w:tcPr>
            <w:tcW w:w="1275" w:type="dxa"/>
            <w:gridSpan w:val="2"/>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 95%</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95%</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95%</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95%</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95%</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Price inflation</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CPI</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CPI</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CPI</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CPI</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CPI</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CPI</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Term</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15 years</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 xml:space="preserve">5 years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15 years</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15 years</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15 years</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15 years</w:t>
            </w:r>
          </w:p>
        </w:tc>
      </w:tr>
      <w:tr w:rsidR="003057F1">
        <w:trPr>
          <w:trHeight w:val="288"/>
        </w:trPr>
        <w:tc>
          <w:tcPr>
            <w:tcW w:w="9923" w:type="dxa"/>
            <w:gridSpan w:val="8"/>
            <w:shd w:val="clear" w:color="auto" w:fill="548DD4"/>
          </w:tcPr>
          <w:p w:rsidR="003057F1" w:rsidRDefault="000F6581">
            <w:pPr>
              <w:keepNext/>
              <w:spacing w:before="240" w:after="120"/>
              <w:ind w:left="142"/>
              <w:jc w:val="center"/>
              <w:rPr>
                <w:rFonts w:ascii="Arial" w:eastAsia="Arial" w:hAnsi="Arial" w:cs="Arial"/>
                <w:b/>
                <w:sz w:val="24"/>
                <w:szCs w:val="24"/>
              </w:rPr>
            </w:pPr>
            <w:r>
              <w:rPr>
                <w:rFonts w:ascii="Arial" w:eastAsia="Arial" w:hAnsi="Arial" w:cs="Arial"/>
                <w:b/>
                <w:color w:val="000000"/>
                <w:sz w:val="24"/>
                <w:szCs w:val="24"/>
              </w:rPr>
              <w:t xml:space="preserve">Section 2 – Supplier Input </w:t>
            </w:r>
          </w:p>
        </w:tc>
      </w:tr>
      <w:tr w:rsidR="003057F1">
        <w:trPr>
          <w:trHeight w:val="288"/>
        </w:trPr>
        <w:tc>
          <w:tcPr>
            <w:tcW w:w="2269" w:type="dxa"/>
          </w:tcPr>
          <w:p w:rsidR="003057F1" w:rsidRDefault="000F6581">
            <w:pPr>
              <w:spacing w:after="200" w:line="276" w:lineRule="auto"/>
              <w:rPr>
                <w:rFonts w:ascii="Arial" w:eastAsia="Arial" w:hAnsi="Arial" w:cs="Arial"/>
                <w:b/>
                <w:sz w:val="24"/>
                <w:szCs w:val="24"/>
              </w:rPr>
            </w:pPr>
            <w:r>
              <w:rPr>
                <w:rFonts w:ascii="Arial" w:eastAsia="Arial" w:hAnsi="Arial" w:cs="Arial"/>
                <w:b/>
                <w:sz w:val="24"/>
                <w:szCs w:val="24"/>
              </w:rPr>
              <w:t>Base PPA Price (£/MWh)</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 xml:space="preserve">[●] </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r>
      <w:tr w:rsidR="003057F1">
        <w:trPr>
          <w:trHeight w:val="288"/>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Location (county/region)</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 xml:space="preserve">[●] </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r>
      <w:tr w:rsidR="003057F1">
        <w:trPr>
          <w:trHeight w:val="1003"/>
        </w:trPr>
        <w:tc>
          <w:tcPr>
            <w:tcW w:w="2269" w:type="dxa"/>
          </w:tcPr>
          <w:p w:rsidR="003057F1" w:rsidRDefault="000F6581">
            <w:pPr>
              <w:rPr>
                <w:rFonts w:ascii="Arial" w:eastAsia="Arial" w:hAnsi="Arial" w:cs="Arial"/>
                <w:b/>
                <w:sz w:val="24"/>
                <w:szCs w:val="24"/>
              </w:rPr>
            </w:pPr>
            <w:r>
              <w:rPr>
                <w:rFonts w:ascii="Arial" w:eastAsia="Arial" w:hAnsi="Arial" w:cs="Arial"/>
                <w:b/>
                <w:sz w:val="24"/>
                <w:szCs w:val="24"/>
              </w:rPr>
              <w:t>Any further detail</w:t>
            </w:r>
          </w:p>
        </w:tc>
        <w:tc>
          <w:tcPr>
            <w:tcW w:w="1276" w:type="dxa"/>
          </w:tcPr>
          <w:p w:rsidR="003057F1" w:rsidRDefault="000F6581">
            <w:pPr>
              <w:spacing w:after="200" w:line="276" w:lineRule="auto"/>
              <w:rPr>
                <w:rFonts w:ascii="Arial" w:eastAsia="Arial" w:hAnsi="Arial" w:cs="Arial"/>
                <w:sz w:val="24"/>
                <w:szCs w:val="24"/>
              </w:rPr>
            </w:pPr>
            <w:r>
              <w:rPr>
                <w:rFonts w:ascii="Arial" w:eastAsia="Arial" w:hAnsi="Arial" w:cs="Arial"/>
                <w:sz w:val="24"/>
                <w:szCs w:val="24"/>
              </w:rPr>
              <w:t xml:space="preserve">[●] </w:t>
            </w:r>
          </w:p>
        </w:tc>
        <w:tc>
          <w:tcPr>
            <w:tcW w:w="1275" w:type="dxa"/>
            <w:gridSpan w:val="2"/>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6"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c>
          <w:tcPr>
            <w:tcW w:w="1275" w:type="dxa"/>
          </w:tcPr>
          <w:p w:rsidR="003057F1" w:rsidRDefault="000F6581">
            <w:pPr>
              <w:rPr>
                <w:rFonts w:ascii="Arial" w:eastAsia="Arial" w:hAnsi="Arial" w:cs="Arial"/>
                <w:sz w:val="24"/>
                <w:szCs w:val="24"/>
              </w:rPr>
            </w:pPr>
            <w:r>
              <w:rPr>
                <w:rFonts w:ascii="Arial" w:eastAsia="Arial" w:hAnsi="Arial" w:cs="Arial"/>
                <w:sz w:val="24"/>
                <w:szCs w:val="24"/>
              </w:rPr>
              <w:t xml:space="preserve">[●] </w:t>
            </w:r>
          </w:p>
        </w:tc>
      </w:tr>
    </w:tbl>
    <w:p w:rsidR="003057F1" w:rsidRDefault="003057F1">
      <w:pPr>
        <w:rPr>
          <w:rFonts w:ascii="Arial" w:eastAsia="Arial" w:hAnsi="Arial" w:cs="Arial"/>
          <w:sz w:val="24"/>
          <w:szCs w:val="24"/>
        </w:rPr>
      </w:pPr>
    </w:p>
    <w:sectPr w:rsidR="003057F1">
      <w:headerReference w:type="even" r:id="rId8"/>
      <w:headerReference w:type="default" r:id="rId9"/>
      <w:footerReference w:type="even" r:id="rId10"/>
      <w:footerReference w:type="default" r:id="rId11"/>
      <w:headerReference w:type="first" r:id="rId12"/>
      <w:footerReference w:type="first" r:id="rId13"/>
      <w:pgSz w:w="11906" w:h="16838"/>
      <w:pgMar w:top="1888"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581" w:rsidRDefault="000F6581">
      <w:pPr>
        <w:spacing w:after="0" w:line="240" w:lineRule="auto"/>
      </w:pPr>
      <w:r>
        <w:separator/>
      </w:r>
    </w:p>
  </w:endnote>
  <w:endnote w:type="continuationSeparator" w:id="0">
    <w:p w:rsidR="000F6581" w:rsidRDefault="000F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F1" w:rsidRDefault="003057F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F1" w:rsidRDefault="000F658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RM6289 Provision of Power Purchase Agreement</w:t>
    </w:r>
    <w:r>
      <w:rPr>
        <w:rFonts w:ascii="Arial" w:eastAsia="Arial" w:hAnsi="Arial" w:cs="Arial"/>
        <w:sz w:val="20"/>
        <w:szCs w:val="20"/>
      </w:rPr>
      <w:tab/>
      <w:t xml:space="preserve">                                           </w:t>
    </w:r>
  </w:p>
  <w:p w:rsidR="003057F1" w:rsidRDefault="000F658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D2030">
      <w:rPr>
        <w:rFonts w:ascii="Arial" w:eastAsia="Arial" w:hAnsi="Arial" w:cs="Arial"/>
        <w:color w:val="000000"/>
        <w:sz w:val="20"/>
        <w:szCs w:val="20"/>
      </w:rPr>
      <w:fldChar w:fldCharType="separate"/>
    </w:r>
    <w:r w:rsidR="00CD2030">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3057F1" w:rsidRDefault="000F6581">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F1" w:rsidRDefault="000F6581">
    <w:pPr>
      <w:tabs>
        <w:tab w:val="center" w:pos="4513"/>
        <w:tab w:val="right" w:pos="9026"/>
      </w:tabs>
      <w:spacing w:after="0"/>
    </w:pPr>
    <w:r>
      <w:t>Framework Ref: RM</w:t>
    </w:r>
    <w:r>
      <w:tab/>
      <w:t xml:space="preserve">                                           </w:t>
    </w:r>
  </w:p>
  <w:p w:rsidR="003057F1" w:rsidRDefault="000F658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3057F1" w:rsidRDefault="000F6581">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581" w:rsidRDefault="000F6581">
      <w:pPr>
        <w:spacing w:after="0" w:line="240" w:lineRule="auto"/>
      </w:pPr>
      <w:r>
        <w:separator/>
      </w:r>
    </w:p>
  </w:footnote>
  <w:footnote w:type="continuationSeparator" w:id="0">
    <w:p w:rsidR="000F6581" w:rsidRDefault="000F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F1" w:rsidRDefault="003057F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F1" w:rsidRDefault="000F658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rsidR="003057F1" w:rsidRDefault="000F658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F1" w:rsidRDefault="000F658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rsidR="003057F1" w:rsidRDefault="000F6581">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6E07"/>
    <w:multiLevelType w:val="multilevel"/>
    <w:tmpl w:val="AD4236CE"/>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990"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B01607D"/>
    <w:multiLevelType w:val="multilevel"/>
    <w:tmpl w:val="AF0E254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7F1"/>
    <w:rsid w:val="000F6581"/>
    <w:rsid w:val="003057F1"/>
    <w:rsid w:val="00CD2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F63F"/>
  <w15:docId w15:val="{A598C249-BDBF-4D8A-96CF-C83B5B4A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ind w:left="644"/>
      <w:jc w:val="both"/>
      <w:outlineLvl w:val="1"/>
    </w:pPr>
    <w:rPr>
      <w:rFonts w:ascii="Arial Bold" w:eastAsia="STZhongsong" w:hAnsi="Arial Bold" w:cs="Arial"/>
      <w:b/>
      <w:caps/>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jc w:val="both"/>
    </w:pPr>
    <w:rPr>
      <w:rFonts w:eastAsia="Times New Roman" w:cs="Arial"/>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spacing w:before="120"/>
      <w:ind w:left="360"/>
      <w:outlineLvl w:val="9"/>
    </w:pPr>
    <w:rPr>
      <w:rFonts w:ascii="Arial" w:hAnsi="Arial"/>
      <w:caps w:val="0"/>
      <w:sz w:val="24"/>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360A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ABB"/>
    <w:rPr>
      <w:sz w:val="20"/>
      <w:szCs w:val="20"/>
    </w:rPr>
  </w:style>
  <w:style w:type="character" w:styleId="FootnoteReference">
    <w:name w:val="footnote reference"/>
    <w:basedOn w:val="DefaultParagraphFont"/>
    <w:uiPriority w:val="99"/>
    <w:semiHidden/>
    <w:unhideWhenUsed/>
    <w:rsid w:val="00360ABB"/>
    <w:rPr>
      <w:vertAlign w:val="superscript"/>
    </w:r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Re+Qbjf2i05W6bOayXKGp7jqQ==">CgMxLjAyCGguZ2pkZ3hzMgloLjMwajB6bGwyCWguM3pueXNoNzIJaC4zZHk2dmttMgloLjRkMzRvZzg4AGpFCjVzdWdnZXN0SWRJbXBvcnRkOWVkZjY4ZC05NzRlLTQ5NTAtYTE3Yy01YTc4MWEwOTA5MDFfMRIMS2FzaGlmIEFmc2FyakUKNXN1Z2dlc3RJZEltcG9ydGQ5ZWRmNjhkLTk3NGUtNDk1MC1hMTdjLTVhNzgxYTA5MDkwMV8zEgxLYXNoaWYgQWZzYXJqJAoUc3VnZ2VzdC53M2NxcHhwOGljMGkSDEthc2hpZiBBZnNhcnIhMW9VUzRJcnN2Z0xickdiQzNzem5zZnYycWNIV3d3Vj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Kashif Afsar</dc:creator>
  <cp:lastModifiedBy>Christopher Lowe</cp:lastModifiedBy>
  <cp:revision>2</cp:revision>
  <dcterms:created xsi:type="dcterms:W3CDTF">2024-08-22T11:47:00Z</dcterms:created>
  <dcterms:modified xsi:type="dcterms:W3CDTF">2024-10-10T15:09:00Z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#109517335v4&lt;L_LIVE_EMEA1&gt; - PPA v3.0 (Framework Schedule 3 - Framework Prices v.3.1)</vt:lpwstr>
  </property>
</Properties>
</file>