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D6792" w14:textId="77777777" w:rsidR="005F2483" w:rsidRDefault="00FC175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505B062F" w14:textId="77777777" w:rsidR="005F2483" w:rsidRDefault="005F2483">
      <w:pPr>
        <w:pBdr>
          <w:top w:val="nil"/>
          <w:left w:val="nil"/>
          <w:bottom w:val="nil"/>
          <w:right w:val="nil"/>
          <w:between w:val="nil"/>
        </w:pBdr>
        <w:spacing w:after="0" w:line="240" w:lineRule="auto"/>
        <w:rPr>
          <w:rFonts w:ascii="Arial" w:eastAsia="Arial" w:hAnsi="Arial" w:cs="Arial"/>
          <w:color w:val="000000"/>
          <w:sz w:val="24"/>
          <w:szCs w:val="24"/>
        </w:rPr>
      </w:pPr>
    </w:p>
    <w:p w14:paraId="4F09111D" w14:textId="77777777" w:rsidR="005F2483" w:rsidRDefault="00FC175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29E26FC9" w14:textId="77777777" w:rsidR="005F2483" w:rsidRDefault="00FC175B">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[Buyer Guidance: Buyers should consider including Call Off Schedule 9 (Security) to ensure their Call-Off Contract contains adequate security measures in order to protect Personal Data in compliance with Annex B of the GDPR PPN 03/22]</w:t>
      </w:r>
    </w:p>
    <w:p w14:paraId="6EE73B39" w14:textId="77777777" w:rsidR="005F2483" w:rsidRDefault="005F248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7D7E54E" w14:textId="77777777" w:rsidR="005F2483" w:rsidRDefault="00FC175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7084B4E1"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5F2483" w14:paraId="08127A31" w14:textId="77777777">
        <w:tc>
          <w:tcPr>
            <w:tcW w:w="2263" w:type="dxa"/>
          </w:tcPr>
          <w:p w14:paraId="2E1C09E2" w14:textId="77777777" w:rsidR="005F2483" w:rsidRDefault="00FC175B">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“EU GDPR”</w:t>
            </w:r>
          </w:p>
        </w:tc>
        <w:tc>
          <w:tcPr>
            <w:tcW w:w="6753" w:type="dxa"/>
          </w:tcPr>
          <w:p w14:paraId="04B3FD8B" w14:textId="77777777" w:rsidR="005F2483" w:rsidRDefault="00FC175B">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the General Data Protection Regulation ((EU) 2016/679);</w:t>
            </w:r>
          </w:p>
        </w:tc>
      </w:tr>
      <w:tr w:rsidR="005F2483" w14:paraId="45B18167" w14:textId="77777777">
        <w:tc>
          <w:tcPr>
            <w:tcW w:w="2263" w:type="dxa"/>
          </w:tcPr>
          <w:p w14:paraId="47E66239" w14:textId="77777777" w:rsidR="005F2483" w:rsidRDefault="00FC175B">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“Joint Control”</w:t>
            </w:r>
          </w:p>
        </w:tc>
        <w:tc>
          <w:tcPr>
            <w:tcW w:w="6753" w:type="dxa"/>
          </w:tcPr>
          <w:p w14:paraId="6C52F5ED" w14:textId="77777777" w:rsidR="005F2483" w:rsidRDefault="00FC175B">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5F2483" w14:paraId="20061D74" w14:textId="77777777">
        <w:tc>
          <w:tcPr>
            <w:tcW w:w="2263" w:type="dxa"/>
          </w:tcPr>
          <w:p w14:paraId="45BE3372" w14:textId="77777777" w:rsidR="005F2483" w:rsidRDefault="00FC175B">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2CC86CE3" w14:textId="77777777" w:rsidR="005F2483" w:rsidRDefault="00FC175B">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25A4AE94" w14:textId="77777777" w:rsidR="005F2483" w:rsidRDefault="00FC175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39CA2986"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BA7D7A4"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11087FE1"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0E1E914A"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5B8805A"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220C693" w14:textId="77777777" w:rsidR="005F2483" w:rsidRDefault="00FC175B">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E6ED2FD" w14:textId="77777777" w:rsidR="005F2483" w:rsidRDefault="00FC175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CA108BC"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or further provided in writing by the Controller and may not be determined by the Processor.</w:t>
      </w:r>
    </w:p>
    <w:p w14:paraId="18D8B917"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notify the Controller immediately if it considers that any of the Controller’s instructions infringe the Data Protection Legislation.</w:t>
      </w:r>
    </w:p>
    <w:p w14:paraId="4D4161F3"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05782C3"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18406ABA"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7A4B2D05"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310B15A6"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14A4C76"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14:paraId="6A640575"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or as further provided in writing by the Controller, unless the Processor is required to do otherwise by Law. If it is so required the Processor shall promptly notify the Controller before Processing the Personal Data unless prohibited by Law;</w:t>
      </w:r>
    </w:p>
    <w:p w14:paraId="1A325B5B"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which are appropriate to protect against Personal Data Breach,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18E78395"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3znysh7" w:colFirst="0" w:colLast="0"/>
      <w:bookmarkEnd w:id="4"/>
    </w:p>
    <w:p w14:paraId="04AFB696"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63FC4898"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state of technological development; </w:t>
      </w:r>
    </w:p>
    <w:p w14:paraId="6079E095"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EA9AD83" w14:textId="77777777" w:rsidR="005F2483" w:rsidRDefault="00FC175B">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and which shall be maintained in accordance with Data Protection Legislation and Good Industry Practice;</w:t>
      </w:r>
    </w:p>
    <w:p w14:paraId="0E725E53"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54994090"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 and the Controller’s further written instructions;</w:t>
      </w:r>
    </w:p>
    <w:p w14:paraId="164EA6D0"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it </w:t>
      </w:r>
      <w:proofErr w:type="gramStart"/>
      <w:r>
        <w:rPr>
          <w:rFonts w:ascii="Arial" w:eastAsia="Arial" w:hAnsi="Arial" w:cs="Arial"/>
          <w:sz w:val="24"/>
          <w:szCs w:val="24"/>
        </w:rPr>
        <w:t>uses  all</w:t>
      </w:r>
      <w:proofErr w:type="gramEnd"/>
      <w:r>
        <w:rPr>
          <w:rFonts w:ascii="Arial" w:eastAsia="Arial" w:hAnsi="Arial" w:cs="Arial"/>
          <w:sz w:val="24"/>
          <w:szCs w:val="24"/>
        </w:rPr>
        <w:t xml:space="preserve"> reasonable endeavours  to ensure the reliability and integrity of any Processor Personnel who have access to the Personal Data and ensure that they:</w:t>
      </w:r>
    </w:p>
    <w:p w14:paraId="62622C83" w14:textId="77777777" w:rsidR="005F2483" w:rsidRDefault="00FC175B">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6B528B35" w14:textId="77777777" w:rsidR="005F2483" w:rsidRDefault="00FC175B">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58B3667D" w14:textId="77777777" w:rsidR="005F2483" w:rsidRDefault="00FC175B">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56FBB86" w14:textId="77777777" w:rsidR="005F2483" w:rsidRDefault="00FC175B">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5A79F605"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 xml:space="preserve">not transfer Personal Data outside of the </w:t>
      </w:r>
      <w:proofErr w:type="gramStart"/>
      <w:r>
        <w:rPr>
          <w:rFonts w:ascii="Arial" w:eastAsia="Arial" w:hAnsi="Arial" w:cs="Arial"/>
          <w:sz w:val="24"/>
          <w:szCs w:val="24"/>
        </w:rPr>
        <w:t>UK  unless</w:t>
      </w:r>
      <w:proofErr w:type="gramEnd"/>
      <w:r>
        <w:rPr>
          <w:rFonts w:ascii="Arial" w:eastAsia="Arial" w:hAnsi="Arial" w:cs="Arial"/>
          <w:sz w:val="24"/>
          <w:szCs w:val="24"/>
        </w:rPr>
        <w:t xml:space="preserve"> the prior written consent of the Controller has been obtained and the following conditions are fulfilled:</w:t>
      </w:r>
    </w:p>
    <w:p w14:paraId="13DFFEDA"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the destination country has been recognised as adequate by the UK government in accordance with Article 45 of the UK GDPR (or section 74 of the DPA 2018); or</w:t>
      </w:r>
    </w:p>
    <w:p w14:paraId="1340AD4A"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under section 119A(1) of the DPA 2018, as well as any additional measures determined by the Controller;</w:t>
      </w:r>
    </w:p>
    <w:p w14:paraId="3344BD49"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the Data Subject has enforceable rights and effective legal remedies;</w:t>
      </w:r>
    </w:p>
    <w:p w14:paraId="6F1E6558"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 xml:space="preserve">the Processor complies with its obligations </w:t>
      </w:r>
      <w:proofErr w:type="gramStart"/>
      <w:r>
        <w:rPr>
          <w:rFonts w:ascii="Arial" w:eastAsia="Arial" w:hAnsi="Arial" w:cs="Arial"/>
          <w:sz w:val="24"/>
          <w:szCs w:val="24"/>
        </w:rPr>
        <w:t>under  Data</w:t>
      </w:r>
      <w:proofErr w:type="gramEnd"/>
      <w:r>
        <w:rPr>
          <w:rFonts w:ascii="Arial" w:eastAsia="Arial" w:hAnsi="Arial" w:cs="Arial"/>
          <w:sz w:val="24"/>
          <w:szCs w:val="24"/>
        </w:rPr>
        <w:t xml:space="preserve"> Protection Legislation by providing an adequate level of protection to any Personal Data that is transferred (or, if it is not so bound, uses its best endeavours to assist the Controller in meeting its obligations); and</w:t>
      </w:r>
    </w:p>
    <w:p w14:paraId="7C22DA46" w14:textId="77777777" w:rsidR="005F2483" w:rsidRDefault="00FC175B">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601CB2A1"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14:paraId="47FDA66D" w14:textId="77777777" w:rsidR="005F2483" w:rsidRDefault="00FC175B">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14:paraId="68E67890" w14:textId="77777777" w:rsidR="005F2483" w:rsidRDefault="00FC175B">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has provided appropriate safeguards in relation to the transfer in accordance with Article 46 of the EU GDPR as determined by the Controller which could include relevant parties </w:t>
      </w:r>
      <w:r>
        <w:rPr>
          <w:rFonts w:ascii="Arial" w:eastAsia="Arial" w:hAnsi="Arial" w:cs="Arial"/>
          <w:sz w:val="24"/>
          <w:szCs w:val="24"/>
        </w:rPr>
        <w:lastRenderedPageBreak/>
        <w:t>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14:paraId="6CAC2BC3" w14:textId="77777777" w:rsidR="005F2483" w:rsidRDefault="00FC175B">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14:paraId="2417D6EC" w14:textId="77777777" w:rsidR="005F2483" w:rsidRDefault="00FC175B">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14:paraId="419CD19C" w14:textId="77777777" w:rsidR="005F2483" w:rsidRDefault="00FC175B">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Data; and </w:t>
      </w:r>
    </w:p>
    <w:p w14:paraId="38221827"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F0558C7"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5B2B7E24"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2E931F98"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5D2FCF00"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0E252977"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42B47460"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FE15EEB"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24032142"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271FAA2F"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w:t>
      </w:r>
      <w:proofErr w:type="gramStart"/>
      <w:r>
        <w:rPr>
          <w:rFonts w:ascii="Arial" w:eastAsia="Arial" w:hAnsi="Arial" w:cs="Arial"/>
          <w:sz w:val="24"/>
          <w:szCs w:val="24"/>
        </w:rPr>
        <w:t>promptly  providing</w:t>
      </w:r>
      <w:proofErr w:type="gramEnd"/>
      <w:r>
        <w:rPr>
          <w:rFonts w:ascii="Arial" w:eastAsia="Arial" w:hAnsi="Arial" w:cs="Arial"/>
          <w:sz w:val="24"/>
          <w:szCs w:val="24"/>
        </w:rPr>
        <w:t>:</w:t>
      </w:r>
    </w:p>
    <w:p w14:paraId="04D09250"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5089B43E"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the </w:t>
      </w:r>
      <w:proofErr w:type="gramStart"/>
      <w:r>
        <w:rPr>
          <w:rFonts w:ascii="Arial" w:eastAsia="Arial" w:hAnsi="Arial" w:cs="Arial"/>
          <w:sz w:val="24"/>
          <w:szCs w:val="24"/>
        </w:rPr>
        <w:t>Controller  to</w:t>
      </w:r>
      <w:proofErr w:type="gramEnd"/>
      <w:r>
        <w:rPr>
          <w:rFonts w:ascii="Arial" w:eastAsia="Arial" w:hAnsi="Arial" w:cs="Arial"/>
          <w:sz w:val="24"/>
          <w:szCs w:val="24"/>
        </w:rPr>
        <w:t xml:space="preserve"> comply with a Data Subject Access Request within the relevant timescales set out in the Data Protection Legislation; </w:t>
      </w:r>
    </w:p>
    <w:p w14:paraId="4DD49CAB"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08B2668"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254D5F44"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244C745E"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4190AA0"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FB952BF"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3A85330"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B8C1E32"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296F4220"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2C4896EC"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77D2B8A4"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6A0274C5"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7B4699E1"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5E8A57A7" w14:textId="77777777" w:rsidR="005F2483" w:rsidRDefault="00FC175B">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C5198E0"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6162C933"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 xml:space="preserve">The Relevant Authority may, at any time on not less than thirty (30) Working Days’ notice, revise this Joint Schedule 11 by replacing it with any applicable </w:t>
      </w:r>
      <w:r>
        <w:rPr>
          <w:rFonts w:ascii="Arial" w:eastAsia="Arial" w:hAnsi="Arial" w:cs="Arial"/>
          <w:sz w:val="24"/>
          <w:szCs w:val="24"/>
        </w:rPr>
        <w:lastRenderedPageBreak/>
        <w:t>controller to processor standard clauses or similar terms forming part of an applicable certification scheme (which shall apply when incorporated by attachment to the Contract).</w:t>
      </w:r>
    </w:p>
    <w:p w14:paraId="25CDA53C"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14:paraId="5D48C45D" w14:textId="77777777" w:rsidR="005F2483" w:rsidRDefault="00FC175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4BA20E42"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2309D817" w14:textId="77777777" w:rsidR="005F2483" w:rsidRDefault="00FC175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BB3A33A"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589BCBD"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01A823D"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403475D"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CD56F29"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13165076"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A198D2A"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1497D58"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1B5A60D4"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5415FE8"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8093EA4"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5B5010E"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BF64A01"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4281F2FD" w14:textId="77777777" w:rsidR="005F2483" w:rsidRDefault="00FC175B">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E539999" w14:textId="77777777" w:rsidR="005F2483" w:rsidRDefault="00FC175B">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8383336"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F117409"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3B9D59CE"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E8B1A31"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597881EC"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7F1D1671"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9F2F9D8"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96792A3" w14:textId="77777777" w:rsidR="005F2483" w:rsidRDefault="00FC175B">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5712F69" w14:textId="77777777" w:rsidR="005F2483" w:rsidRDefault="005F2483">
      <w:pPr>
        <w:pBdr>
          <w:top w:val="nil"/>
          <w:left w:val="nil"/>
          <w:bottom w:val="nil"/>
          <w:right w:val="nil"/>
          <w:between w:val="nil"/>
        </w:pBdr>
        <w:spacing w:before="280" w:after="120"/>
        <w:ind w:left="709"/>
        <w:rPr>
          <w:rFonts w:ascii="Arial" w:eastAsia="Arial" w:hAnsi="Arial" w:cs="Arial"/>
          <w:sz w:val="24"/>
          <w:szCs w:val="24"/>
        </w:rPr>
      </w:pPr>
    </w:p>
    <w:p w14:paraId="5234B1D3" w14:textId="77777777" w:rsidR="005F2483" w:rsidRDefault="00FC175B">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4A96CDF5" w14:textId="77777777" w:rsidR="005F2483" w:rsidRDefault="00FC175B">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66815D6" w14:textId="77777777" w:rsidR="005F2483" w:rsidRDefault="00FC175B">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321A6073" w14:textId="77777777" w:rsidR="005F2483" w:rsidRDefault="00FC175B">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38F2EDF9" w14:textId="77777777" w:rsidR="005F2483" w:rsidRDefault="00FC175B">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AA04D43" w14:textId="77777777" w:rsidR="005F2483" w:rsidRDefault="00FC175B">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52C0DB14" w14:textId="77777777" w:rsidR="005F2483" w:rsidRDefault="005F2483">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5F2483" w14:paraId="394EB7D2" w14:textId="77777777">
        <w:trPr>
          <w:trHeight w:val="700"/>
        </w:trPr>
        <w:tc>
          <w:tcPr>
            <w:tcW w:w="2263" w:type="dxa"/>
            <w:shd w:val="clear" w:color="auto" w:fill="BFBFBF"/>
            <w:vAlign w:val="center"/>
          </w:tcPr>
          <w:p w14:paraId="4BA18301" w14:textId="77777777" w:rsidR="005F2483" w:rsidRDefault="00FC175B">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E2B970E" w14:textId="77777777" w:rsidR="005F2483" w:rsidRDefault="00FC175B">
            <w:pPr>
              <w:jc w:val="center"/>
              <w:rPr>
                <w:rFonts w:ascii="Arial" w:eastAsia="Arial" w:hAnsi="Arial" w:cs="Arial"/>
                <w:b/>
                <w:sz w:val="24"/>
                <w:szCs w:val="24"/>
              </w:rPr>
            </w:pPr>
            <w:r>
              <w:rPr>
                <w:rFonts w:ascii="Arial" w:eastAsia="Arial" w:hAnsi="Arial" w:cs="Arial"/>
                <w:b/>
                <w:sz w:val="24"/>
                <w:szCs w:val="24"/>
              </w:rPr>
              <w:t>Details</w:t>
            </w:r>
          </w:p>
        </w:tc>
      </w:tr>
      <w:tr w:rsidR="005F2483" w14:paraId="04040219" w14:textId="77777777">
        <w:trPr>
          <w:trHeight w:val="1620"/>
        </w:trPr>
        <w:tc>
          <w:tcPr>
            <w:tcW w:w="2263" w:type="dxa"/>
            <w:shd w:val="clear" w:color="auto" w:fill="auto"/>
          </w:tcPr>
          <w:p w14:paraId="1BEED4EC" w14:textId="77777777" w:rsidR="005F2483" w:rsidRDefault="00FC175B">
            <w:pPr>
              <w:rPr>
                <w:rFonts w:ascii="Arial" w:eastAsia="Arial" w:hAnsi="Arial" w:cs="Arial"/>
                <w:sz w:val="24"/>
                <w:szCs w:val="24"/>
              </w:rPr>
            </w:pPr>
            <w:r>
              <w:rPr>
                <w:rFonts w:ascii="Arial" w:eastAsia="Arial" w:hAnsi="Arial" w:cs="Arial"/>
                <w:sz w:val="24"/>
                <w:szCs w:val="24"/>
              </w:rPr>
              <w:t>Identity of Controller and Processor for each Category of Personal Data</w:t>
            </w:r>
          </w:p>
        </w:tc>
        <w:tc>
          <w:tcPr>
            <w:tcW w:w="7423" w:type="dxa"/>
            <w:shd w:val="clear" w:color="auto" w:fill="auto"/>
          </w:tcPr>
          <w:p w14:paraId="346B2F36" w14:textId="77777777" w:rsidR="005F2483" w:rsidRDefault="00FC175B">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EFEFD6B" w14:textId="77777777" w:rsidR="005F2483" w:rsidRDefault="00FC175B">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674C9A55" w14:textId="77777777" w:rsidR="005F2483" w:rsidRDefault="005F2483">
            <w:pPr>
              <w:rPr>
                <w:rFonts w:ascii="Arial" w:eastAsia="Arial" w:hAnsi="Arial" w:cs="Arial"/>
                <w:sz w:val="24"/>
                <w:szCs w:val="24"/>
              </w:rPr>
            </w:pPr>
          </w:p>
          <w:p w14:paraId="00C98C05" w14:textId="77777777" w:rsidR="005F2483" w:rsidRDefault="00FC175B">
            <w:pPr>
              <w:numPr>
                <w:ilvl w:val="0"/>
                <w:numId w:val="7"/>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Authority]</w:t>
            </w:r>
          </w:p>
          <w:p w14:paraId="4F0D46D3" w14:textId="77777777" w:rsidR="005F2483" w:rsidRDefault="005F2483">
            <w:pPr>
              <w:rPr>
                <w:rFonts w:ascii="Arial" w:eastAsia="Arial" w:hAnsi="Arial" w:cs="Arial"/>
                <w:sz w:val="24"/>
                <w:szCs w:val="24"/>
              </w:rPr>
            </w:pPr>
          </w:p>
          <w:p w14:paraId="4B62F088" w14:textId="77777777" w:rsidR="005F2483" w:rsidRDefault="00FC175B">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2DB27B95" w14:textId="77777777" w:rsidR="005F2483" w:rsidRDefault="005F2483">
            <w:pPr>
              <w:rPr>
                <w:rFonts w:ascii="Arial" w:eastAsia="Arial" w:hAnsi="Arial" w:cs="Arial"/>
                <w:i/>
                <w:sz w:val="24"/>
                <w:szCs w:val="24"/>
              </w:rPr>
            </w:pPr>
          </w:p>
          <w:p w14:paraId="333BC55E" w14:textId="77777777" w:rsidR="005F2483" w:rsidRDefault="00FC175B">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170F7082" w14:textId="77777777" w:rsidR="005F2483" w:rsidRDefault="005F2483">
            <w:pPr>
              <w:rPr>
                <w:rFonts w:ascii="Arial" w:eastAsia="Arial" w:hAnsi="Arial" w:cs="Arial"/>
                <w:sz w:val="24"/>
                <w:szCs w:val="24"/>
              </w:rPr>
            </w:pPr>
          </w:p>
          <w:p w14:paraId="465BD809" w14:textId="2FB9EC36" w:rsidR="005F2483" w:rsidRDefault="00FC175B">
            <w:pPr>
              <w:numPr>
                <w:ilvl w:val="0"/>
                <w:numId w:val="7"/>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 xml:space="preserve">the scope of Personal Data which the purposes and means of the Processing by the Relevant </w:t>
            </w:r>
            <w:r w:rsidR="00F0161C">
              <w:rPr>
                <w:rFonts w:ascii="Arial" w:eastAsia="Arial" w:hAnsi="Arial" w:cs="Arial"/>
                <w:i/>
                <w:sz w:val="24"/>
                <w:szCs w:val="24"/>
              </w:rPr>
              <w:t>Authority is</w:t>
            </w:r>
            <w:r>
              <w:rPr>
                <w:rFonts w:ascii="Arial" w:eastAsia="Arial" w:hAnsi="Arial" w:cs="Arial"/>
                <w:i/>
                <w:sz w:val="24"/>
                <w:szCs w:val="24"/>
              </w:rPr>
              <w:t xml:space="preserve"> determined by the Supplier]</w:t>
            </w:r>
          </w:p>
          <w:p w14:paraId="4C7B9C92" w14:textId="77777777" w:rsidR="005F2483" w:rsidRDefault="005F2483">
            <w:pPr>
              <w:rPr>
                <w:rFonts w:ascii="Arial" w:eastAsia="Arial" w:hAnsi="Arial" w:cs="Arial"/>
                <w:sz w:val="24"/>
                <w:szCs w:val="24"/>
                <w:highlight w:val="yellow"/>
              </w:rPr>
            </w:pPr>
          </w:p>
          <w:p w14:paraId="3D327BEF" w14:textId="77777777" w:rsidR="005F2483" w:rsidRDefault="00FC175B">
            <w:pPr>
              <w:rPr>
                <w:rFonts w:ascii="Arial" w:eastAsia="Arial" w:hAnsi="Arial" w:cs="Arial"/>
                <w:b/>
                <w:sz w:val="24"/>
                <w:szCs w:val="24"/>
              </w:rPr>
            </w:pPr>
            <w:r>
              <w:rPr>
                <w:rFonts w:ascii="Arial" w:eastAsia="Arial" w:hAnsi="Arial" w:cs="Arial"/>
                <w:b/>
                <w:sz w:val="24"/>
                <w:szCs w:val="24"/>
              </w:rPr>
              <w:t>The Parties are Joint Controllers</w:t>
            </w:r>
          </w:p>
          <w:p w14:paraId="54C95312" w14:textId="77777777" w:rsidR="005F2483" w:rsidRDefault="005F2483">
            <w:pPr>
              <w:rPr>
                <w:rFonts w:ascii="Arial" w:eastAsia="Arial" w:hAnsi="Arial" w:cs="Arial"/>
                <w:i/>
                <w:sz w:val="24"/>
                <w:szCs w:val="24"/>
              </w:rPr>
            </w:pPr>
          </w:p>
          <w:p w14:paraId="4A84ABCF" w14:textId="77777777" w:rsidR="005F2483" w:rsidRDefault="00FC175B">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5EC00EF8" w14:textId="77777777" w:rsidR="005F2483" w:rsidRDefault="005F2483">
            <w:pPr>
              <w:rPr>
                <w:rFonts w:ascii="Arial" w:eastAsia="Arial" w:hAnsi="Arial" w:cs="Arial"/>
                <w:b/>
                <w:i/>
                <w:sz w:val="24"/>
                <w:szCs w:val="24"/>
                <w:highlight w:val="yellow"/>
              </w:rPr>
            </w:pPr>
          </w:p>
          <w:p w14:paraId="090B3A15" w14:textId="77777777" w:rsidR="005F2483" w:rsidRDefault="00FC175B">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14:paraId="0EBFE005" w14:textId="77777777" w:rsidR="005F2483" w:rsidRDefault="005F2483">
            <w:pPr>
              <w:rPr>
                <w:rFonts w:ascii="Arial" w:eastAsia="Arial" w:hAnsi="Arial" w:cs="Arial"/>
                <w:i/>
                <w:sz w:val="24"/>
                <w:szCs w:val="24"/>
              </w:rPr>
            </w:pPr>
          </w:p>
          <w:p w14:paraId="7201CF9E" w14:textId="77777777" w:rsidR="005F2483" w:rsidRDefault="00FC175B">
            <w:pPr>
              <w:rPr>
                <w:rFonts w:ascii="Arial" w:eastAsia="Arial" w:hAnsi="Arial" w:cs="Arial"/>
                <w:i/>
                <w:sz w:val="24"/>
                <w:szCs w:val="24"/>
              </w:rPr>
            </w:pPr>
            <w:r>
              <w:rPr>
                <w:rFonts w:ascii="Arial" w:eastAsia="Arial" w:hAnsi="Arial" w:cs="Arial"/>
                <w:i/>
                <w:sz w:val="24"/>
                <w:szCs w:val="24"/>
              </w:rPr>
              <w:lastRenderedPageBreak/>
              <w:t xml:space="preserve"> </w:t>
            </w:r>
          </w:p>
          <w:p w14:paraId="4A86DC41" w14:textId="77777777" w:rsidR="005F2483" w:rsidRDefault="00FC175B">
            <w:pPr>
              <w:rPr>
                <w:rFonts w:ascii="Arial" w:eastAsia="Arial" w:hAnsi="Arial" w:cs="Arial"/>
                <w:b/>
                <w:sz w:val="24"/>
                <w:szCs w:val="24"/>
              </w:rPr>
            </w:pPr>
            <w:r>
              <w:rPr>
                <w:rFonts w:ascii="Arial" w:eastAsia="Arial" w:hAnsi="Arial" w:cs="Arial"/>
                <w:b/>
                <w:sz w:val="24"/>
                <w:szCs w:val="24"/>
              </w:rPr>
              <w:t>The Parties are Independent Controllers of Personal Data</w:t>
            </w:r>
          </w:p>
          <w:p w14:paraId="32BC8D32" w14:textId="77777777" w:rsidR="005F2483" w:rsidRDefault="005F2483">
            <w:pPr>
              <w:rPr>
                <w:rFonts w:ascii="Arial" w:eastAsia="Arial" w:hAnsi="Arial" w:cs="Arial"/>
                <w:b/>
                <w:i/>
                <w:sz w:val="24"/>
                <w:szCs w:val="24"/>
                <w:highlight w:val="yellow"/>
              </w:rPr>
            </w:pPr>
          </w:p>
          <w:p w14:paraId="06817A01" w14:textId="77777777" w:rsidR="005F2483" w:rsidRDefault="00FC175B">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30322CBD" w14:textId="77777777" w:rsidR="005F2483" w:rsidRDefault="00FC175B">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0FEB273B" w14:textId="77777777" w:rsidR="005F2483" w:rsidRDefault="00FC175B">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4B4CAA5F" w14:textId="77777777" w:rsidR="005F2483" w:rsidRDefault="00FC175B">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5730D13B" w14:textId="77777777" w:rsidR="005F2483" w:rsidRDefault="00FC175B">
            <w:pPr>
              <w:rPr>
                <w:rFonts w:ascii="Arial" w:eastAsia="Arial" w:hAnsi="Arial" w:cs="Arial"/>
                <w:i/>
                <w:sz w:val="24"/>
                <w:szCs w:val="24"/>
              </w:rPr>
            </w:pPr>
            <w:r>
              <w:rPr>
                <w:rFonts w:ascii="Arial" w:eastAsia="Arial" w:hAnsi="Arial" w:cs="Arial"/>
                <w:i/>
                <w:sz w:val="24"/>
                <w:szCs w:val="24"/>
              </w:rPr>
              <w:t xml:space="preserve"> </w:t>
            </w:r>
          </w:p>
          <w:p w14:paraId="06D7B2A8" w14:textId="77777777" w:rsidR="005F2483" w:rsidRDefault="00FC175B">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1BED91ED" w14:textId="77777777" w:rsidR="005F2483" w:rsidRDefault="005F2483">
            <w:pPr>
              <w:rPr>
                <w:rFonts w:ascii="Arial" w:eastAsia="Arial" w:hAnsi="Arial" w:cs="Arial"/>
                <w:sz w:val="24"/>
                <w:szCs w:val="24"/>
              </w:rPr>
            </w:pPr>
          </w:p>
        </w:tc>
      </w:tr>
      <w:tr w:rsidR="005F2483" w14:paraId="516FFA5C" w14:textId="77777777">
        <w:trPr>
          <w:trHeight w:val="1460"/>
        </w:trPr>
        <w:tc>
          <w:tcPr>
            <w:tcW w:w="2263" w:type="dxa"/>
            <w:shd w:val="clear" w:color="auto" w:fill="auto"/>
          </w:tcPr>
          <w:p w14:paraId="28D13A1F" w14:textId="77777777" w:rsidR="005F2483" w:rsidRDefault="00FC175B">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7DAF8436" w14:textId="77777777" w:rsidR="005F2483" w:rsidRDefault="00FC175B">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5F2483" w14:paraId="0DAFE7F6" w14:textId="77777777">
        <w:trPr>
          <w:trHeight w:val="1520"/>
        </w:trPr>
        <w:tc>
          <w:tcPr>
            <w:tcW w:w="2263" w:type="dxa"/>
            <w:shd w:val="clear" w:color="auto" w:fill="auto"/>
          </w:tcPr>
          <w:p w14:paraId="4FE4873E" w14:textId="77777777" w:rsidR="005F2483" w:rsidRDefault="00FC175B">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0D253DFA" w14:textId="77777777" w:rsidR="005F2483" w:rsidRDefault="00FC175B">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68C75B3C" w14:textId="77777777" w:rsidR="005F2483" w:rsidRDefault="00FC175B">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3040E93" w14:textId="77777777" w:rsidR="005F2483" w:rsidRDefault="00FC175B">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5F2483" w14:paraId="230F9673" w14:textId="77777777">
        <w:trPr>
          <w:trHeight w:val="1400"/>
        </w:trPr>
        <w:tc>
          <w:tcPr>
            <w:tcW w:w="2263" w:type="dxa"/>
            <w:shd w:val="clear" w:color="auto" w:fill="auto"/>
          </w:tcPr>
          <w:p w14:paraId="30627194" w14:textId="77777777" w:rsidR="005F2483" w:rsidRDefault="00FC175B">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BAC10DC" w14:textId="77777777" w:rsidR="005F2483" w:rsidRDefault="00FC175B">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5F2483" w14:paraId="41916DCB" w14:textId="77777777">
        <w:trPr>
          <w:trHeight w:val="1560"/>
        </w:trPr>
        <w:tc>
          <w:tcPr>
            <w:tcW w:w="2263" w:type="dxa"/>
            <w:shd w:val="clear" w:color="auto" w:fill="auto"/>
          </w:tcPr>
          <w:p w14:paraId="280B7B0B" w14:textId="77777777" w:rsidR="005F2483" w:rsidRDefault="00FC175B">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5B7C107D" w14:textId="77777777" w:rsidR="005F2483" w:rsidRDefault="00FC175B">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5F2483" w14:paraId="20D9ECF8" w14:textId="77777777">
        <w:trPr>
          <w:trHeight w:val="1560"/>
        </w:trPr>
        <w:tc>
          <w:tcPr>
            <w:tcW w:w="2263" w:type="dxa"/>
            <w:shd w:val="clear" w:color="auto" w:fill="auto"/>
          </w:tcPr>
          <w:p w14:paraId="032DCB2F" w14:textId="77777777" w:rsidR="005F2483" w:rsidRDefault="00FC175B">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0ED873AA" w14:textId="77777777" w:rsidR="005F2483" w:rsidRDefault="00FC175B">
            <w:pPr>
              <w:rPr>
                <w:rFonts w:ascii="Arial" w:eastAsia="Arial" w:hAnsi="Arial" w:cs="Arial"/>
                <w:i/>
                <w:sz w:val="24"/>
                <w:szCs w:val="24"/>
              </w:rPr>
            </w:pPr>
            <w:r>
              <w:rPr>
                <w:rFonts w:ascii="Arial" w:eastAsia="Arial" w:hAnsi="Arial" w:cs="Arial"/>
                <w:i/>
                <w:sz w:val="24"/>
                <w:szCs w:val="24"/>
              </w:rPr>
              <w:t>[Explain where geographically personal data may be stored or accessed from. Explain the legal gateway you are relying on to export the data e.g. adequacy decision, EU SCCs, UK IDTA. Annex any SCCs or IDTA to this contract]</w:t>
            </w:r>
          </w:p>
        </w:tc>
      </w:tr>
      <w:tr w:rsidR="005F2483" w14:paraId="5A9B6B23" w14:textId="77777777">
        <w:trPr>
          <w:trHeight w:val="1660"/>
        </w:trPr>
        <w:tc>
          <w:tcPr>
            <w:tcW w:w="2263" w:type="dxa"/>
            <w:shd w:val="clear" w:color="auto" w:fill="auto"/>
          </w:tcPr>
          <w:p w14:paraId="6364B704" w14:textId="77777777" w:rsidR="005F2483" w:rsidRDefault="00FC175B">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29CDF4E3" w14:textId="77777777" w:rsidR="005F2483" w:rsidRDefault="00FC175B">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D387989" w14:textId="77777777" w:rsidR="005F2483" w:rsidRDefault="00FC175B">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176A0CE9" w14:textId="77777777" w:rsidR="005F2483" w:rsidRDefault="005F2483">
      <w:pPr>
        <w:rPr>
          <w:rFonts w:ascii="Arial" w:eastAsia="Arial" w:hAnsi="Arial" w:cs="Arial"/>
          <w:b/>
          <w:sz w:val="24"/>
          <w:szCs w:val="24"/>
        </w:rPr>
      </w:pPr>
    </w:p>
    <w:p w14:paraId="5A7E0F66" w14:textId="77777777" w:rsidR="005F2483" w:rsidRDefault="00FC175B">
      <w:pPr>
        <w:rPr>
          <w:rFonts w:ascii="Arial" w:eastAsia="Arial" w:hAnsi="Arial" w:cs="Arial"/>
          <w:b/>
          <w:sz w:val="24"/>
          <w:szCs w:val="24"/>
        </w:rPr>
      </w:pPr>
      <w:r>
        <w:br w:type="page"/>
      </w:r>
    </w:p>
    <w:p w14:paraId="3121A435" w14:textId="77777777" w:rsidR="005F2483" w:rsidRDefault="00FC175B">
      <w:pPr>
        <w:rPr>
          <w:rFonts w:ascii="Arial" w:eastAsia="Arial" w:hAnsi="Arial" w:cs="Arial"/>
          <w:sz w:val="24"/>
          <w:szCs w:val="24"/>
        </w:rPr>
      </w:pPr>
      <w:r>
        <w:rPr>
          <w:rFonts w:ascii="Arial" w:eastAsia="Arial" w:hAnsi="Arial" w:cs="Arial"/>
          <w:b/>
          <w:sz w:val="24"/>
          <w:szCs w:val="24"/>
        </w:rPr>
        <w:lastRenderedPageBreak/>
        <w:t>Annex 2 - Joint Controller Agreement</w:t>
      </w:r>
    </w:p>
    <w:p w14:paraId="72A54B29" w14:textId="77777777" w:rsidR="005F2483" w:rsidRDefault="00FC175B">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A414FCA" w14:textId="77777777" w:rsidR="005F2483" w:rsidRDefault="00FC175B">
      <w:pPr>
        <w:keepNext/>
        <w:rPr>
          <w:rFonts w:ascii="Arial" w:eastAsia="Arial" w:hAnsi="Arial" w:cs="Arial"/>
          <w:sz w:val="24"/>
          <w:szCs w:val="24"/>
        </w:rPr>
      </w:pPr>
      <w:bookmarkStart w:id="16" w:name="_heading=h.gjdgxs" w:colFirst="0" w:colLast="0"/>
      <w:bookmarkEnd w:id="16"/>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469EE7CD" w14:textId="77777777" w:rsidR="005F2483" w:rsidRDefault="00FC175B">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592F8122"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using all reasonable </w:t>
      </w:r>
      <w:proofErr w:type="gramStart"/>
      <w:r>
        <w:rPr>
          <w:rFonts w:ascii="Arial" w:eastAsia="Arial" w:hAnsi="Arial" w:cs="Arial"/>
          <w:sz w:val="24"/>
          <w:szCs w:val="24"/>
          <w:highlight w:val="white"/>
        </w:rPr>
        <w:t>endeavours  to</w:t>
      </w:r>
      <w:proofErr w:type="gramEnd"/>
      <w:r>
        <w:rPr>
          <w:rFonts w:ascii="Arial" w:eastAsia="Arial" w:hAnsi="Arial" w:cs="Arial"/>
          <w:sz w:val="24"/>
          <w:szCs w:val="24"/>
          <w:highlight w:val="white"/>
        </w:rPr>
        <w:t xml:space="preserve"> comply with the UK GDPR regarding the exercise by Data Subjects of their rights under the UK GDPR;</w:t>
      </w:r>
    </w:p>
    <w:p w14:paraId="0E79D124"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7259191B"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5F252881"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2F8FB4E8" w14:textId="77777777" w:rsidR="005F2483" w:rsidRDefault="00FC175B">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14:paraId="371BEC2B" w14:textId="77777777" w:rsidR="005F2483" w:rsidRDefault="00FC175B">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53FF6D3"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41ECE840"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3896B2CC"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085603E5"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66E01C1D"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3EA38004"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2173007B"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53E63F28"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4311BE84" w14:textId="77777777" w:rsidR="005F2483" w:rsidRDefault="00FC175B">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1AC6B7C1"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54842CDF"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DBA44F8" w14:textId="77777777" w:rsidR="005F2483" w:rsidRDefault="00FC175B">
      <w:pPr>
        <w:numPr>
          <w:ilvl w:val="2"/>
          <w:numId w:val="8"/>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1DF4D5C2"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54B92A19"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E90EAE1"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use all reasonable </w:t>
      </w:r>
      <w:proofErr w:type="gramStart"/>
      <w:r>
        <w:rPr>
          <w:rFonts w:ascii="Arial" w:eastAsia="Arial" w:hAnsi="Arial" w:cs="Arial"/>
          <w:sz w:val="24"/>
          <w:szCs w:val="24"/>
        </w:rPr>
        <w:t>endeavours  to</w:t>
      </w:r>
      <w:proofErr w:type="gramEnd"/>
      <w:r>
        <w:rPr>
          <w:rFonts w:ascii="Arial" w:eastAsia="Arial" w:hAnsi="Arial" w:cs="Arial"/>
          <w:sz w:val="24"/>
          <w:szCs w:val="24"/>
        </w:rPr>
        <w:t xml:space="preserve"> ensure the reliability and integrity of any of its Personnel who have access to the Personal Data and ensure that its Personnel:</w:t>
      </w:r>
    </w:p>
    <w:p w14:paraId="788FA5DB"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39DAC6E2"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90C9D8D"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1404EEB6"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1C467058"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5550AA99"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12AD8621"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5FF4B99"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4E03FB7B"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9D381CB"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1226EFA3"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UK GDPR, not transfer such Personal Data outside of the UK unless the prior written consent of the non-transferring Party has been obtained and the following conditions are fulfilled:</w:t>
      </w:r>
    </w:p>
    <w:p w14:paraId="7AC3FE1A"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destination country has been recognised as adequate by the UK government in accordance with Article 45 of the UK GDPR or DPA 2018 Section 74; or</w:t>
      </w:r>
    </w:p>
    <w:p w14:paraId="4BF82CFF"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xml:space="preserve">”), or International Data Transfer Agreement Addendum to the </w:t>
      </w:r>
      <w:r>
        <w:rPr>
          <w:rFonts w:ascii="Arial" w:eastAsia="Arial" w:hAnsi="Arial" w:cs="Arial"/>
          <w:sz w:val="24"/>
          <w:szCs w:val="24"/>
        </w:rPr>
        <w:lastRenderedPageBreak/>
        <w:t xml:space="preserve">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as well as any additional measures;</w:t>
      </w:r>
    </w:p>
    <w:p w14:paraId="0AE30EBA"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14:paraId="43B8B21D"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F95D363"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14:paraId="51DB3011" w14:textId="77777777" w:rsidR="005F2483" w:rsidRDefault="00FC175B">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EU GDPR, not transfer such Personal Data outside of the EU unless the prior written consent of the non-transferring Party has been obtained and the following conditions are fulfilled:</w:t>
      </w:r>
    </w:p>
    <w:p w14:paraId="60CFD15E"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14:paraId="1F9FF125"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55F2E4CB"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14:paraId="62401D1B"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0A97B16" w14:textId="77777777" w:rsidR="005F2483" w:rsidRDefault="00FC175B">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14:paraId="10E3D283"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w:t>
      </w:r>
      <w:r>
        <w:rPr>
          <w:rFonts w:ascii="Arial" w:eastAsia="Arial" w:hAnsi="Arial" w:cs="Arial"/>
          <w:color w:val="000000"/>
          <w:sz w:val="24"/>
          <w:szCs w:val="24"/>
        </w:rPr>
        <w:lastRenderedPageBreak/>
        <w:t>reasonably to have been aware, that the same would be a breach of such obligations.</w:t>
      </w:r>
    </w:p>
    <w:p w14:paraId="0F0FA510"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663C1680"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A38157A" w14:textId="77777777" w:rsidR="005F2483" w:rsidRDefault="00FC175B">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449CAF27" w14:textId="77777777" w:rsidR="005F2483" w:rsidRDefault="00FC175B">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49F85019" w14:textId="77777777" w:rsidR="005F2483" w:rsidRDefault="00FC175B">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6259C42" w14:textId="77777777" w:rsidR="005F2483" w:rsidRDefault="00FC175B">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w:t>
      </w:r>
      <w:proofErr w:type="gramStart"/>
      <w:r>
        <w:rPr>
          <w:rFonts w:ascii="Arial" w:eastAsia="Arial" w:hAnsi="Arial" w:cs="Arial"/>
          <w:sz w:val="24"/>
          <w:szCs w:val="24"/>
        </w:rPr>
        <w:t>including  using</w:t>
      </w:r>
      <w:proofErr w:type="gramEnd"/>
      <w:r>
        <w:rPr>
          <w:rFonts w:ascii="Arial" w:eastAsia="Arial" w:hAnsi="Arial" w:cs="Arial"/>
          <w:sz w:val="24"/>
          <w:szCs w:val="24"/>
        </w:rPr>
        <w:t xml:space="preserve"> such reasonable endeavours  as are directed by the other Party to assist in the investigation, mitigation and remediation of a Personal Data Breach;</w:t>
      </w:r>
    </w:p>
    <w:p w14:paraId="7BE86D42" w14:textId="77777777" w:rsidR="005F2483" w:rsidRDefault="00FC175B">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1EB482A7" w14:textId="77777777" w:rsidR="005F2483" w:rsidRDefault="00FC175B">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E04F5F2"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5BFE02" w14:textId="77777777" w:rsidR="005F2483" w:rsidRDefault="00FC175B">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372C7C4D" w14:textId="77777777" w:rsidR="005F2483" w:rsidRDefault="00FC175B">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40A96D44" w14:textId="77777777" w:rsidR="005F2483" w:rsidRDefault="00FC175B">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3ED194A2" w14:textId="77777777" w:rsidR="005F2483" w:rsidRDefault="00FC175B">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name and contact details of the Supplier’s Data Protection Officer or other relevant contact from whom more information may be obtained;</w:t>
      </w:r>
    </w:p>
    <w:p w14:paraId="093FD6E8" w14:textId="77777777" w:rsidR="005F2483" w:rsidRDefault="00FC175B">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712443C4" w14:textId="77777777" w:rsidR="005F2483" w:rsidRDefault="00FC175B">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1748ACF8"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5A2055D2"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25894E2E" w14:textId="77777777" w:rsidR="005F2483" w:rsidRDefault="00FC175B">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F88FBFA" w14:textId="77777777" w:rsidR="005F2483" w:rsidRDefault="00FC175B">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5376150" w14:textId="77777777" w:rsidR="005F2483" w:rsidRDefault="005F2483">
      <w:pPr>
        <w:pBdr>
          <w:top w:val="nil"/>
          <w:left w:val="nil"/>
          <w:bottom w:val="nil"/>
          <w:right w:val="nil"/>
          <w:between w:val="nil"/>
        </w:pBdr>
        <w:spacing w:before="280" w:after="120" w:line="240" w:lineRule="auto"/>
        <w:jc w:val="both"/>
        <w:rPr>
          <w:rFonts w:ascii="Arial" w:eastAsia="Arial" w:hAnsi="Arial" w:cs="Arial"/>
          <w:sz w:val="24"/>
          <w:szCs w:val="24"/>
        </w:rPr>
      </w:pPr>
    </w:p>
    <w:p w14:paraId="189D1C72"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5E5907D8"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188EDFC9"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C2BCE3A" w14:textId="77777777" w:rsidR="005F2483" w:rsidRDefault="00FC175B">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7793675A" w14:textId="77777777" w:rsidR="005F2483" w:rsidRDefault="005F2483">
      <w:pPr>
        <w:pBdr>
          <w:top w:val="nil"/>
          <w:left w:val="nil"/>
          <w:bottom w:val="nil"/>
          <w:right w:val="nil"/>
          <w:between w:val="nil"/>
        </w:pBdr>
        <w:spacing w:after="80"/>
        <w:ind w:left="11"/>
        <w:rPr>
          <w:rFonts w:ascii="Arial" w:eastAsia="Arial" w:hAnsi="Arial" w:cs="Arial"/>
          <w:sz w:val="24"/>
          <w:szCs w:val="24"/>
        </w:rPr>
      </w:pPr>
    </w:p>
    <w:p w14:paraId="6CF0D131" w14:textId="77777777" w:rsidR="005F2483" w:rsidRDefault="00FC175B">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6D963B69" w14:textId="77777777" w:rsidR="005F2483" w:rsidRDefault="005F2483">
      <w:pPr>
        <w:keepNext/>
        <w:rPr>
          <w:rFonts w:ascii="Arial" w:eastAsia="Arial" w:hAnsi="Arial" w:cs="Arial"/>
          <w:sz w:val="24"/>
          <w:szCs w:val="24"/>
        </w:rPr>
      </w:pPr>
    </w:p>
    <w:p w14:paraId="377219AA"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2F4F659A" w14:textId="77777777" w:rsidR="005F2483" w:rsidRDefault="00FC175B">
      <w:pPr>
        <w:ind w:left="720"/>
        <w:rPr>
          <w:rFonts w:ascii="Arial" w:eastAsia="Arial" w:hAnsi="Arial" w:cs="Arial"/>
          <w:sz w:val="24"/>
          <w:szCs w:val="24"/>
        </w:rPr>
      </w:pPr>
      <w:r>
        <w:rPr>
          <w:rFonts w:ascii="Arial" w:eastAsia="Arial" w:hAnsi="Arial" w:cs="Arial"/>
          <w:sz w:val="24"/>
          <w:szCs w:val="24"/>
        </w:rPr>
        <w:t xml:space="preserve">The Parties agree to take account of any non-mandatory guidance issued by the Information Commissioner, any relevant Central Government Body and/or </w:t>
      </w:r>
      <w:r>
        <w:rPr>
          <w:rFonts w:ascii="Arial" w:eastAsia="Arial" w:hAnsi="Arial" w:cs="Arial"/>
          <w:sz w:val="24"/>
          <w:szCs w:val="24"/>
        </w:rPr>
        <w:lastRenderedPageBreak/>
        <w:t>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14:paraId="13F98C6E"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2AA0467B"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bookmarkStart w:id="17" w:name="_GoBack"/>
      <w:bookmarkEnd w:id="17"/>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61BC9BD9" w14:textId="77777777" w:rsidR="005F2483" w:rsidRDefault="00FC175B">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1BB3B265" w14:textId="77777777" w:rsidR="005F2483" w:rsidRDefault="00FC175B">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7CF8902" w14:textId="77777777" w:rsidR="005F2483" w:rsidRDefault="00FC175B">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FC7F408"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4E9BCBC"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In respect of any losses, cost claims or expenses incurred by either Party as a result of a Personal Data Breach (the “Claim Losses”):</w:t>
      </w:r>
    </w:p>
    <w:p w14:paraId="55FA4C5E" w14:textId="77777777" w:rsidR="005F2483" w:rsidRDefault="00FC175B">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7E508457" w14:textId="77777777" w:rsidR="005F2483" w:rsidRDefault="00FC175B">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71F207C5" w14:textId="77777777" w:rsidR="005F2483" w:rsidRDefault="00FC175B">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283CAAF0"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A76738F"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6D3BFB87" w14:textId="77777777" w:rsidR="005F2483" w:rsidRDefault="00FC175B">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12D6E4B"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36ECFDA7" w14:textId="77777777" w:rsidR="005F2483" w:rsidRDefault="00FC175B">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3CCBB14E" w14:textId="77777777" w:rsidR="005F2483" w:rsidRDefault="00FC175B">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6D5DDBAB" w14:textId="77777777" w:rsidR="005F2483" w:rsidRDefault="00FC175B">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07289CC" w14:textId="77777777" w:rsidR="005F2483" w:rsidRDefault="00FC175B">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51D2364" w14:textId="77777777" w:rsidR="005F2483" w:rsidRDefault="00FC175B">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49E3635B" w14:textId="77777777" w:rsidR="005F2483" w:rsidRDefault="005F2483">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33678475" w14:textId="77777777" w:rsidR="005F2483" w:rsidRDefault="005F2483">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5F2483">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7E74E" w14:textId="77777777" w:rsidR="00F26D9D" w:rsidRDefault="00F26D9D">
      <w:pPr>
        <w:spacing w:after="0" w:line="240" w:lineRule="auto"/>
      </w:pPr>
      <w:r>
        <w:separator/>
      </w:r>
    </w:p>
  </w:endnote>
  <w:endnote w:type="continuationSeparator" w:id="0">
    <w:p w14:paraId="654CA955" w14:textId="77777777" w:rsidR="00F26D9D" w:rsidRDefault="00F2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558A" w14:textId="04D18258" w:rsidR="005F2483" w:rsidRDefault="00F3502A">
    <w:pPr>
      <w:tabs>
        <w:tab w:val="center" w:pos="4513"/>
        <w:tab w:val="right" w:pos="9026"/>
      </w:tabs>
      <w:spacing w:after="0"/>
      <w:rPr>
        <w:rFonts w:ascii="Arial" w:eastAsia="Arial" w:hAnsi="Arial" w:cs="Arial"/>
        <w:sz w:val="20"/>
        <w:szCs w:val="20"/>
      </w:rPr>
    </w:pPr>
    <w:r w:rsidRPr="00F3502A">
      <w:rPr>
        <w:rFonts w:ascii="Arial" w:eastAsia="Arial" w:hAnsi="Arial" w:cs="Arial"/>
        <w:sz w:val="20"/>
        <w:szCs w:val="20"/>
      </w:rPr>
      <w:t>Framework Ref: RM6289 Provision of Power Purchase Agreement</w:t>
    </w:r>
    <w:r w:rsidR="00FC175B">
      <w:rPr>
        <w:rFonts w:ascii="Arial" w:eastAsia="Arial" w:hAnsi="Arial" w:cs="Arial"/>
        <w:sz w:val="20"/>
        <w:szCs w:val="20"/>
      </w:rPr>
      <w:tab/>
      <w:t xml:space="preserve">                                           </w:t>
    </w:r>
  </w:p>
  <w:p w14:paraId="30E7744A" w14:textId="77777777" w:rsidR="005F2483" w:rsidRDefault="00FC17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3A64F69A" w14:textId="77777777" w:rsidR="005F2483" w:rsidRDefault="00FC175B">
    <w:pPr>
      <w:spacing w:after="0"/>
    </w:pPr>
    <w:r>
      <w:rPr>
        <w:rFonts w:ascii="Arial" w:eastAsia="Arial" w:hAnsi="Arial" w:cs="Arial"/>
        <w:sz w:val="20"/>
        <w:szCs w:val="20"/>
      </w:rPr>
      <w:t>Model Version: v4.7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7665" w14:textId="77777777" w:rsidR="005F2483" w:rsidRDefault="00FC175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650EFE4" w14:textId="77777777" w:rsidR="005F2483" w:rsidRDefault="00FC17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6A0FA038" w14:textId="77777777" w:rsidR="005F2483" w:rsidRDefault="00FC175B">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8BBB1" w14:textId="77777777" w:rsidR="00F26D9D" w:rsidRDefault="00F26D9D">
      <w:pPr>
        <w:spacing w:after="0" w:line="240" w:lineRule="auto"/>
      </w:pPr>
      <w:r>
        <w:separator/>
      </w:r>
    </w:p>
  </w:footnote>
  <w:footnote w:type="continuationSeparator" w:id="0">
    <w:p w14:paraId="3A29E9C0" w14:textId="77777777" w:rsidR="00F26D9D" w:rsidRDefault="00F26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10FD" w14:textId="77777777" w:rsidR="005F2483" w:rsidRDefault="00FC175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1A26A7AF" w14:textId="5C6E47F0" w:rsidR="005F2483" w:rsidRDefault="00FC17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sidR="004A60D2">
      <w:rPr>
        <w:rFonts w:ascii="Arial" w:eastAsia="Arial" w:hAnsi="Arial" w:cs="Arial"/>
        <w:color w:val="000000"/>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1F15" w14:textId="77777777" w:rsidR="005F2483" w:rsidRDefault="00FC175B">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65333F9" wp14:editId="40FD811E">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315F"/>
    <w:multiLevelType w:val="multilevel"/>
    <w:tmpl w:val="AC8E796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1CFE6EDD"/>
    <w:multiLevelType w:val="multilevel"/>
    <w:tmpl w:val="B5809D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ED34DB6"/>
    <w:multiLevelType w:val="multilevel"/>
    <w:tmpl w:val="FBA47DDA"/>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A3728A"/>
    <w:multiLevelType w:val="multilevel"/>
    <w:tmpl w:val="F3B87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062C57"/>
    <w:multiLevelType w:val="multilevel"/>
    <w:tmpl w:val="92847D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0625B61"/>
    <w:multiLevelType w:val="multilevel"/>
    <w:tmpl w:val="CC9270D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0CC3FA1"/>
    <w:multiLevelType w:val="multilevel"/>
    <w:tmpl w:val="7354FA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37557AEB"/>
    <w:multiLevelType w:val="multilevel"/>
    <w:tmpl w:val="9F18C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0341AB"/>
    <w:multiLevelType w:val="multilevel"/>
    <w:tmpl w:val="E7B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771862"/>
    <w:multiLevelType w:val="multilevel"/>
    <w:tmpl w:val="4EA6AAD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5392536"/>
    <w:multiLevelType w:val="multilevel"/>
    <w:tmpl w:val="660AE54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4A6794A"/>
    <w:multiLevelType w:val="multilevel"/>
    <w:tmpl w:val="AA78514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684D20C2"/>
    <w:multiLevelType w:val="multilevel"/>
    <w:tmpl w:val="BA4C950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1B3248D"/>
    <w:multiLevelType w:val="multilevel"/>
    <w:tmpl w:val="E2E4EC56"/>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3"/>
  </w:num>
  <w:num w:numId="2">
    <w:abstractNumId w:val="1"/>
  </w:num>
  <w:num w:numId="3">
    <w:abstractNumId w:val="7"/>
  </w:num>
  <w:num w:numId="4">
    <w:abstractNumId w:val="3"/>
  </w:num>
  <w:num w:numId="5">
    <w:abstractNumId w:val="10"/>
  </w:num>
  <w:num w:numId="6">
    <w:abstractNumId w:val="9"/>
  </w:num>
  <w:num w:numId="7">
    <w:abstractNumId w:val="8"/>
  </w:num>
  <w:num w:numId="8">
    <w:abstractNumId w:val="6"/>
  </w:num>
  <w:num w:numId="9">
    <w:abstractNumId w:val="11"/>
  </w:num>
  <w:num w:numId="10">
    <w:abstractNumId w:val="12"/>
  </w:num>
  <w:num w:numId="11">
    <w:abstractNumId w:val="0"/>
  </w:num>
  <w:num w:numId="12">
    <w:abstractNumId w:val="4"/>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83"/>
    <w:rsid w:val="001B1039"/>
    <w:rsid w:val="004A60D2"/>
    <w:rsid w:val="005F2483"/>
    <w:rsid w:val="007C4938"/>
    <w:rsid w:val="007D5614"/>
    <w:rsid w:val="00CB50DF"/>
    <w:rsid w:val="00F0161C"/>
    <w:rsid w:val="00F26D9D"/>
    <w:rsid w:val="00F3502A"/>
    <w:rsid w:val="00FC17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1E5D9"/>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rFonts w:ascii="Arial" w:hAnsi="Arial" w:cs="Arial"/>
      <w:color w:val="000000"/>
      <w:sz w:val="24"/>
      <w:szCs w:val="24"/>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JVRkrgBm0FrxfTeu0LAjljnJQ==">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yITEyMllpemxLcGlyNzIyNGVHakZkNTRKTlQxUUNjSnJJ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6160</Words>
  <Characters>35112</Characters>
  <Application>Microsoft Office Word</Application>
  <DocSecurity>0</DocSecurity>
  <Lines>292</Lines>
  <Paragraphs>82</Paragraphs>
  <ScaleCrop>false</ScaleCrop>
  <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Christopher Lowe</cp:lastModifiedBy>
  <cp:revision>3</cp:revision>
  <dcterms:created xsi:type="dcterms:W3CDTF">2024-08-09T11:58:00Z</dcterms:created>
  <dcterms:modified xsi:type="dcterms:W3CDTF">2024-10-11T11:57:00Z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iManageFooter">
    <vt:lpwstr>#109517352v2&lt;L_LIVE_EMEA1&gt; - PPA v3.0 (Joint Schedule 11 Processing Data v4.7)</vt:lpwstr>
  </property>
</Properties>
</file>