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64FE0" w:rsidRDefault="00C91E8E" w:rsidP="00411B60">
      <w:pPr>
        <w:keepNext/>
        <w:spacing w:before="120" w:after="120" w:line="240" w:lineRule="auto"/>
        <w:rPr>
          <w:rFonts w:eastAsia="Arial"/>
          <w:b/>
          <w:sz w:val="36"/>
          <w:szCs w:val="36"/>
        </w:rPr>
      </w:pPr>
      <w:r>
        <w:rPr>
          <w:rFonts w:eastAsia="Arial"/>
          <w:b/>
          <w:sz w:val="36"/>
          <w:szCs w:val="36"/>
        </w:rPr>
        <w:t xml:space="preserve">Call-Off Schedule 18 (Background Checks) </w:t>
      </w:r>
    </w:p>
    <w:p w14:paraId="1E71F5A7" w14:textId="77777777" w:rsidR="00A67615" w:rsidRDefault="00A67615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</w:p>
    <w:p w14:paraId="00000002" w14:textId="369C1F85" w:rsidR="00F64FE0" w:rsidRPr="00BA1102" w:rsidRDefault="008D3736" w:rsidP="00411B6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 w:after="120" w:line="240" w:lineRule="auto"/>
        <w:rPr>
          <w:rFonts w:eastAsia="Arial Bold"/>
          <w:b/>
          <w:i/>
          <w:color w:val="000000" w:themeColor="text1"/>
          <w:highlight w:val="yellow"/>
        </w:rPr>
      </w:pPr>
      <w:r w:rsidRPr="00BA1102">
        <w:rPr>
          <w:rFonts w:eastAsia="Arial Bold"/>
          <w:b/>
          <w:i/>
          <w:color w:val="000000" w:themeColor="text1"/>
          <w:highlight w:val="yellow"/>
        </w:rPr>
        <w:t xml:space="preserve">[Buyer </w:t>
      </w:r>
      <w:r w:rsidR="00237588" w:rsidRPr="00BA1102">
        <w:rPr>
          <w:rFonts w:eastAsia="Arial Bold"/>
          <w:b/>
          <w:i/>
          <w:color w:val="000000" w:themeColor="text1"/>
          <w:highlight w:val="yellow"/>
        </w:rPr>
        <w:t xml:space="preserve">Guidance: </w:t>
      </w:r>
      <w:r w:rsidR="00C91E8E" w:rsidRPr="00BA1102">
        <w:rPr>
          <w:rFonts w:eastAsia="Arial Bold"/>
          <w:b/>
          <w:i/>
          <w:color w:val="000000" w:themeColor="text1"/>
          <w:highlight w:val="yellow"/>
        </w:rPr>
        <w:t>When you should use this Schedule</w:t>
      </w:r>
      <w:r w:rsidR="00BA1102" w:rsidRPr="00BA1102">
        <w:rPr>
          <w:rFonts w:eastAsia="Arial Bold"/>
          <w:b/>
          <w:i/>
          <w:color w:val="000000" w:themeColor="text1"/>
          <w:highlight w:val="yellow"/>
        </w:rPr>
        <w:t>.</w:t>
      </w:r>
    </w:p>
    <w:p w14:paraId="00000003" w14:textId="4EF76EDC" w:rsidR="00F64FE0" w:rsidRPr="00BA1102" w:rsidRDefault="00C91E8E" w:rsidP="00411B60">
      <w:pPr>
        <w:autoSpaceDE w:val="0"/>
        <w:autoSpaceDN w:val="0"/>
        <w:adjustRightInd w:val="0"/>
        <w:spacing w:before="120" w:after="120" w:line="240" w:lineRule="auto"/>
        <w:rPr>
          <w:b/>
          <w:i/>
          <w:color w:val="000000" w:themeColor="text1"/>
          <w:highlight w:val="yellow"/>
        </w:rPr>
      </w:pPr>
      <w:r w:rsidRPr="00BA1102">
        <w:rPr>
          <w:rFonts w:eastAsia="Arial"/>
          <w:b/>
          <w:i/>
          <w:color w:val="000000" w:themeColor="text1"/>
          <w:highlight w:val="yellow"/>
        </w:rPr>
        <w:t xml:space="preserve">This Schedule should be used where Supplier Staff </w:t>
      </w:r>
      <w:r w:rsidR="00237588" w:rsidRPr="00BA1102">
        <w:rPr>
          <w:b/>
          <w:i/>
          <w:color w:val="000000" w:themeColor="text1"/>
          <w:highlight w:val="yellow"/>
        </w:rPr>
        <w:t>involved in the performance of this Contract will, or is likely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 xml:space="preserve">to, have access to children, vulnerable </w:t>
      </w:r>
      <w:r w:rsidR="008D3736" w:rsidRPr="00BA1102">
        <w:rPr>
          <w:b/>
          <w:i/>
          <w:color w:val="000000" w:themeColor="text1"/>
          <w:highlight w:val="yellow"/>
        </w:rPr>
        <w:t xml:space="preserve">persons or other members of the </w:t>
      </w:r>
      <w:r w:rsidR="00237588" w:rsidRPr="00BA1102">
        <w:rPr>
          <w:b/>
          <w:i/>
          <w:color w:val="000000" w:themeColor="text1"/>
          <w:highlight w:val="yellow"/>
        </w:rPr>
        <w:t>public to</w:t>
      </w:r>
      <w:r w:rsidR="008D3736" w:rsidRPr="00BA1102">
        <w:rPr>
          <w:b/>
          <w:i/>
          <w:color w:val="000000" w:themeColor="text1"/>
          <w:highlight w:val="yellow"/>
        </w:rPr>
        <w:t xml:space="preserve"> </w:t>
      </w:r>
      <w:r w:rsidR="00237588" w:rsidRPr="00BA1102">
        <w:rPr>
          <w:b/>
          <w:i/>
          <w:color w:val="000000" w:themeColor="text1"/>
          <w:highlight w:val="yellow"/>
        </w:rPr>
        <w:t>whom the Buyer owes a special duty of care.</w:t>
      </w:r>
      <w:r w:rsidR="008D3736" w:rsidRPr="00BA1102">
        <w:rPr>
          <w:b/>
          <w:i/>
          <w:color w:val="000000" w:themeColor="text1"/>
          <w:highlight w:val="yellow"/>
        </w:rPr>
        <w:t>]</w:t>
      </w:r>
    </w:p>
    <w:p w14:paraId="00000004" w14:textId="77777777" w:rsidR="00F64FE0" w:rsidRPr="00BA1102" w:rsidRDefault="00C91E8E" w:rsidP="00BA110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"/>
          <w:b/>
          <w:smallCaps/>
          <w:color w:val="000000"/>
        </w:rPr>
      </w:pPr>
      <w:bookmarkStart w:id="0" w:name="_heading=h.gjdgxs" w:colFirst="0" w:colLast="0"/>
      <w:bookmarkEnd w:id="0"/>
      <w:r w:rsidRPr="00BA1102">
        <w:rPr>
          <w:rFonts w:eastAsia="Arial Bold"/>
          <w:b/>
          <w:color w:val="000000"/>
        </w:rPr>
        <w:t>Definitions</w:t>
      </w:r>
    </w:p>
    <w:p w14:paraId="4AC1E6C2" w14:textId="386291F3" w:rsidR="002B188E" w:rsidRPr="00BA1102" w:rsidRDefault="002B188E" w:rsidP="00411B60">
      <w:pPr>
        <w:pStyle w:val="GPSL1CLAUSEHEADING"/>
        <w:numPr>
          <w:ilvl w:val="0"/>
          <w:numId w:val="0"/>
        </w:numPr>
        <w:spacing w:before="120"/>
        <w:ind w:left="426"/>
        <w:rPr>
          <w:rFonts w:eastAsia="Arial"/>
          <w:b w:val="0"/>
          <w:caps w:val="0"/>
          <w:color w:val="000000" w:themeColor="text1"/>
          <w:lang w:eastAsia="en-GB"/>
        </w:rPr>
      </w:pPr>
      <w:r w:rsidRPr="00BA1102">
        <w:rPr>
          <w:rFonts w:eastAsia="Arial"/>
          <w:b w:val="0"/>
          <w:caps w:val="0"/>
          <w:color w:val="000000" w:themeColor="text1"/>
          <w:lang w:eastAsia="en-GB"/>
        </w:rPr>
        <w:t xml:space="preserve">In this Schedule, the following words shall have the following meanings and they shall supplement Schedule 1 </w:t>
      </w:r>
      <w:r w:rsidRPr="00BA1102">
        <w:rPr>
          <w:rFonts w:eastAsia="Arial"/>
          <w:b w:val="0"/>
          <w:i/>
          <w:caps w:val="0"/>
          <w:color w:val="000000" w:themeColor="text1"/>
          <w:lang w:eastAsia="en-GB"/>
        </w:rPr>
        <w:t>(Definitions)</w:t>
      </w:r>
      <w:r w:rsidRPr="00BA1102">
        <w:rPr>
          <w:rFonts w:eastAsia="Arial"/>
          <w:b w:val="0"/>
          <w:caps w:val="0"/>
          <w:color w:val="000000" w:themeColor="text1"/>
          <w:lang w:eastAsia="en-GB"/>
        </w:rPr>
        <w:t>:</w:t>
      </w:r>
    </w:p>
    <w:p w14:paraId="00000005" w14:textId="5BE933B5" w:rsidR="00F64FE0" w:rsidRPr="00BA1102" w:rsidRDefault="00C91E8E" w:rsidP="00BA1102">
      <w:pPr>
        <w:spacing w:before="120" w:after="120" w:line="240" w:lineRule="auto"/>
        <w:ind w:left="3596" w:hanging="3170"/>
        <w:rPr>
          <w:rFonts w:eastAsia="Arial"/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>“Relevant Conviction”</w:t>
      </w:r>
      <w:r w:rsidRPr="00BA1102">
        <w:rPr>
          <w:rFonts w:eastAsia="Arial"/>
          <w:color w:val="000000" w:themeColor="text1"/>
        </w:rPr>
        <w:t xml:space="preserve"> </w:t>
      </w:r>
      <w:r w:rsidR="00BA1102" w:rsidRPr="00BA1102">
        <w:rPr>
          <w:rFonts w:eastAsia="Arial"/>
          <w:color w:val="000000" w:themeColor="text1"/>
        </w:rPr>
        <w:tab/>
      </w:r>
      <w:r w:rsidR="00237588" w:rsidRPr="00BA1102">
        <w:rPr>
          <w:rFonts w:eastAsia="Arial"/>
          <w:color w:val="000000" w:themeColor="text1"/>
        </w:rPr>
        <w:t xml:space="preserve">for the purposes of this Call-Off Schedule 18 </w:t>
      </w:r>
      <w:r w:rsidR="00237588"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any conviction listed in Annex 1 to this Schedule</w:t>
      </w:r>
      <w:r w:rsidR="002B188E" w:rsidRPr="00BA1102">
        <w:rPr>
          <w:rFonts w:eastAsia="Arial"/>
          <w:color w:val="000000" w:themeColor="text1"/>
        </w:rPr>
        <w:t>; and</w:t>
      </w:r>
      <w:r w:rsidRPr="00BA1102">
        <w:rPr>
          <w:rFonts w:eastAsia="Arial"/>
          <w:color w:val="000000" w:themeColor="text1"/>
        </w:rPr>
        <w:t xml:space="preserve"> </w:t>
      </w:r>
    </w:p>
    <w:p w14:paraId="3AE84A8B" w14:textId="54755E9A" w:rsidR="00237588" w:rsidRPr="00BA1102" w:rsidRDefault="00237588" w:rsidP="00BA1102">
      <w:pPr>
        <w:autoSpaceDE w:val="0"/>
        <w:autoSpaceDN w:val="0"/>
        <w:adjustRightInd w:val="0"/>
        <w:spacing w:before="120" w:after="120" w:line="240" w:lineRule="auto"/>
        <w:ind w:left="3596" w:hanging="3170"/>
        <w:rPr>
          <w:color w:val="000000" w:themeColor="text1"/>
        </w:rPr>
      </w:pPr>
      <w:r w:rsidRPr="00BA1102">
        <w:rPr>
          <w:rFonts w:eastAsia="Arial"/>
          <w:b/>
          <w:color w:val="000000" w:themeColor="text1"/>
        </w:rPr>
        <w:t xml:space="preserve">"Relevant Role" </w:t>
      </w:r>
      <w:r w:rsidR="00BA1102" w:rsidRPr="00BA1102">
        <w:rPr>
          <w:rFonts w:eastAsia="Arial"/>
          <w:b/>
          <w:color w:val="000000" w:themeColor="text1"/>
        </w:rPr>
        <w:tab/>
      </w:r>
      <w:r w:rsidR="00BA1102" w:rsidRPr="00BA1102">
        <w:rPr>
          <w:rFonts w:eastAsia="Arial"/>
          <w:b/>
          <w:color w:val="000000" w:themeColor="text1"/>
        </w:rPr>
        <w:tab/>
      </w:r>
      <w:r w:rsidRPr="00BA1102">
        <w:rPr>
          <w:rFonts w:eastAsia="Arial"/>
          <w:color w:val="000000" w:themeColor="text1"/>
        </w:rPr>
        <w:t>an</w:t>
      </w:r>
      <w:r w:rsidRPr="00BA1102">
        <w:rPr>
          <w:rFonts w:eastAsia="Arial"/>
          <w:b/>
          <w:color w:val="000000" w:themeColor="text1"/>
        </w:rPr>
        <w:t xml:space="preserve"> </w:t>
      </w:r>
      <w:r w:rsidRPr="00BA1102">
        <w:rPr>
          <w:color w:val="000000" w:themeColor="text1"/>
        </w:rPr>
        <w:t>activity inv</w:t>
      </w:r>
      <w:r w:rsidR="00BA1102" w:rsidRPr="00BA1102">
        <w:rPr>
          <w:color w:val="000000" w:themeColor="text1"/>
        </w:rPr>
        <w:t>olved in the performance of the</w:t>
      </w:r>
      <w:r w:rsidRPr="00BA1102">
        <w:rPr>
          <w:color w:val="000000" w:themeColor="text1"/>
        </w:rPr>
        <w:t xml:space="preserve"> Contract in which the individual performing that role will, or is likely to, have access to children, vulnerable persons or other members of the public to whom the Buyer owes a special duty of care, as notified by the Buyer to the Supplier.</w:t>
      </w:r>
    </w:p>
    <w:p w14:paraId="1BD6F9E6" w14:textId="060EC58D" w:rsidR="00237588" w:rsidRPr="00BA1102" w:rsidRDefault="00237588" w:rsidP="00BA11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Relationship with other provisions in Contract</w:t>
      </w:r>
    </w:p>
    <w:p w14:paraId="15A94A7E" w14:textId="7B7AA83D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 xml:space="preserve">The provisions of this </w:t>
      </w:r>
      <w:r w:rsidRPr="00BA1102">
        <w:rPr>
          <w:rFonts w:eastAsia="Arial"/>
          <w:color w:val="000000" w:themeColor="text1"/>
        </w:rPr>
        <w:t xml:space="preserve">Call-Off Schedule 18 </w:t>
      </w:r>
      <w:r w:rsidRPr="00BA1102">
        <w:rPr>
          <w:rFonts w:eastAsia="Arial"/>
          <w:i/>
          <w:color w:val="000000" w:themeColor="text1"/>
        </w:rPr>
        <w:t>(Background Checks)</w:t>
      </w:r>
      <w:r w:rsidRPr="00BA1102">
        <w:rPr>
          <w:rFonts w:eastAsia="Arial"/>
          <w:color w:val="000000" w:themeColor="text1"/>
        </w:rPr>
        <w:t xml:space="preserve"> </w:t>
      </w:r>
      <w:r w:rsidRPr="00BA1102">
        <w:rPr>
          <w:color w:val="000000" w:themeColor="text1"/>
        </w:rPr>
        <w:t>apply in addition</w:t>
      </w:r>
      <w:r w:rsidR="00BA1102" w:rsidRPr="00BA1102">
        <w:rPr>
          <w:color w:val="000000" w:themeColor="text1"/>
        </w:rPr>
        <w:t xml:space="preserve"> to any other provisions of the</w:t>
      </w:r>
      <w:r w:rsidRPr="00BA1102">
        <w:rPr>
          <w:color w:val="000000" w:themeColor="text1"/>
        </w:rPr>
        <w:t xml:space="preserve"> Contract relating to the vetting of Supplier Staff.</w:t>
      </w:r>
    </w:p>
    <w:p w14:paraId="00000006" w14:textId="198AA041" w:rsidR="00F64FE0" w:rsidRPr="00BA1102" w:rsidRDefault="00C91E8E" w:rsidP="00411B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 w:line="240" w:lineRule="auto"/>
        <w:ind w:left="426" w:hanging="426"/>
        <w:rPr>
          <w:rFonts w:eastAsia="Arial Bold"/>
          <w:b/>
          <w:color w:val="000000" w:themeColor="text1"/>
        </w:rPr>
      </w:pPr>
      <w:r w:rsidRPr="00BA1102">
        <w:rPr>
          <w:rFonts w:eastAsia="Arial Bold"/>
          <w:b/>
          <w:color w:val="000000" w:themeColor="text1"/>
        </w:rPr>
        <w:t>Relevant Convictions</w:t>
      </w:r>
      <w:r w:rsidR="00237588" w:rsidRPr="00BA1102">
        <w:rPr>
          <w:rFonts w:eastAsia="Arial Bold"/>
          <w:b/>
          <w:color w:val="000000" w:themeColor="text1"/>
        </w:rPr>
        <w:t xml:space="preserve"> and inappropriate records</w:t>
      </w:r>
    </w:p>
    <w:p w14:paraId="1F17BB05" w14:textId="33A7EA66" w:rsidR="00237588" w:rsidRPr="00BA1102" w:rsidRDefault="00237588" w:rsidP="00411B60">
      <w:pPr>
        <w:pStyle w:val="GPSL2NumberedBoldHeading"/>
        <w:ind w:left="1134" w:hanging="708"/>
        <w:rPr>
          <w:rFonts w:eastAsia="Arial Bold"/>
          <w:color w:val="000000" w:themeColor="text1"/>
        </w:rPr>
      </w:pPr>
      <w:r w:rsidRPr="00BA1102">
        <w:rPr>
          <w:color w:val="000000" w:themeColor="text1"/>
        </w:rPr>
        <w:t>The Supplier must not, and must ensure that Sub-contractors do not, engage a member of the Supplier Staff in a Relevant Role without Approval where that member of the Supplier Staff:</w:t>
      </w:r>
    </w:p>
    <w:p w14:paraId="00000007" w14:textId="529BBE9A" w:rsidR="00F64FE0" w:rsidRPr="00BA1102" w:rsidRDefault="00C91E8E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bookmarkStart w:id="1" w:name="_heading=h.30j0zll" w:colFirst="0" w:colLast="0"/>
      <w:bookmarkEnd w:id="1"/>
      <w:r w:rsidRPr="00BA1102">
        <w:rPr>
          <w:rFonts w:eastAsia="Arial"/>
          <w:color w:val="000000" w:themeColor="text1"/>
        </w:rPr>
        <w:t>discloses that they have a Rel</w:t>
      </w:r>
      <w:r w:rsidRPr="00BA1102">
        <w:rPr>
          <w:rFonts w:eastAsia="Arial"/>
          <w:color w:val="000000"/>
        </w:rPr>
        <w:t>evant Conviction, or is found to have any Relevant Convictions (whether as a result of a police check or through the procedure of the Disclosure and Barr</w:t>
      </w:r>
      <w:r w:rsidR="00411B60" w:rsidRPr="00BA1102">
        <w:rPr>
          <w:rFonts w:eastAsia="Arial"/>
          <w:color w:val="000000"/>
        </w:rPr>
        <w:t xml:space="preserve">ing Service (DBS) or otherwise); </w:t>
      </w:r>
      <w:r w:rsidR="006B2783" w:rsidRPr="00BA1102">
        <w:rPr>
          <w:rFonts w:eastAsia="Arial"/>
          <w:color w:val="000000"/>
        </w:rPr>
        <w:t>or</w:t>
      </w:r>
    </w:p>
    <w:p w14:paraId="289AC217" w14:textId="47CA27EC" w:rsidR="006B2783" w:rsidRPr="00BA1102" w:rsidRDefault="006B2783" w:rsidP="00411B6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spacing w:before="120" w:after="120" w:line="240" w:lineRule="auto"/>
        <w:ind w:left="1985" w:hanging="851"/>
        <w:rPr>
          <w:rFonts w:eastAsia="Arial"/>
          <w:color w:val="000000"/>
        </w:rPr>
      </w:pPr>
      <w:r w:rsidRPr="00BA1102">
        <w:rPr>
          <w:rFonts w:eastAsia="Arial"/>
          <w:color w:val="000000"/>
        </w:rPr>
        <w:t>is found to have an inappropriate records following the completion of the check</w:t>
      </w:r>
      <w:r w:rsidR="00BA1102" w:rsidRPr="00BA1102">
        <w:rPr>
          <w:rFonts w:eastAsia="Arial"/>
          <w:color w:val="000000"/>
        </w:rPr>
        <w:t>s required under P</w:t>
      </w:r>
      <w:r w:rsidR="005B7C01" w:rsidRPr="00BA1102">
        <w:rPr>
          <w:rFonts w:eastAsia="Arial"/>
          <w:color w:val="000000"/>
        </w:rPr>
        <w:t>aragraph 3.2.</w:t>
      </w:r>
    </w:p>
    <w:p w14:paraId="5BEC4735" w14:textId="58BEA099" w:rsidR="006B2783" w:rsidRPr="00BA1102" w:rsidRDefault="006B2783" w:rsidP="00411B60">
      <w:pPr>
        <w:pStyle w:val="GPSL2NumberedBoldHeading"/>
        <w:ind w:left="1134" w:hanging="708"/>
        <w:rPr>
          <w:rFonts w:eastAsia="Arial"/>
        </w:rPr>
      </w:pPr>
      <w:r w:rsidRPr="00BA1102">
        <w:rPr>
          <w:rFonts w:eastAsia="Arial"/>
        </w:rPr>
        <w:t>The Supplier must, and must ensure that Su</w:t>
      </w:r>
      <w:r w:rsidR="00BA1102">
        <w:rPr>
          <w:rFonts w:eastAsia="Arial"/>
        </w:rPr>
        <w:t>b</w:t>
      </w:r>
      <w:r w:rsidRPr="00BA1102">
        <w:rPr>
          <w:rFonts w:eastAsia="Arial"/>
        </w:rPr>
        <w:t>contractors, in respect of each member of the Suppler Staff who performs a Relevant Role:</w:t>
      </w:r>
    </w:p>
    <w:p w14:paraId="00000009" w14:textId="0A34740D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>carry out a check with the records held by the Department for Education (DfE);</w:t>
      </w:r>
    </w:p>
    <w:p w14:paraId="0000000A" w14:textId="0E325969" w:rsidR="00F64FE0" w:rsidRPr="00BA1102" w:rsidRDefault="00411B60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t xml:space="preserve">Conduct </w:t>
      </w:r>
      <w:r w:rsidR="00C91E8E" w:rsidRPr="00BA1102">
        <w:rPr>
          <w:rFonts w:eastAsia="Arial"/>
        </w:rPr>
        <w:t>thorough questioning regarding any Relevant Convictions; and</w:t>
      </w:r>
    </w:p>
    <w:p w14:paraId="0000000B" w14:textId="26A6A2CE" w:rsidR="00F64FE0" w:rsidRPr="00BA1102" w:rsidRDefault="00C91E8E" w:rsidP="00411B60">
      <w:pPr>
        <w:pStyle w:val="GPSL3numberedclause"/>
        <w:tabs>
          <w:tab w:val="clear" w:pos="2160"/>
          <w:tab w:val="num" w:pos="1985"/>
        </w:tabs>
        <w:ind w:left="1985" w:hanging="851"/>
        <w:jc w:val="left"/>
        <w:rPr>
          <w:rFonts w:eastAsia="Arial"/>
        </w:rPr>
      </w:pPr>
      <w:r w:rsidRPr="00BA1102">
        <w:rPr>
          <w:rFonts w:eastAsia="Arial"/>
        </w:rPr>
        <w:lastRenderedPageBreak/>
        <w:t>ensure a police check is completed and such other checks as may be carried out through the Discl</w:t>
      </w:r>
      <w:r w:rsidR="00411B60" w:rsidRPr="00BA1102">
        <w:rPr>
          <w:rFonts w:eastAsia="Arial"/>
        </w:rPr>
        <w:t>osure and Barring Service (DBS).</w:t>
      </w:r>
    </w:p>
    <w:p w14:paraId="0000000D" w14:textId="77777777" w:rsidR="00F64FE0" w:rsidRPr="00197273" w:rsidRDefault="00C91E8E" w:rsidP="00411B60">
      <w:pPr>
        <w:spacing w:before="120" w:after="120" w:line="240" w:lineRule="auto"/>
        <w:rPr>
          <w:rFonts w:eastAsia="Arial"/>
          <w:b/>
          <w:smallCaps/>
        </w:rPr>
      </w:pPr>
      <w:bookmarkStart w:id="2" w:name="_heading=h.1fob9te" w:colFirst="0" w:colLast="0"/>
      <w:bookmarkEnd w:id="2"/>
      <w:r w:rsidRPr="00197273">
        <w:br w:type="page"/>
      </w:r>
    </w:p>
    <w:p w14:paraId="0000000F" w14:textId="77777777" w:rsidR="00F64FE0" w:rsidRPr="00197273" w:rsidRDefault="00C91E8E" w:rsidP="00411B60">
      <w:pPr>
        <w:keepNext/>
        <w:spacing w:before="120" w:after="120" w:line="240" w:lineRule="auto"/>
        <w:rPr>
          <w:rFonts w:eastAsia="Arial"/>
          <w:b/>
        </w:rPr>
      </w:pPr>
      <w:r w:rsidRPr="00197273">
        <w:rPr>
          <w:rFonts w:eastAsia="Arial"/>
          <w:b/>
        </w:rPr>
        <w:lastRenderedPageBreak/>
        <w:t>Annex 1 – Relevant Convictions</w:t>
      </w:r>
    </w:p>
    <w:p w14:paraId="00000010" w14:textId="77777777" w:rsidR="00F64FE0" w:rsidRPr="00197273" w:rsidRDefault="00F64FE0" w:rsidP="00411B60">
      <w:pPr>
        <w:spacing w:before="120" w:after="120" w:line="240" w:lineRule="auto"/>
        <w:rPr>
          <w:rFonts w:eastAsia="Arial"/>
        </w:rPr>
      </w:pPr>
    </w:p>
    <w:p w14:paraId="00000011" w14:textId="77777777" w:rsidR="00F64FE0" w:rsidRPr="00197273" w:rsidRDefault="00C91E8E" w:rsidP="00411B60">
      <w:pPr>
        <w:spacing w:before="120" w:after="120" w:line="240" w:lineRule="auto"/>
        <w:rPr>
          <w:rFonts w:eastAsia="Arial"/>
        </w:rPr>
        <w:sectPr w:rsidR="00F64FE0" w:rsidRPr="00197273">
          <w:headerReference w:type="default" r:id="rId8"/>
          <w:footerReference w:type="default" r:id="rId9"/>
          <w:footerReference w:type="first" r:id="rId10"/>
          <w:pgSz w:w="11906" w:h="16838"/>
          <w:pgMar w:top="1440" w:right="1440" w:bottom="1440" w:left="1440" w:header="709" w:footer="709" w:gutter="0"/>
          <w:pgNumType w:start="1"/>
          <w:cols w:space="720"/>
        </w:sectPr>
      </w:pPr>
      <w:r w:rsidRPr="00197273">
        <w:rPr>
          <w:rFonts w:eastAsia="Arial"/>
          <w:b/>
          <w:highlight w:val="yellow"/>
        </w:rPr>
        <w:t>[Insert</w:t>
      </w:r>
      <w:r w:rsidRPr="00197273">
        <w:rPr>
          <w:rFonts w:eastAsia="Arial"/>
          <w:highlight w:val="yellow"/>
        </w:rPr>
        <w:t xml:space="preserve"> Relevant Convictions here]</w:t>
      </w:r>
    </w:p>
    <w:p w14:paraId="00000012" w14:textId="77777777" w:rsidR="00F64FE0" w:rsidRDefault="00F64FE0" w:rsidP="00411B60">
      <w:pPr>
        <w:spacing w:before="120" w:after="120" w:line="240" w:lineRule="auto"/>
      </w:pPr>
      <w:bookmarkStart w:id="3" w:name="_heading=h.3znysh7" w:colFirst="0" w:colLast="0"/>
      <w:bookmarkStart w:id="4" w:name="_GoBack"/>
      <w:bookmarkEnd w:id="3"/>
      <w:bookmarkEnd w:id="4"/>
    </w:p>
    <w:sectPr w:rsidR="00F64FE0"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94F88" w14:textId="77777777" w:rsidR="004F646D" w:rsidRDefault="004F646D">
      <w:pPr>
        <w:spacing w:after="0" w:line="240" w:lineRule="auto"/>
      </w:pPr>
      <w:r>
        <w:separator/>
      </w:r>
    </w:p>
  </w:endnote>
  <w:endnote w:type="continuationSeparator" w:id="0">
    <w:p w14:paraId="1EA3CE3B" w14:textId="77777777" w:rsidR="004F646D" w:rsidRDefault="004F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altName w:val="Malgun Gothic Semilight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F64FE0" w:rsidRDefault="00F64FE0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</w:p>
  <w:p w14:paraId="3E50BB64" w14:textId="155AA5F6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 w:rsidR="00A61493">
      <w:rPr>
        <w:sz w:val="20"/>
        <w:szCs w:val="20"/>
      </w:rPr>
      <w:t>6295 Outsourced Services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3A31D38E" w14:textId="7A52C986" w:rsidR="00411B60" w:rsidRDefault="00411B60" w:rsidP="00411B60">
    <w:pP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Project Version: v1.0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  <w:t xml:space="preserve"> </w:t>
    </w:r>
    <w:r>
      <w:rPr>
        <w:rFonts w:eastAsia="Arial"/>
        <w:color w:val="000000"/>
        <w:sz w:val="20"/>
        <w:szCs w:val="20"/>
      </w:rPr>
      <w:fldChar w:fldCharType="begin"/>
    </w:r>
    <w:r>
      <w:rPr>
        <w:rFonts w:eastAsia="Arial"/>
        <w:color w:val="000000"/>
        <w:sz w:val="20"/>
        <w:szCs w:val="20"/>
      </w:rPr>
      <w:instrText>PAGE</w:instrText>
    </w:r>
    <w:r>
      <w:rPr>
        <w:rFonts w:eastAsia="Arial"/>
        <w:color w:val="000000"/>
        <w:sz w:val="20"/>
        <w:szCs w:val="20"/>
      </w:rPr>
      <w:fldChar w:fldCharType="separate"/>
    </w:r>
    <w:r w:rsidR="00A61493">
      <w:rPr>
        <w:rFonts w:eastAsia="Arial"/>
        <w:noProof/>
        <w:color w:val="000000"/>
        <w:sz w:val="20"/>
        <w:szCs w:val="20"/>
      </w:rPr>
      <w:t>4</w:t>
    </w:r>
    <w:r>
      <w:rPr>
        <w:rFonts w:eastAsia="Arial"/>
        <w:color w:val="000000"/>
        <w:sz w:val="20"/>
        <w:szCs w:val="20"/>
      </w:rPr>
      <w:fldChar w:fldCharType="end"/>
    </w:r>
  </w:p>
  <w:p w14:paraId="0000001A" w14:textId="011FD61F" w:rsidR="00F64FE0" w:rsidRPr="00411B60" w:rsidRDefault="00411B60">
    <w:pPr>
      <w:spacing w:after="0" w:line="240" w:lineRule="auto"/>
      <w:jc w:val="both"/>
      <w:rPr>
        <w:rFonts w:eastAsia="Arial"/>
        <w:color w:val="000000"/>
        <w:sz w:val="14"/>
        <w:szCs w:val="20"/>
      </w:rPr>
    </w:pPr>
    <w:r>
      <w:rPr>
        <w:rFonts w:eastAsia="Arial"/>
        <w:sz w:val="20"/>
        <w:szCs w:val="20"/>
      </w:rPr>
      <w:t>Model Version: v1.0 PA</w:t>
    </w:r>
    <w:r>
      <w:rPr>
        <w:rFonts w:eastAsia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B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Framework Ref: RM</w:t>
    </w:r>
    <w:r>
      <w:rPr>
        <w:rFonts w:eastAsia="Arial"/>
        <w:sz w:val="20"/>
        <w:szCs w:val="20"/>
      </w:rPr>
      <w:tab/>
      <w:t xml:space="preserve">                                           </w:t>
    </w:r>
  </w:p>
  <w:p w14:paraId="0000001C" w14:textId="77777777" w:rsidR="00F64FE0" w:rsidRDefault="00C91E8E">
    <w:pPr>
      <w:tabs>
        <w:tab w:val="center" w:pos="4513"/>
        <w:tab w:val="right" w:pos="9026"/>
      </w:tabs>
      <w:spacing w:after="0"/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Project Version: v1.0</w:t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</w:r>
    <w:r>
      <w:rPr>
        <w:rFonts w:eastAsia="Arial"/>
        <w:sz w:val="20"/>
        <w:szCs w:val="20"/>
      </w:rPr>
      <w:tab/>
      <w:t xml:space="preserve"> 1</w:t>
    </w:r>
  </w:p>
  <w:p w14:paraId="0000001D" w14:textId="77777777" w:rsidR="00F64FE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  <w:r>
      <w:rPr>
        <w:rFonts w:eastAsia="Arial"/>
        <w:color w:val="000000"/>
        <w:sz w:val="20"/>
        <w:szCs w:val="20"/>
      </w:rPr>
      <w:t>Model Version : v3.0</w:t>
    </w:r>
    <w:r>
      <w:rPr>
        <w:rFonts w:eastAsia="Arial"/>
        <w:color w:val="000000"/>
        <w:sz w:val="20"/>
        <w:szCs w:val="20"/>
      </w:rPr>
      <w:tab/>
    </w:r>
    <w:r>
      <w:rPr>
        <w:rFonts w:eastAsia="Arial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4EF69" w14:textId="77777777" w:rsidR="004F646D" w:rsidRDefault="004F646D">
      <w:pPr>
        <w:spacing w:after="0" w:line="240" w:lineRule="auto"/>
      </w:pPr>
      <w:r>
        <w:separator/>
      </w:r>
    </w:p>
  </w:footnote>
  <w:footnote w:type="continuationSeparator" w:id="0">
    <w:p w14:paraId="75ED4463" w14:textId="77777777" w:rsidR="004F646D" w:rsidRDefault="004F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3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b/>
        <w:color w:val="000000"/>
        <w:sz w:val="22"/>
        <w:szCs w:val="22"/>
      </w:rPr>
      <w:t>Call-Off Schedule 18 (Background Checks)</w:t>
    </w:r>
  </w:p>
  <w:p w14:paraId="00000014" w14:textId="77777777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Call-Off Ref:</w:t>
    </w:r>
  </w:p>
  <w:p w14:paraId="00000015" w14:textId="470FAC8F" w:rsidR="00F64FE0" w:rsidRPr="00411B60" w:rsidRDefault="00C91E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2"/>
        <w:szCs w:val="22"/>
      </w:rPr>
    </w:pPr>
    <w:r w:rsidRPr="00411B60">
      <w:rPr>
        <w:rFonts w:eastAsia="Arial"/>
        <w:color w:val="000000"/>
        <w:sz w:val="22"/>
        <w:szCs w:val="22"/>
      </w:rPr>
      <w:t>Crown Copyright 20</w:t>
    </w:r>
    <w:r w:rsidRPr="00411B60">
      <w:rPr>
        <w:rFonts w:eastAsia="Arial"/>
        <w:sz w:val="22"/>
        <w:szCs w:val="22"/>
      </w:rPr>
      <w:t>2</w:t>
    </w:r>
    <w:r w:rsidR="000A0B07" w:rsidRPr="00411B60">
      <w:rPr>
        <w:rFonts w:eastAsia="Arial"/>
        <w:sz w:val="22"/>
        <w:szCs w:val="22"/>
      </w:rPr>
      <w:t>5</w:t>
    </w:r>
  </w:p>
  <w:p w14:paraId="00000016" w14:textId="77777777" w:rsidR="00F64FE0" w:rsidRDefault="00F64FE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9AD"/>
    <w:multiLevelType w:val="multilevel"/>
    <w:tmpl w:val="DAD0F16C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CD0148"/>
    <w:multiLevelType w:val="hybridMultilevel"/>
    <w:tmpl w:val="A8C63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B72DA"/>
    <w:multiLevelType w:val="multilevel"/>
    <w:tmpl w:val="0C2654A2"/>
    <w:lvl w:ilvl="0">
      <w:start w:val="1"/>
      <w:numFmt w:val="decimal"/>
      <w:pStyle w:val="GPSL1CLAUSEHEADING"/>
      <w:lvlText w:val="%1."/>
      <w:lvlJc w:val="left"/>
      <w:pPr>
        <w:ind w:left="720" w:hanging="72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L2NumberedBoldHeading"/>
      <w:lvlText w:val="%1.%2"/>
      <w:lvlJc w:val="left"/>
      <w:pPr>
        <w:ind w:left="1440" w:hanging="720"/>
      </w:pPr>
      <w:rPr>
        <w:rFonts w:ascii="Arial" w:eastAsia="Calibri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ind w:left="1996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(%4)"/>
      <w:lvlJc w:val="left"/>
      <w:pPr>
        <w:ind w:left="2880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pStyle w:val="GPSL5numberedclause"/>
      <w:lvlText w:val="(%5)"/>
      <w:lvlJc w:val="left"/>
      <w:pPr>
        <w:ind w:left="3600" w:hanging="720"/>
      </w:pPr>
      <w:rPr>
        <w:b w:val="0"/>
        <w:i w:val="0"/>
        <w:smallCaps w:val="0"/>
        <w:strike w:val="0"/>
        <w:u w:val="none"/>
        <w:vertAlign w:val="baseli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E0"/>
    <w:rsid w:val="000A0B07"/>
    <w:rsid w:val="000C66A4"/>
    <w:rsid w:val="00197273"/>
    <w:rsid w:val="00237588"/>
    <w:rsid w:val="00294796"/>
    <w:rsid w:val="002B188E"/>
    <w:rsid w:val="00323ACB"/>
    <w:rsid w:val="00331773"/>
    <w:rsid w:val="00411B60"/>
    <w:rsid w:val="004F646D"/>
    <w:rsid w:val="005B7C01"/>
    <w:rsid w:val="006B2783"/>
    <w:rsid w:val="008D3736"/>
    <w:rsid w:val="00935A90"/>
    <w:rsid w:val="00A61493"/>
    <w:rsid w:val="00A67615"/>
    <w:rsid w:val="00BA1102"/>
    <w:rsid w:val="00C91E8E"/>
    <w:rsid w:val="00F6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687D"/>
  <w15:docId w15:val="{827AAC99-9923-4832-BD5C-28942C5E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tabs>
        <w:tab w:val="num" w:pos="2160"/>
      </w:tabs>
      <w:adjustRightInd w:val="0"/>
      <w:spacing w:before="120" w:after="120" w:line="240" w:lineRule="auto"/>
      <w:ind w:left="2160"/>
      <w:jc w:val="both"/>
    </w:pPr>
    <w:rPr>
      <w:rFonts w:eastAsia="Times New Roman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eastAsia="Times New Roman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PSL2NumberedBoldHeadingChar">
    <w:name w:val="GPS L2 Numbered Bold Heading Char"/>
    <w:link w:val="GPSL2NumberedBoldHeading"/>
    <w:rsid w:val="00633ACA"/>
    <w:rPr>
      <w:rFonts w:ascii="Calibri" w:eastAsia="Times New Roman" w:hAnsi="Calibri" w:cs="Arial"/>
      <w:lang w:eastAsia="zh-CN"/>
    </w:rPr>
  </w:style>
  <w:style w:type="paragraph" w:customStyle="1" w:styleId="GPSL3Indent">
    <w:name w:val="GPS L3 Indent"/>
    <w:basedOn w:val="Normal"/>
    <w:rsid w:val="00633ACA"/>
    <w:pPr>
      <w:tabs>
        <w:tab w:val="left" w:pos="2127"/>
      </w:tabs>
      <w:adjustRightInd w:val="0"/>
      <w:spacing w:before="120" w:after="120" w:line="240" w:lineRule="auto"/>
      <w:ind w:left="2127"/>
      <w:jc w:val="both"/>
    </w:pPr>
    <w:rPr>
      <w:rFonts w:eastAsia="Times New Roman"/>
      <w:lang w:val="en-US"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31773"/>
    <w:pPr>
      <w:ind w:left="720"/>
      <w:contextualSpacing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3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j+C0YMnbhnzepeSqDi83daDo0Q==">AMUW2mWcH9pRqTU4xFQpB/UFMfBUT4l5iSXWc+1wH8Ri/IVWyC1lvfBm6MD645ugdsC6kC4if9wVgvlSj3jEv/mYHuTwn9PR4PAN9VHnS0yPy0nXn13TrGlmW7HQju/FazUgxPMUyHfvo7uwGZBn2Qj0HRbYclwiwex2YfMq3AdMsnxGgzy7u0W9NUYFJWvQgmND7oKSNBq9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324</Words>
  <Characters>1851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Tom McCaldon</dc:creator>
  <cp:keywords/>
  <dc:description/>
  <cp:lastModifiedBy>Tom McCaldon</cp:lastModifiedBy>
  <cp:revision>2</cp:revision>
  <dcterms:created xsi:type="dcterms:W3CDTF">2025-03-13T08:37:00Z</dcterms:created>
  <dcterms:modified xsi:type="dcterms:W3CDTF">2025-03-13T08:37:00Z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FFooter">
    <vt:lpwstr>90854662-1</vt:lpwstr>
  </property>
</Properties>
</file>