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45274" w14:textId="63D922A1" w:rsidR="006B0EB1" w:rsidRDefault="00CA7CC2" w:rsidP="00624A99">
      <w:pPr>
        <w:spacing w:before="120" w:after="120" w:line="240" w:lineRule="auto"/>
        <w:ind w:right="394"/>
        <w:rPr>
          <w:rFonts w:eastAsia="Arial"/>
          <w:b/>
          <w:sz w:val="36"/>
          <w:szCs w:val="36"/>
        </w:rPr>
      </w:pPr>
      <w:r>
        <w:rPr>
          <w:rFonts w:eastAsia="Arial"/>
          <w:b/>
          <w:sz w:val="36"/>
          <w:szCs w:val="36"/>
        </w:rPr>
        <w:t>Call-Off Schedule 23 (HMRC Terms)</w:t>
      </w:r>
    </w:p>
    <w:p w14:paraId="35EA91AC" w14:textId="4C3BD426" w:rsidR="00C154BB" w:rsidRPr="00400489" w:rsidRDefault="00C154BB" w:rsidP="00624A99">
      <w:pPr>
        <w:spacing w:before="120" w:after="120" w:line="240" w:lineRule="auto"/>
        <w:rPr>
          <w:color w:val="auto"/>
        </w:rPr>
      </w:pPr>
    </w:p>
    <w:p w14:paraId="02E34516"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r w:rsidRPr="00400489">
        <w:rPr>
          <w:rFonts w:ascii="Arial" w:eastAsia="Arial" w:hAnsi="Arial" w:cs="Arial"/>
          <w:b/>
          <w:color w:val="000000"/>
          <w:sz w:val="24"/>
          <w:szCs w:val="24"/>
        </w:rPr>
        <w:t xml:space="preserve">Definitions </w:t>
      </w:r>
    </w:p>
    <w:p w14:paraId="63DE090C" w14:textId="77777777" w:rsidR="006B0EB1" w:rsidRPr="00400489" w:rsidRDefault="00CA7CC2" w:rsidP="00624A99">
      <w:pPr>
        <w:keepNext/>
        <w:numPr>
          <w:ilvl w:val="1"/>
          <w:numId w:val="1"/>
        </w:numPr>
        <w:pBdr>
          <w:top w:val="nil"/>
          <w:left w:val="nil"/>
          <w:bottom w:val="nil"/>
          <w:right w:val="nil"/>
          <w:between w:val="nil"/>
        </w:pBdr>
        <w:tabs>
          <w:tab w:val="left" w:pos="1134"/>
        </w:tabs>
        <w:spacing w:before="120" w:after="120" w:line="240" w:lineRule="auto"/>
        <w:ind w:left="1134" w:hanging="708"/>
        <w:rPr>
          <w:rFonts w:eastAsia="Arial"/>
        </w:rPr>
      </w:pPr>
      <w:r w:rsidRPr="00400489">
        <w:rPr>
          <w:rFonts w:eastAsia="Arial"/>
        </w:rPr>
        <w:t xml:space="preserve">In this Schedule, the following words have the following meanings and they shall supplement Joint Schedule 1 </w:t>
      </w:r>
      <w:r w:rsidRPr="00400489">
        <w:rPr>
          <w:rFonts w:eastAsia="Arial"/>
          <w:i/>
        </w:rPr>
        <w:t>(Definitions)</w:t>
      </w:r>
      <w:r w:rsidRPr="00400489">
        <w:rPr>
          <w:rFonts w:eastAsia="Arial"/>
        </w:rPr>
        <w:t>:</w:t>
      </w:r>
    </w:p>
    <w:tbl>
      <w:tblPr>
        <w:tblStyle w:val="a"/>
        <w:tblW w:w="7919" w:type="dxa"/>
        <w:tblInd w:w="993" w:type="dxa"/>
        <w:tblLayout w:type="fixed"/>
        <w:tblLook w:val="0000" w:firstRow="0" w:lastRow="0" w:firstColumn="0" w:lastColumn="0" w:noHBand="0" w:noVBand="0"/>
      </w:tblPr>
      <w:tblGrid>
        <w:gridCol w:w="2835"/>
        <w:gridCol w:w="5084"/>
      </w:tblGrid>
      <w:tr w:rsidR="006B0EB1" w:rsidRPr="00400489" w14:paraId="3A7DBB92" w14:textId="77777777" w:rsidTr="00400489">
        <w:tc>
          <w:tcPr>
            <w:tcW w:w="2835" w:type="dxa"/>
          </w:tcPr>
          <w:p w14:paraId="580E0A12" w14:textId="77777777" w:rsidR="006B0EB1" w:rsidRPr="00400489" w:rsidRDefault="00CA7CC2" w:rsidP="00624A99">
            <w:pPr>
              <w:spacing w:before="120" w:after="120" w:line="240" w:lineRule="auto"/>
              <w:ind w:left="209"/>
              <w:rPr>
                <w:rFonts w:eastAsia="Arial"/>
                <w:b/>
              </w:rPr>
            </w:pPr>
            <w:r w:rsidRPr="00400489">
              <w:rPr>
                <w:rFonts w:eastAsia="Arial"/>
                <w:b/>
              </w:rPr>
              <w:t>“Connected Company”</w:t>
            </w:r>
          </w:p>
        </w:tc>
        <w:tc>
          <w:tcPr>
            <w:tcW w:w="5084" w:type="dxa"/>
          </w:tcPr>
          <w:p w14:paraId="3638C22B" w14:textId="74195B97" w:rsidR="006B0EB1" w:rsidRPr="00400489" w:rsidRDefault="00CA7CC2" w:rsidP="00624A99">
            <w:pPr>
              <w:spacing w:before="120" w:after="120" w:line="240" w:lineRule="auto"/>
              <w:rPr>
                <w:rFonts w:eastAsia="Arial"/>
              </w:rPr>
            </w:pPr>
            <w:r w:rsidRPr="00400489">
              <w:rPr>
                <w:rFonts w:eastAsia="Arial"/>
              </w:rPr>
              <w:t>in relation to a company, entity or other person, the Affiliates of that company, entity or other person or any other person associated with such company, entity or other person;</w:t>
            </w:r>
          </w:p>
        </w:tc>
      </w:tr>
      <w:tr w:rsidR="006B0EB1" w:rsidRPr="00400489" w14:paraId="0A45F154" w14:textId="77777777" w:rsidTr="00400489">
        <w:tc>
          <w:tcPr>
            <w:tcW w:w="2835" w:type="dxa"/>
          </w:tcPr>
          <w:p w14:paraId="0491A29D" w14:textId="77777777" w:rsidR="006B0EB1" w:rsidRPr="00400489" w:rsidRDefault="00CA7CC2" w:rsidP="00624A99">
            <w:pPr>
              <w:spacing w:before="120" w:after="120" w:line="240" w:lineRule="auto"/>
              <w:ind w:left="209"/>
              <w:rPr>
                <w:rFonts w:eastAsia="Arial"/>
                <w:b/>
              </w:rPr>
            </w:pPr>
            <w:r w:rsidRPr="00400489">
              <w:rPr>
                <w:rFonts w:eastAsia="Arial"/>
                <w:b/>
              </w:rPr>
              <w:t>“Control”</w:t>
            </w:r>
          </w:p>
        </w:tc>
        <w:tc>
          <w:tcPr>
            <w:tcW w:w="5084" w:type="dxa"/>
          </w:tcPr>
          <w:p w14:paraId="51CEEC24" w14:textId="65B27663" w:rsidR="006B0EB1" w:rsidRPr="00400489" w:rsidRDefault="00CA7CC2" w:rsidP="00624A99">
            <w:pPr>
              <w:spacing w:before="120" w:after="120" w:line="240" w:lineRule="auto"/>
              <w:rPr>
                <w:rFonts w:eastAsia="Arial"/>
              </w:rPr>
            </w:pPr>
            <w:r w:rsidRPr="00400489">
              <w:rPr>
                <w:rFonts w:eastAsia="Arial"/>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6B0EB1" w:rsidRPr="00400489" w14:paraId="7203F418" w14:textId="77777777" w:rsidTr="00400489">
        <w:tc>
          <w:tcPr>
            <w:tcW w:w="2835" w:type="dxa"/>
          </w:tcPr>
          <w:p w14:paraId="3847EB99" w14:textId="77777777" w:rsidR="006B0EB1" w:rsidRPr="00400489" w:rsidRDefault="00CA7CC2" w:rsidP="00624A99">
            <w:pPr>
              <w:spacing w:before="120" w:after="120" w:line="240" w:lineRule="auto"/>
              <w:ind w:left="209"/>
              <w:rPr>
                <w:rFonts w:eastAsia="Arial"/>
                <w:b/>
              </w:rPr>
            </w:pPr>
            <w:bookmarkStart w:id="0" w:name="_GoBack"/>
            <w:r w:rsidRPr="00400489">
              <w:rPr>
                <w:rFonts w:eastAsia="Arial"/>
                <w:b/>
              </w:rPr>
              <w:t>“Prohibited Transaction”</w:t>
            </w:r>
          </w:p>
        </w:tc>
        <w:tc>
          <w:tcPr>
            <w:tcW w:w="5084" w:type="dxa"/>
          </w:tcPr>
          <w:p w14:paraId="631BA03C" w14:textId="2B35A543"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4802608A" w14:textId="124985D5" w:rsidR="006B0EB1" w:rsidRPr="00400489" w:rsidRDefault="00CA7CC2" w:rsidP="00624A99">
            <w:pPr>
              <w:numPr>
                <w:ilvl w:val="0"/>
                <w:numId w:val="2"/>
              </w:numPr>
              <w:pBdr>
                <w:top w:val="nil"/>
                <w:left w:val="nil"/>
                <w:bottom w:val="nil"/>
                <w:right w:val="nil"/>
                <w:between w:val="nil"/>
              </w:pBdr>
              <w:spacing w:before="120" w:after="120" w:line="240" w:lineRule="auto"/>
              <w:rPr>
                <w:rFonts w:eastAsia="Arial"/>
              </w:rPr>
            </w:pPr>
            <w:r w:rsidRPr="00400489">
              <w:rPr>
                <w:rFonts w:eastAsia="Arial"/>
              </w:rPr>
              <w:t>which would be payable by any Key Subcontractor and its Connected Companies on or in connection with payments made by or on behalf of the Supplier under or pursuant to the applicable Key Subcontract,</w:t>
            </w:r>
          </w:p>
          <w:p w14:paraId="5AC5D186" w14:textId="1E200620" w:rsidR="006B0EB1" w:rsidRPr="00400489" w:rsidRDefault="00CA7CC2" w:rsidP="00624A99">
            <w:pPr>
              <w:spacing w:before="120" w:after="120" w:line="240" w:lineRule="auto"/>
              <w:rPr>
                <w:rFonts w:eastAsia="Arial"/>
              </w:rPr>
            </w:pPr>
            <w:r w:rsidRPr="00400489">
              <w:rPr>
                <w:rFonts w:eastAsia="Arial"/>
              </w:rPr>
              <w:t>other than transactions made between the Supplier and its Connected Companies or a Key Subcontractor and its Connected Companies on terms which are at arms-length and are entered into in the ordinary course of the transacting parties’ business;</w:t>
            </w:r>
          </w:p>
        </w:tc>
      </w:tr>
      <w:bookmarkEnd w:id="0"/>
      <w:tr w:rsidR="006B0EB1" w:rsidRPr="00400489" w14:paraId="782BEF72" w14:textId="77777777" w:rsidTr="00400489">
        <w:tc>
          <w:tcPr>
            <w:tcW w:w="2835" w:type="dxa"/>
          </w:tcPr>
          <w:p w14:paraId="1CB82492" w14:textId="6F9866AF" w:rsidR="003A5FEC" w:rsidRDefault="00CA7CC2" w:rsidP="00624A99">
            <w:pPr>
              <w:spacing w:before="120" w:after="120" w:line="240" w:lineRule="auto"/>
              <w:ind w:left="209"/>
              <w:rPr>
                <w:rFonts w:eastAsia="Arial"/>
                <w:b/>
              </w:rPr>
            </w:pPr>
            <w:r w:rsidRPr="00400489">
              <w:rPr>
                <w:rFonts w:eastAsia="Arial"/>
                <w:b/>
              </w:rPr>
              <w:t>“Purchase Order Number” </w:t>
            </w:r>
          </w:p>
          <w:p w14:paraId="44A83FFC" w14:textId="77777777" w:rsidR="006B0EB1" w:rsidRPr="003A5FEC" w:rsidRDefault="006B0EB1" w:rsidP="003A5FEC">
            <w:pPr>
              <w:jc w:val="center"/>
              <w:rPr>
                <w:rFonts w:eastAsia="Arial"/>
              </w:rPr>
            </w:pPr>
          </w:p>
        </w:tc>
        <w:tc>
          <w:tcPr>
            <w:tcW w:w="5084" w:type="dxa"/>
          </w:tcPr>
          <w:p w14:paraId="5F5FC596" w14:textId="77777777" w:rsidR="006B0EB1" w:rsidRPr="00400489" w:rsidRDefault="00CA7CC2" w:rsidP="00624A99">
            <w:pPr>
              <w:spacing w:before="120" w:after="120" w:line="240" w:lineRule="auto"/>
              <w:rPr>
                <w:rFonts w:eastAsia="Arial"/>
              </w:rPr>
            </w:pPr>
            <w:r w:rsidRPr="00400489">
              <w:rPr>
                <w:rFonts w:eastAsia="Arial"/>
              </w:rPr>
              <w:t>the Buyer’s unique number relating to the supply of the Deliverables;  </w:t>
            </w:r>
          </w:p>
        </w:tc>
      </w:tr>
      <w:tr w:rsidR="006B0EB1" w:rsidRPr="00400489" w14:paraId="38834981" w14:textId="77777777" w:rsidTr="00400489">
        <w:tc>
          <w:tcPr>
            <w:tcW w:w="2835" w:type="dxa"/>
          </w:tcPr>
          <w:p w14:paraId="488DCE17" w14:textId="77777777" w:rsidR="006B0EB1" w:rsidRPr="00400489" w:rsidRDefault="00CA7CC2" w:rsidP="00624A99">
            <w:pPr>
              <w:spacing w:before="120" w:after="120" w:line="240" w:lineRule="auto"/>
              <w:ind w:left="209"/>
              <w:rPr>
                <w:rFonts w:eastAsia="Arial"/>
                <w:b/>
              </w:rPr>
            </w:pPr>
            <w:r w:rsidRPr="00400489">
              <w:rPr>
                <w:rFonts w:eastAsia="Arial"/>
                <w:b/>
              </w:rPr>
              <w:lastRenderedPageBreak/>
              <w:t>“Supporting Documentation”</w:t>
            </w:r>
          </w:p>
        </w:tc>
        <w:tc>
          <w:tcPr>
            <w:tcW w:w="5084" w:type="dxa"/>
          </w:tcPr>
          <w:p w14:paraId="032834EE" w14:textId="77777777" w:rsidR="006B0EB1" w:rsidRPr="00400489" w:rsidRDefault="00CA7CC2" w:rsidP="00624A99">
            <w:pPr>
              <w:spacing w:before="120" w:after="120" w:line="240" w:lineRule="auto"/>
              <w:rPr>
                <w:rFonts w:eastAsia="Arial"/>
              </w:rPr>
            </w:pPr>
            <w:r w:rsidRPr="00400489">
              <w:rPr>
                <w:rFonts w:eastAsia="Arial"/>
              </w:rPr>
              <w:t>sufficient information in writing to enable the Buyer to reasonably verify the accuracy of any invoice; and</w:t>
            </w:r>
          </w:p>
        </w:tc>
      </w:tr>
      <w:tr w:rsidR="006B0EB1" w:rsidRPr="00400489" w14:paraId="0AAE869D" w14:textId="77777777" w:rsidTr="00400489">
        <w:tc>
          <w:tcPr>
            <w:tcW w:w="2835" w:type="dxa"/>
          </w:tcPr>
          <w:p w14:paraId="1FA7B8CD" w14:textId="77777777" w:rsidR="006B0EB1" w:rsidRPr="00400489" w:rsidRDefault="00CA7CC2" w:rsidP="00624A99">
            <w:pPr>
              <w:spacing w:before="120" w:after="120" w:line="240" w:lineRule="auto"/>
              <w:ind w:left="209"/>
              <w:rPr>
                <w:rFonts w:eastAsia="Arial"/>
                <w:b/>
              </w:rPr>
            </w:pPr>
            <w:r w:rsidRPr="00400489">
              <w:rPr>
                <w:rFonts w:eastAsia="Arial"/>
                <w:b/>
              </w:rPr>
              <w:t>“Tax Compliance Failure”</w:t>
            </w:r>
          </w:p>
          <w:p w14:paraId="00696047" w14:textId="77777777" w:rsidR="006B0EB1" w:rsidRPr="00400489" w:rsidRDefault="006B0EB1" w:rsidP="00624A99">
            <w:pPr>
              <w:spacing w:before="120" w:after="120" w:line="240" w:lineRule="auto"/>
              <w:ind w:left="209"/>
              <w:rPr>
                <w:rFonts w:eastAsia="Arial"/>
                <w:b/>
              </w:rPr>
            </w:pPr>
          </w:p>
        </w:tc>
        <w:tc>
          <w:tcPr>
            <w:tcW w:w="5084" w:type="dxa"/>
          </w:tcPr>
          <w:p w14:paraId="659F2210" w14:textId="77777777" w:rsidR="006B0EB1" w:rsidRPr="00400489" w:rsidRDefault="00CA7CC2" w:rsidP="00624A99">
            <w:pPr>
              <w:tabs>
                <w:tab w:val="left" w:pos="-75"/>
              </w:tabs>
              <w:spacing w:before="120" w:after="120" w:line="240" w:lineRule="auto"/>
              <w:rPr>
                <w:rFonts w:eastAsia="Arial"/>
              </w:rPr>
            </w:pPr>
            <w:r w:rsidRPr="00400489">
              <w:rPr>
                <w:rFonts w:eastAsia="Arial"/>
              </w:rPr>
              <w:t>where an entity or person under consideration meets all 3 conditions contained in the relevant excerpt from HMRC’s “Test for Tax Non-Compliance”, as set out in Annex 1 (as amended and updated from time to time), where:</w:t>
            </w:r>
          </w:p>
          <w:p w14:paraId="5948E260" w14:textId="0087DCA2" w:rsidR="006B0EB1" w:rsidRPr="00CC0B86" w:rsidRDefault="00CA7CC2" w:rsidP="00624A99">
            <w:pPr>
              <w:numPr>
                <w:ilvl w:val="0"/>
                <w:numId w:val="8"/>
              </w:numPr>
              <w:pBdr>
                <w:top w:val="nil"/>
                <w:left w:val="nil"/>
                <w:bottom w:val="nil"/>
                <w:right w:val="nil"/>
                <w:between w:val="nil"/>
              </w:pBdr>
              <w:tabs>
                <w:tab w:val="left" w:pos="-75"/>
              </w:tabs>
              <w:spacing w:before="120" w:after="120" w:line="240" w:lineRule="auto"/>
              <w:ind w:left="736" w:hanging="691"/>
              <w:rPr>
                <w:rFonts w:eastAsia="Arial"/>
              </w:rPr>
            </w:pPr>
            <w:r w:rsidRPr="00400489">
              <w:rPr>
                <w:rFonts w:eastAsia="Arial"/>
              </w:rPr>
              <w:t xml:space="preserve">the “Economic Operator” means the Supplier or any agent, supplier or Subcontractor of the Supplier requested to be replaced pursuant to Paragraph 5.3; and </w:t>
            </w:r>
          </w:p>
          <w:p w14:paraId="5C2175BC" w14:textId="77777777" w:rsidR="006B0EB1" w:rsidRPr="00400489" w:rsidRDefault="00CA7CC2" w:rsidP="00624A99">
            <w:pPr>
              <w:numPr>
                <w:ilvl w:val="0"/>
                <w:numId w:val="8"/>
              </w:numPr>
              <w:pBdr>
                <w:top w:val="nil"/>
                <w:left w:val="nil"/>
                <w:bottom w:val="nil"/>
                <w:right w:val="nil"/>
                <w:between w:val="nil"/>
              </w:pBdr>
              <w:spacing w:before="120" w:after="120" w:line="240" w:lineRule="auto"/>
              <w:ind w:left="736" w:hanging="691"/>
              <w:rPr>
                <w:rFonts w:eastAsia="Arial"/>
              </w:rPr>
            </w:pPr>
            <w:r w:rsidRPr="00400489">
              <w:rPr>
                <w:rFonts w:eastAsia="Arial"/>
              </w:rPr>
              <w:t>any “Essential Subcontractor” means any Key Subcontractor.</w:t>
            </w:r>
          </w:p>
        </w:tc>
      </w:tr>
    </w:tbl>
    <w:p w14:paraId="646EFC4A" w14:textId="483962AD"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color w:val="000000"/>
          <w:sz w:val="24"/>
          <w:szCs w:val="24"/>
        </w:rPr>
      </w:pPr>
      <w:bookmarkStart w:id="1" w:name="_heading=h.30j0zll" w:colFirst="0" w:colLast="0"/>
      <w:bookmarkEnd w:id="1"/>
      <w:r w:rsidRPr="00400489">
        <w:rPr>
          <w:rFonts w:ascii="Arial" w:eastAsia="Arial" w:hAnsi="Arial" w:cs="Arial"/>
          <w:b/>
          <w:color w:val="000000"/>
          <w:sz w:val="24"/>
          <w:szCs w:val="24"/>
        </w:rPr>
        <w:t xml:space="preserve">Exclusion of certain </w:t>
      </w:r>
      <w:r w:rsidR="008D118E" w:rsidRPr="00400489">
        <w:rPr>
          <w:rFonts w:ascii="Arial" w:eastAsia="Arial" w:hAnsi="Arial" w:cs="Arial"/>
          <w:b/>
          <w:color w:val="000000"/>
          <w:sz w:val="24"/>
          <w:szCs w:val="24"/>
        </w:rPr>
        <w:t xml:space="preserve">General </w:t>
      </w:r>
      <w:r w:rsidRPr="00400489">
        <w:rPr>
          <w:rFonts w:ascii="Arial" w:eastAsia="Arial" w:hAnsi="Arial" w:cs="Arial"/>
          <w:b/>
          <w:color w:val="000000"/>
          <w:sz w:val="24"/>
          <w:szCs w:val="24"/>
        </w:rPr>
        <w:t>Terms and terms of Schedules</w:t>
      </w:r>
    </w:p>
    <w:p w14:paraId="10D1991F" w14:textId="5C8B5A04"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When the Parties have entered into a Call-Off Contract which incorporates the terms of this Call-Off Schedule 23, the following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are modified in respect of that Call-Off Contract (but are not modified in respect of the Framework Contract):</w:t>
      </w:r>
    </w:p>
    <w:p w14:paraId="20A9D3B1" w14:textId="5E884052"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C</w:t>
      </w:r>
      <w:r w:rsidR="00624A99">
        <w:rPr>
          <w:rFonts w:ascii="Arial" w:eastAsia="Arial" w:hAnsi="Arial" w:cs="Arial"/>
          <w:color w:val="000000"/>
          <w:sz w:val="24"/>
          <w:szCs w:val="24"/>
        </w:rPr>
        <w:t>lauses 34.1, 34.2, 34.3 and 34.6</w:t>
      </w:r>
      <w:r w:rsidR="00CC0B86">
        <w:rPr>
          <w:rFonts w:ascii="Arial" w:eastAsia="Arial" w:hAnsi="Arial" w:cs="Arial"/>
          <w:color w:val="000000"/>
          <w:sz w:val="24"/>
          <w:szCs w:val="24"/>
        </w:rPr>
        <w:t>.4</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do not apply to that Call-Off Contract, but for the avoidance of dou</w:t>
      </w:r>
      <w:r w:rsidR="00624A99">
        <w:rPr>
          <w:rFonts w:ascii="Arial" w:eastAsia="Arial" w:hAnsi="Arial" w:cs="Arial"/>
          <w:color w:val="000000"/>
          <w:sz w:val="24"/>
          <w:szCs w:val="24"/>
        </w:rPr>
        <w:t>bt, the remainder of Clause 34.6</w:t>
      </w:r>
      <w:r w:rsidRPr="00400489">
        <w:rPr>
          <w:rFonts w:ascii="Arial" w:eastAsia="Arial" w:hAnsi="Arial" w:cs="Arial"/>
          <w:color w:val="000000"/>
          <w:sz w:val="24"/>
          <w:szCs w:val="24"/>
        </w:rPr>
        <w:t xml:space="preserve">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continue to apply to the Call-Off Contract; and</w:t>
      </w:r>
    </w:p>
    <w:p w14:paraId="2E2AF010" w14:textId="5327BDFA" w:rsidR="006B0EB1" w:rsidRPr="00400489" w:rsidRDefault="00CC0B86" w:rsidP="00624A99">
      <w:pPr>
        <w:pStyle w:val="Heading2"/>
        <w:keepNext w:val="0"/>
        <w:keepLines w:val="0"/>
        <w:numPr>
          <w:ilvl w:val="2"/>
          <w:numId w:val="1"/>
        </w:numPr>
        <w:spacing w:before="120" w:after="120" w:line="240" w:lineRule="auto"/>
        <w:ind w:left="1985" w:hanging="851"/>
        <w:rPr>
          <w:rFonts w:ascii="Arial" w:hAnsi="Arial" w:cs="Arial"/>
          <w:sz w:val="24"/>
          <w:szCs w:val="24"/>
        </w:rPr>
      </w:pPr>
      <w:r>
        <w:rPr>
          <w:rFonts w:ascii="Arial" w:eastAsia="Arial" w:hAnsi="Arial" w:cs="Arial"/>
          <w:color w:val="000000"/>
          <w:sz w:val="24"/>
          <w:szCs w:val="24"/>
        </w:rPr>
        <w:t>Clause 9.3</w:t>
      </w:r>
      <w:r w:rsidR="00CA7CC2" w:rsidRPr="00400489">
        <w:rPr>
          <w:rFonts w:ascii="Arial" w:eastAsia="Arial" w:hAnsi="Arial" w:cs="Arial"/>
          <w:color w:val="000000"/>
          <w:sz w:val="24"/>
          <w:szCs w:val="24"/>
        </w:rPr>
        <w:t xml:space="preserve">.2 of the </w:t>
      </w:r>
      <w:r w:rsidR="008D118E" w:rsidRPr="00400489">
        <w:rPr>
          <w:rFonts w:ascii="Arial" w:eastAsia="Arial" w:hAnsi="Arial" w:cs="Arial"/>
          <w:color w:val="000000"/>
          <w:sz w:val="24"/>
          <w:szCs w:val="24"/>
        </w:rPr>
        <w:t xml:space="preserve">General </w:t>
      </w:r>
      <w:r w:rsidR="00CA7CC2" w:rsidRPr="00400489">
        <w:rPr>
          <w:rFonts w:ascii="Arial" w:eastAsia="Arial" w:hAnsi="Arial" w:cs="Arial"/>
          <w:color w:val="000000"/>
          <w:sz w:val="24"/>
          <w:szCs w:val="24"/>
        </w:rPr>
        <w:t>Terms does not apply to that Call-Off Contract.</w:t>
      </w:r>
    </w:p>
    <w:p w14:paraId="757400D9" w14:textId="263640EC"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60191CCE" w14:textId="6CBA5D68" w:rsidR="006B0EB1" w:rsidRPr="00400489" w:rsidRDefault="00624A99"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Paragraph 3.4</w:t>
      </w:r>
      <w:r w:rsidR="00CC0B86">
        <w:rPr>
          <w:rFonts w:ascii="Arial" w:eastAsia="Arial" w:hAnsi="Arial" w:cs="Arial"/>
          <w:color w:val="000000"/>
          <w:sz w:val="24"/>
          <w:szCs w:val="24"/>
        </w:rPr>
        <w:t>.4</w:t>
      </w:r>
      <w:r>
        <w:rPr>
          <w:rFonts w:ascii="Arial" w:eastAsia="Arial" w:hAnsi="Arial" w:cs="Arial"/>
          <w:color w:val="000000"/>
          <w:sz w:val="24"/>
          <w:szCs w:val="24"/>
        </w:rPr>
        <w:t xml:space="preserve"> of Joint Schedule 10</w:t>
      </w:r>
      <w:r w:rsidR="00CA7CC2" w:rsidRPr="00400489">
        <w:rPr>
          <w:rFonts w:ascii="Arial" w:eastAsia="Arial" w:hAnsi="Arial" w:cs="Arial"/>
          <w:color w:val="000000"/>
          <w:sz w:val="24"/>
          <w:szCs w:val="24"/>
        </w:rPr>
        <w:t xml:space="preserve"> </w:t>
      </w:r>
      <w:r w:rsidR="00CA7CC2" w:rsidRPr="00CC0B86">
        <w:rPr>
          <w:rFonts w:ascii="Arial" w:eastAsia="Arial" w:hAnsi="Arial" w:cs="Arial"/>
          <w:i/>
          <w:color w:val="000000"/>
          <w:sz w:val="24"/>
          <w:szCs w:val="24"/>
        </w:rPr>
        <w:t>(Processing Data)</w:t>
      </w:r>
      <w:r w:rsidR="00CA7CC2" w:rsidRPr="00400489">
        <w:rPr>
          <w:rFonts w:ascii="Arial" w:eastAsia="Arial" w:hAnsi="Arial" w:cs="Arial"/>
          <w:color w:val="000000"/>
          <w:sz w:val="24"/>
          <w:szCs w:val="24"/>
        </w:rPr>
        <w:t xml:space="preserve"> does not apply to that Call-Off Contract.</w:t>
      </w:r>
    </w:p>
    <w:p w14:paraId="3E72E29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sz w:val="24"/>
          <w:szCs w:val="24"/>
        </w:rPr>
      </w:pPr>
      <w:r w:rsidRPr="00400489">
        <w:rPr>
          <w:rFonts w:ascii="Arial" w:eastAsia="Arial" w:hAnsi="Arial" w:cs="Arial"/>
          <w:b/>
          <w:color w:val="000000"/>
          <w:sz w:val="24"/>
          <w:szCs w:val="24"/>
        </w:rPr>
        <w:t>Charges, Payment and Recovery of Sums Due</w:t>
      </w:r>
      <w:r w:rsidRPr="00400489">
        <w:rPr>
          <w:rFonts w:ascii="Arial" w:eastAsia="Arial" w:hAnsi="Arial" w:cs="Arial"/>
          <w:color w:val="000000"/>
          <w:sz w:val="24"/>
          <w:szCs w:val="24"/>
        </w:rPr>
        <w:t> </w:t>
      </w:r>
    </w:p>
    <w:p w14:paraId="1F3D3CC5" w14:textId="22F298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2" w:name="_heading=h.1fob9te" w:colFirst="0" w:colLast="0"/>
      <w:bookmarkEnd w:id="2"/>
      <w:r w:rsidRPr="00400489">
        <w:rPr>
          <w:rFonts w:ascii="Arial" w:eastAsia="Arial" w:hAnsi="Arial" w:cs="Arial"/>
          <w:color w:val="000000"/>
          <w:sz w:val="24"/>
          <w:szCs w:val="24"/>
        </w:rPr>
        <w:t xml:space="preserve">The Supplier shall invoice the Buyer as specified in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as modified by any Framework Special Terms or any Call-Off Special Terms. </w:t>
      </w:r>
    </w:p>
    <w:p w14:paraId="0B51154E" w14:textId="62EC5DF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In addition to the provisions of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and any applicable Framework Special Term or Call-Off Special Term, the Supplier shall procure a Purchase Order Number from the Buyer before any Deliverables are supplied. Should the Supplier supply Deliverables without a Purchase Order Number: </w:t>
      </w:r>
    </w:p>
    <w:p w14:paraId="40AB0C9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the Supplier does so at its own risk; and</w:t>
      </w:r>
    </w:p>
    <w:p w14:paraId="7D0F63C8"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the Buyer shall not be obliged to pay any invoice without a valid Purchase Order Number having been provided to the Supplier.</w:t>
      </w:r>
    </w:p>
    <w:p w14:paraId="5273E8D1" w14:textId="66841EDD"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The Supplier shall submit each invoice and any Supporting Documentation required in accordance with Clause 4 </w:t>
      </w:r>
      <w:r w:rsidR="00F4191E" w:rsidRPr="00F4191E">
        <w:rPr>
          <w:rFonts w:ascii="Arial" w:eastAsia="Arial" w:hAnsi="Arial" w:cs="Arial"/>
          <w:i/>
          <w:color w:val="000000"/>
          <w:sz w:val="24"/>
          <w:szCs w:val="24"/>
        </w:rPr>
        <w:t>(Pricing and payments)</w:t>
      </w:r>
      <w:r w:rsidR="00F4191E">
        <w:rPr>
          <w:rFonts w:ascii="Arial" w:eastAsia="Arial" w:hAnsi="Arial" w:cs="Arial"/>
          <w:color w:val="000000"/>
          <w:sz w:val="24"/>
          <w:szCs w:val="24"/>
        </w:rPr>
        <w:t xml:space="preserve"> </w:t>
      </w:r>
      <w:r w:rsidRPr="00400489">
        <w:rPr>
          <w:rFonts w:ascii="Arial" w:eastAsia="Arial" w:hAnsi="Arial" w:cs="Arial"/>
          <w:color w:val="000000"/>
          <w:sz w:val="24"/>
          <w:szCs w:val="24"/>
        </w:rPr>
        <w:t xml:space="preserve">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and any applicable Framework Special Term or Call-Off Special Term, as directed by the Buyer from time to time, either: </w:t>
      </w:r>
    </w:p>
    <w:p w14:paraId="43B768D3"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via the Buyer ’s electronic transaction system as an Electronic Invoice; or </w:t>
      </w:r>
    </w:p>
    <w:p w14:paraId="6E3D4AC1"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to the [</w:t>
      </w:r>
      <w:r w:rsidRPr="00400489">
        <w:rPr>
          <w:rFonts w:ascii="Arial" w:eastAsia="Arial" w:hAnsi="Arial" w:cs="Arial"/>
          <w:color w:val="000000"/>
          <w:sz w:val="24"/>
          <w:szCs w:val="24"/>
          <w:highlight w:val="yellow"/>
        </w:rPr>
        <w:t>specify who the contact in HMRC is]</w:t>
      </w:r>
      <w:r w:rsidRPr="00400489">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14:paraId="4069C1B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Warranties</w:t>
      </w:r>
    </w:p>
    <w:p w14:paraId="3439E0E6"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represents and warrants that:</w:t>
      </w:r>
    </w:p>
    <w:p w14:paraId="2B75B9B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3" w:name="_heading=h.3znysh7" w:colFirst="0" w:colLast="0"/>
      <w:bookmarkEnd w:id="3"/>
      <w:r w:rsidRPr="00400489">
        <w:rPr>
          <w:rFonts w:ascii="Arial" w:eastAsia="Arial" w:hAnsi="Arial" w:cs="Arial"/>
          <w:color w:val="000000"/>
          <w:sz w:val="24"/>
          <w:szCs w:val="24"/>
        </w:rPr>
        <w:t>in the three years prior to the Effective Date, it has complied with all applicable Law related to Tax in the United Kingdom and in the jurisdiction in which it is established;</w:t>
      </w:r>
    </w:p>
    <w:p w14:paraId="5E625302"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4" w:name="_heading=h.2et92p0" w:colFirst="0" w:colLast="0"/>
      <w:bookmarkEnd w:id="4"/>
      <w:r w:rsidRPr="00400489">
        <w:rPr>
          <w:rFonts w:ascii="Arial" w:eastAsia="Arial" w:hAnsi="Arial" w:cs="Arial"/>
          <w:color w:val="000000"/>
          <w:sz w:val="24"/>
          <w:szCs w:val="24"/>
        </w:rPr>
        <w:t>it has notified the Buyer in writing of any Tax Compliance Failure it is involved in; and</w:t>
      </w:r>
    </w:p>
    <w:p w14:paraId="7D175009"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bookmarkStart w:id="5" w:name="_heading=h.tyjcwt" w:colFirst="0" w:colLast="0"/>
      <w:bookmarkEnd w:id="5"/>
      <w:r w:rsidRPr="00400489">
        <w:rPr>
          <w:rFonts w:ascii="Arial" w:eastAsia="Arial" w:hAnsi="Arial" w:cs="Arial"/>
          <w:color w:val="000000"/>
          <w:sz w:val="24"/>
          <w:szCs w:val="24"/>
        </w:rPr>
        <w:t>no proceedings or other steps have been taken (nor, to the best of the Supplier’s knowledge, are threatened) for:</w:t>
      </w:r>
    </w:p>
    <w:p w14:paraId="02666115" w14:textId="234FD76B"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the winding up of the Supplier; </w:t>
      </w:r>
    </w:p>
    <w:p w14:paraId="2CA72731"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the Supplier’s dissolution; or</w:t>
      </w:r>
    </w:p>
    <w:p w14:paraId="23973E00"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the appointment of a receiver, administrative receiver, liquidator, manager, administrator or similar officer in relation to any of the Supplier’s assets or revenue,</w:t>
      </w:r>
    </w:p>
    <w:p w14:paraId="7C323D25" w14:textId="77777777" w:rsidR="006B0EB1" w:rsidRPr="00400489" w:rsidRDefault="00CA7CC2" w:rsidP="00624A99">
      <w:pPr>
        <w:pStyle w:val="Heading2"/>
        <w:keepNext w:val="0"/>
        <w:keepLines w:val="0"/>
        <w:spacing w:before="120" w:after="120" w:line="240" w:lineRule="auto"/>
        <w:ind w:left="1985"/>
        <w:rPr>
          <w:rFonts w:ascii="Arial" w:eastAsia="Arial" w:hAnsi="Arial" w:cs="Arial"/>
          <w:color w:val="000000"/>
          <w:sz w:val="24"/>
          <w:szCs w:val="24"/>
        </w:rPr>
      </w:pPr>
      <w:r w:rsidRPr="00400489">
        <w:rPr>
          <w:rFonts w:ascii="Arial" w:eastAsia="Arial" w:hAnsi="Arial" w:cs="Arial"/>
          <w:color w:val="000000"/>
          <w:sz w:val="24"/>
          <w:szCs w:val="24"/>
        </w:rPr>
        <w:t>and the Supplier has notified the Buyer of any profit warnings it has issued in the three years prior to the Effective Date.</w:t>
      </w:r>
    </w:p>
    <w:p w14:paraId="2E60A8A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4D330461" w14:textId="209974FE"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warranty given by the Supplier in Paragraph 4.1.2 is materially untrue, this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393BE4CA"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Promoting Tax Compliance</w:t>
      </w:r>
    </w:p>
    <w:p w14:paraId="49C4F445"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6" w:name="_heading=h.3dy6vkm" w:colFirst="0" w:colLast="0"/>
      <w:bookmarkEnd w:id="6"/>
      <w:r w:rsidRPr="00400489">
        <w:rPr>
          <w:rFonts w:ascii="Arial" w:eastAsia="Arial" w:hAnsi="Arial" w:cs="Arial"/>
          <w:color w:val="000000"/>
          <w:sz w:val="24"/>
          <w:szCs w:val="24"/>
        </w:rPr>
        <w:lastRenderedPageBreak/>
        <w:t xml:space="preserve">The Supplier shall comply with all Law relating to Tax and with the equivalent legal provisions of the country in which the Supplier is established. </w:t>
      </w:r>
    </w:p>
    <w:p w14:paraId="23DBE192"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7" w:name="_heading=h.1t3h5sf" w:colFirst="0" w:colLast="0"/>
      <w:bookmarkEnd w:id="7"/>
      <w:r w:rsidRPr="00400489">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45696419"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color w:val="000000"/>
          <w:sz w:val="24"/>
          <w:szCs w:val="24"/>
        </w:rPr>
      </w:pPr>
      <w:bookmarkStart w:id="8" w:name="_heading=h.4d34og8" w:colFirst="0" w:colLast="0"/>
      <w:bookmarkEnd w:id="8"/>
      <w:r w:rsidRPr="00400489">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7731E68D" w14:textId="77777777" w:rsidR="006B0EB1" w:rsidRPr="00400489" w:rsidRDefault="00CA7CC2" w:rsidP="00624A99">
      <w:pPr>
        <w:pStyle w:val="Heading2"/>
        <w:keepNext w:val="0"/>
        <w:keepLines w:val="0"/>
        <w:numPr>
          <w:ilvl w:val="1"/>
          <w:numId w:val="1"/>
        </w:numPr>
        <w:spacing w:before="120" w:after="120" w:line="240" w:lineRule="auto"/>
        <w:ind w:left="993" w:hanging="567"/>
        <w:rPr>
          <w:rFonts w:ascii="Arial" w:eastAsia="Arial" w:hAnsi="Arial" w:cs="Arial"/>
          <w:sz w:val="24"/>
          <w:szCs w:val="24"/>
        </w:rPr>
      </w:pPr>
      <w:bookmarkStart w:id="9" w:name="_heading=h.2s8eyo1" w:colFirst="0" w:colLast="0"/>
      <w:bookmarkEnd w:id="9"/>
      <w:r w:rsidRPr="00400489">
        <w:rPr>
          <w:rFonts w:ascii="Arial" w:eastAsia="Arial" w:hAnsi="Arial" w:cs="Arial"/>
          <w:color w:val="000000"/>
          <w:sz w:val="24"/>
          <w:szCs w:val="24"/>
        </w:rPr>
        <w:t>If, at any point during the Call-Off Contract Period, there is a Tax Compliance Failure, the Supplier shall:</w:t>
      </w:r>
    </w:p>
    <w:p w14:paraId="5066966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0" w:name="_heading=h.17dp8vu" w:colFirst="0" w:colLast="0"/>
      <w:bookmarkEnd w:id="10"/>
      <w:r w:rsidRPr="00400489">
        <w:rPr>
          <w:rFonts w:ascii="Arial" w:eastAsia="Arial" w:hAnsi="Arial" w:cs="Arial"/>
          <w:color w:val="000000"/>
          <w:sz w:val="24"/>
          <w:szCs w:val="24"/>
        </w:rPr>
        <w:t>notify the Buyer in writing within five (5) Working Days of its occurrence; and</w:t>
      </w:r>
    </w:p>
    <w:p w14:paraId="0AA4A58B"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bookmarkStart w:id="11" w:name="_heading=h.3rdcrjn" w:colFirst="0" w:colLast="0"/>
      <w:bookmarkEnd w:id="11"/>
      <w:r w:rsidRPr="00400489">
        <w:rPr>
          <w:rFonts w:ascii="Arial" w:eastAsia="Arial" w:hAnsi="Arial" w:cs="Arial"/>
          <w:color w:val="000000"/>
          <w:sz w:val="24"/>
          <w:szCs w:val="24"/>
        </w:rPr>
        <w:t>promptly provide to the Buyer:</w:t>
      </w:r>
    </w:p>
    <w:p w14:paraId="696F7AD8"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color w:val="000000"/>
          <w:sz w:val="24"/>
          <w:szCs w:val="24"/>
        </w:rPr>
      </w:pPr>
      <w:r w:rsidRPr="00400489">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14:paraId="74C896E5" w14:textId="77777777" w:rsidR="006B0EB1" w:rsidRPr="00400489" w:rsidRDefault="00CA7CC2" w:rsidP="00624A99">
      <w:pPr>
        <w:pStyle w:val="Heading2"/>
        <w:keepNext w:val="0"/>
        <w:keepLines w:val="0"/>
        <w:numPr>
          <w:ilvl w:val="3"/>
          <w:numId w:val="1"/>
        </w:numPr>
        <w:spacing w:before="120" w:after="120" w:line="240" w:lineRule="auto"/>
        <w:ind w:left="2835" w:hanging="850"/>
        <w:rPr>
          <w:rFonts w:ascii="Arial" w:eastAsia="Arial" w:hAnsi="Arial" w:cs="Arial"/>
          <w:sz w:val="24"/>
          <w:szCs w:val="24"/>
        </w:rPr>
      </w:pPr>
      <w:r w:rsidRPr="00400489">
        <w:rPr>
          <w:rFonts w:ascii="Arial" w:eastAsia="Arial" w:hAnsi="Arial" w:cs="Arial"/>
          <w:color w:val="000000"/>
          <w:sz w:val="24"/>
          <w:szCs w:val="24"/>
        </w:rPr>
        <w:t>such other information in relation to the Tax Compliance Failure as the Buyer may reasonably require.</w:t>
      </w:r>
    </w:p>
    <w:p w14:paraId="4E51B4A5"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bookmarkStart w:id="12" w:name="_heading=h.26in1rg" w:colFirst="0" w:colLast="0"/>
      <w:bookmarkEnd w:id="12"/>
      <w:r w:rsidRPr="00400489">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2F8BF5AF" w14:textId="10716AD5"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Any amounts due under Paragraph 5.5 shall be paid not less than five (5) Working Days before the date upon which the Tax or other liab</w:t>
      </w:r>
      <w:r w:rsidR="00F4191E">
        <w:rPr>
          <w:rFonts w:ascii="Arial" w:eastAsia="Arial" w:hAnsi="Arial" w:cs="Arial"/>
          <w:color w:val="000000"/>
          <w:sz w:val="24"/>
          <w:szCs w:val="24"/>
        </w:rPr>
        <w:t xml:space="preserve">ility is payable by the Buyer. </w:t>
      </w:r>
      <w:r w:rsidRPr="00400489">
        <w:rPr>
          <w:rFonts w:ascii="Arial" w:eastAsia="Arial" w:hAnsi="Arial" w:cs="Arial"/>
          <w:color w:val="000000"/>
          <w:sz w:val="24"/>
          <w:szCs w:val="24"/>
        </w:rPr>
        <w:t xml:space="preserve">Any amounts due under Paragraph 5.5 shall not be subject to Clause 14.2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w:t>
      </w:r>
    </w:p>
    <w:p w14:paraId="275D08F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3" w:name="_heading=h.lnxbz9" w:colFirst="0" w:colLast="0"/>
      <w:bookmarkEnd w:id="13"/>
      <w:r w:rsidRPr="00400489">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14:paraId="372D2BF8"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 xml:space="preserve">If the Supplier: </w:t>
      </w:r>
    </w:p>
    <w:p w14:paraId="5AFC8CD4"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 xml:space="preserve">fails to comply with Paragraphs 5.1, 5.4.1 and/or 5.7 this may be a material breach of the Contract; </w:t>
      </w:r>
    </w:p>
    <w:p w14:paraId="25B382A6"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t>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14:paraId="72A7E7C7" w14:textId="77777777"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color w:val="000000"/>
          <w:sz w:val="24"/>
          <w:szCs w:val="24"/>
        </w:rPr>
      </w:pPr>
      <w:r w:rsidRPr="00400489">
        <w:rPr>
          <w:rFonts w:ascii="Arial" w:eastAsia="Arial" w:hAnsi="Arial" w:cs="Arial"/>
          <w:color w:val="000000"/>
          <w:sz w:val="24"/>
          <w:szCs w:val="24"/>
        </w:rPr>
        <w:lastRenderedPageBreak/>
        <w:t>fails to provide acceptable details of steps being taken and mitigating factors pursuant to Paragraph 5.4.2 this shall be a material breach of the Contract;</w:t>
      </w:r>
    </w:p>
    <w:p w14:paraId="2E73B674" w14:textId="77C1C627" w:rsidR="006B0EB1" w:rsidRPr="00400489" w:rsidRDefault="00CA7CC2" w:rsidP="00624A99">
      <w:pPr>
        <w:pStyle w:val="Heading2"/>
        <w:keepNext w:val="0"/>
        <w:keepLines w:val="0"/>
        <w:spacing w:before="120" w:after="120" w:line="240" w:lineRule="auto"/>
        <w:ind w:left="1134"/>
        <w:rPr>
          <w:rFonts w:ascii="Arial" w:eastAsia="Arial" w:hAnsi="Arial" w:cs="Arial"/>
          <w:color w:val="000000"/>
          <w:sz w:val="24"/>
          <w:szCs w:val="24"/>
        </w:rPr>
      </w:pPr>
      <w:r w:rsidRPr="00400489">
        <w:rPr>
          <w:rFonts w:ascii="Arial" w:eastAsia="Arial" w:hAnsi="Arial" w:cs="Arial"/>
          <w:color w:val="000000"/>
          <w:sz w:val="24"/>
          <w:szCs w:val="24"/>
        </w:rPr>
        <w:t xml:space="preserve">and any such material breach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282B4F0B" w14:textId="079F6618"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addition to those circumstances listed in Clause 18.2 to 18.4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the Buyer may internally share any information, including Confidential Information, which it receives under Paragraphs 5.2 to 5.4 (inclusive) and 5.7. </w:t>
      </w:r>
    </w:p>
    <w:p w14:paraId="208416BD"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4" w:name="_heading=h.35nkun2" w:colFirst="0" w:colLast="0"/>
      <w:bookmarkEnd w:id="14"/>
      <w:r w:rsidRPr="00400489">
        <w:rPr>
          <w:rFonts w:ascii="Arial" w:eastAsia="Arial" w:hAnsi="Arial" w:cs="Arial"/>
          <w:b/>
          <w:color w:val="000000"/>
          <w:sz w:val="24"/>
          <w:szCs w:val="24"/>
        </w:rPr>
        <w:t>Use of Off-shore Tax Structures</w:t>
      </w:r>
    </w:p>
    <w:p w14:paraId="06691DE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b/>
          <w:color w:val="000000"/>
          <w:sz w:val="24"/>
          <w:szCs w:val="24"/>
        </w:rPr>
      </w:pPr>
      <w:bookmarkStart w:id="15" w:name="_heading=h.1ksv4uv" w:colFirst="0" w:colLast="0"/>
      <w:bookmarkEnd w:id="15"/>
      <w:r w:rsidRPr="00400489">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09AD57E7"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6" w:name="_heading=h.44sinio" w:colFirst="0" w:colLast="0"/>
      <w:bookmarkEnd w:id="16"/>
      <w:r w:rsidRPr="00400489">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5A11EDBE" w14:textId="1CDF5989"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7" w:name="_heading=h.2jxsxqh" w:colFirst="0" w:colLast="0"/>
      <w:bookmarkEnd w:id="17"/>
      <w:r w:rsidRPr="00400489">
        <w:rPr>
          <w:rFonts w:ascii="Arial" w:eastAsia="Arial" w:hAnsi="Arial" w:cs="Arial"/>
          <w:color w:val="000000"/>
          <w:sz w:val="24"/>
          <w:szCs w:val="24"/>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38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if necessary.</w:t>
      </w:r>
    </w:p>
    <w:p w14:paraId="7CDA6E08" w14:textId="3B030BA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Supplier (or a Key Subcontractor) to comply with the obligations set out in Paragraphs 6.2 and 6.3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Terms shall apply as if the Contract had been terminated under Clause 13.3.1.</w:t>
      </w:r>
    </w:p>
    <w:p w14:paraId="62BC2B34"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r w:rsidRPr="00400489">
        <w:rPr>
          <w:rFonts w:ascii="Arial" w:eastAsia="Arial" w:hAnsi="Arial" w:cs="Arial"/>
          <w:b/>
          <w:color w:val="000000"/>
          <w:sz w:val="24"/>
          <w:szCs w:val="24"/>
        </w:rPr>
        <w:t>Data Protection and off-shoring</w:t>
      </w:r>
    </w:p>
    <w:p w14:paraId="67D2654C" w14:textId="7F34A2F9" w:rsidR="006B0EB1" w:rsidRPr="00400489" w:rsidRDefault="00CB3CE3"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18" w:name="_heading=h.z337ya" w:colFirst="0" w:colLast="0"/>
      <w:bookmarkEnd w:id="18"/>
      <w:r w:rsidRPr="00400489">
        <w:rPr>
          <w:rFonts w:ascii="Arial" w:eastAsia="Arial" w:hAnsi="Arial" w:cs="Arial"/>
          <w:color w:val="000000"/>
          <w:sz w:val="24"/>
          <w:szCs w:val="24"/>
        </w:rPr>
        <w:t xml:space="preserve">In addition to its data protection responsibilities set out in the </w:t>
      </w:r>
      <w:r w:rsidR="008D118E" w:rsidRPr="00400489">
        <w:rPr>
          <w:rFonts w:ascii="Arial" w:eastAsia="Arial" w:hAnsi="Arial" w:cs="Arial"/>
          <w:color w:val="000000"/>
          <w:sz w:val="24"/>
          <w:szCs w:val="24"/>
        </w:rPr>
        <w:t>General</w:t>
      </w:r>
      <w:r w:rsidR="00624A99">
        <w:rPr>
          <w:rFonts w:ascii="Arial" w:eastAsia="Arial" w:hAnsi="Arial" w:cs="Arial"/>
          <w:color w:val="000000"/>
          <w:sz w:val="24"/>
          <w:szCs w:val="24"/>
        </w:rPr>
        <w:t xml:space="preserve"> Terms and Joint Schedule 10</w:t>
      </w:r>
      <w:r w:rsidRPr="00400489">
        <w:rPr>
          <w:rFonts w:ascii="Arial" w:eastAsia="Arial" w:hAnsi="Arial" w:cs="Arial"/>
          <w:color w:val="000000"/>
          <w:sz w:val="24"/>
          <w:szCs w:val="24"/>
        </w:rPr>
        <w:t xml:space="preserve"> </w:t>
      </w:r>
      <w:r w:rsidRPr="00624A99">
        <w:rPr>
          <w:rFonts w:ascii="Arial" w:eastAsia="Arial" w:hAnsi="Arial" w:cs="Arial"/>
          <w:i/>
          <w:color w:val="000000"/>
          <w:sz w:val="24"/>
          <w:szCs w:val="24"/>
        </w:rPr>
        <w:t>(Processing Data</w:t>
      </w:r>
      <w:r w:rsidR="00624A99" w:rsidRPr="00624A99">
        <w:rPr>
          <w:rFonts w:ascii="Arial" w:eastAsia="Arial" w:hAnsi="Arial" w:cs="Arial"/>
          <w:i/>
          <w:color w:val="000000"/>
          <w:sz w:val="24"/>
          <w:szCs w:val="24"/>
        </w:rPr>
        <w:t>)</w:t>
      </w:r>
      <w:r w:rsidRPr="00400489">
        <w:rPr>
          <w:rFonts w:ascii="Arial" w:eastAsia="Arial" w:hAnsi="Arial" w:cs="Arial"/>
          <w:color w:val="000000"/>
          <w:sz w:val="24"/>
          <w:szCs w:val="24"/>
        </w:rPr>
        <w:t>, t</w:t>
      </w:r>
      <w:r w:rsidR="00CA7CC2" w:rsidRPr="00400489">
        <w:rPr>
          <w:rFonts w:ascii="Arial" w:eastAsia="Arial" w:hAnsi="Arial" w:cs="Arial"/>
          <w:color w:val="000000"/>
          <w:sz w:val="24"/>
          <w:szCs w:val="24"/>
        </w:rPr>
        <w:t>he Processor shall, in relation to any Personal Data Processed in connection with its obligations under the Contract:</w:t>
      </w:r>
    </w:p>
    <w:p w14:paraId="0D84F4AC" w14:textId="590D0429" w:rsidR="006B0EB1" w:rsidRPr="00400489" w:rsidRDefault="00CA7CC2" w:rsidP="00624A99">
      <w:pPr>
        <w:pStyle w:val="Heading2"/>
        <w:keepNext w:val="0"/>
        <w:keepLines w:val="0"/>
        <w:numPr>
          <w:ilvl w:val="2"/>
          <w:numId w:val="1"/>
        </w:numPr>
        <w:spacing w:before="120" w:after="120" w:line="240" w:lineRule="auto"/>
        <w:ind w:left="1985" w:hanging="851"/>
        <w:rPr>
          <w:rFonts w:ascii="Arial" w:eastAsia="Arial" w:hAnsi="Arial" w:cs="Arial"/>
          <w:sz w:val="24"/>
          <w:szCs w:val="24"/>
        </w:rPr>
      </w:pPr>
      <w:r w:rsidRPr="00400489">
        <w:rPr>
          <w:rFonts w:ascii="Arial" w:eastAsia="Arial" w:hAnsi="Arial" w:cs="Arial"/>
          <w:color w:val="000000"/>
          <w:sz w:val="24"/>
          <w:szCs w:val="24"/>
        </w:rPr>
        <w:t xml:space="preserve">not transfer Personal Data outside of the United Kingdom unless the prior written consent of the Controller has been obtained </w:t>
      </w:r>
      <w:r w:rsidR="00CB3CE3" w:rsidRPr="00400489">
        <w:rPr>
          <w:rFonts w:ascii="Arial" w:eastAsia="Arial" w:hAnsi="Arial" w:cs="Arial"/>
          <w:color w:val="000000"/>
          <w:sz w:val="24"/>
          <w:szCs w:val="24"/>
        </w:rPr>
        <w:t xml:space="preserve">(which requirement for the Controller's prior written consent </w:t>
      </w:r>
      <w:r w:rsidR="008E0638" w:rsidRPr="00400489">
        <w:rPr>
          <w:rFonts w:ascii="Arial" w:eastAsia="Arial" w:hAnsi="Arial" w:cs="Arial"/>
          <w:color w:val="000000"/>
          <w:sz w:val="24"/>
          <w:szCs w:val="24"/>
        </w:rPr>
        <w:t xml:space="preserve">to any proposed transfer outside of the United Kingdom </w:t>
      </w:r>
      <w:r w:rsidR="00CB3CE3" w:rsidRPr="00400489">
        <w:rPr>
          <w:rFonts w:ascii="Arial" w:eastAsia="Arial" w:hAnsi="Arial" w:cs="Arial"/>
          <w:color w:val="000000"/>
          <w:sz w:val="24"/>
          <w:szCs w:val="24"/>
        </w:rPr>
        <w:t>shall apply</w:t>
      </w:r>
      <w:r w:rsidR="00F76A94" w:rsidRPr="00400489">
        <w:rPr>
          <w:rFonts w:ascii="Arial" w:eastAsia="Arial" w:hAnsi="Arial" w:cs="Arial"/>
          <w:color w:val="000000"/>
          <w:sz w:val="24"/>
          <w:szCs w:val="24"/>
        </w:rPr>
        <w:t xml:space="preserve"> </w:t>
      </w:r>
      <w:r w:rsidR="00F76A94" w:rsidRPr="00400489">
        <w:rPr>
          <w:rFonts w:ascii="Arial" w:eastAsia="Arial" w:hAnsi="Arial" w:cs="Arial"/>
          <w:color w:val="000000"/>
          <w:sz w:val="24"/>
          <w:szCs w:val="24"/>
        </w:rPr>
        <w:lastRenderedPageBreak/>
        <w:t>notwithstanding any provisions</w:t>
      </w:r>
      <w:r w:rsidR="00CB3CE3" w:rsidRPr="00400489">
        <w:rPr>
          <w:rFonts w:ascii="Arial" w:eastAsia="Arial" w:hAnsi="Arial" w:cs="Arial"/>
          <w:color w:val="000000"/>
          <w:sz w:val="24"/>
          <w:szCs w:val="24"/>
        </w:rPr>
        <w:t xml:space="preserve"> to t</w:t>
      </w:r>
      <w:r w:rsidR="00624A99">
        <w:rPr>
          <w:rFonts w:ascii="Arial" w:eastAsia="Arial" w:hAnsi="Arial" w:cs="Arial"/>
          <w:color w:val="000000"/>
          <w:sz w:val="24"/>
          <w:szCs w:val="24"/>
        </w:rPr>
        <w:t>he contrary in Joint Schedule 10</w:t>
      </w:r>
      <w:r w:rsidR="00CB3CE3" w:rsidRPr="00400489">
        <w:rPr>
          <w:rFonts w:ascii="Arial" w:eastAsia="Arial" w:hAnsi="Arial" w:cs="Arial"/>
          <w:color w:val="000000"/>
          <w:sz w:val="24"/>
          <w:szCs w:val="24"/>
        </w:rPr>
        <w:t xml:space="preserve"> </w:t>
      </w:r>
      <w:r w:rsidR="00CB3CE3" w:rsidRPr="00624A99">
        <w:rPr>
          <w:rFonts w:ascii="Arial" w:eastAsia="Arial" w:hAnsi="Arial" w:cs="Arial"/>
          <w:i/>
          <w:color w:val="000000"/>
          <w:sz w:val="24"/>
          <w:szCs w:val="24"/>
        </w:rPr>
        <w:t>(Processing Data)</w:t>
      </w:r>
      <w:r w:rsidR="00CB3CE3" w:rsidRPr="00400489">
        <w:rPr>
          <w:rFonts w:ascii="Arial" w:eastAsia="Arial" w:hAnsi="Arial" w:cs="Arial"/>
          <w:color w:val="000000"/>
          <w:sz w:val="24"/>
          <w:szCs w:val="24"/>
        </w:rPr>
        <w:t xml:space="preserve">) </w:t>
      </w:r>
      <w:r w:rsidRPr="00400489">
        <w:rPr>
          <w:rFonts w:ascii="Arial" w:eastAsia="Arial" w:hAnsi="Arial" w:cs="Arial"/>
          <w:color w:val="000000"/>
          <w:sz w:val="24"/>
          <w:szCs w:val="24"/>
        </w:rPr>
        <w:t>and the following conditions are fulfilled:</w:t>
      </w:r>
    </w:p>
    <w:p w14:paraId="40AB18B7" w14:textId="278C025D"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 xml:space="preserve">the Controller or the Processor has provided appropriate safeguards in relation to the transfer (whether in accordance with </w:t>
      </w:r>
      <w:r w:rsidR="00CB3CE3" w:rsidRPr="00400489">
        <w:rPr>
          <w:rFonts w:ascii="Arial" w:eastAsia="Arial" w:hAnsi="Arial" w:cs="Arial"/>
          <w:color w:val="000000"/>
          <w:sz w:val="24"/>
          <w:szCs w:val="24"/>
        </w:rPr>
        <w:t xml:space="preserve">UK </w:t>
      </w:r>
      <w:r w:rsidRPr="00400489">
        <w:rPr>
          <w:rFonts w:ascii="Arial" w:eastAsia="Arial" w:hAnsi="Arial" w:cs="Arial"/>
          <w:color w:val="000000"/>
          <w:sz w:val="24"/>
          <w:szCs w:val="24"/>
        </w:rPr>
        <w:t xml:space="preserve">GDPR Article 46 or </w:t>
      </w:r>
      <w:r w:rsidR="00CB3CE3" w:rsidRPr="00400489">
        <w:rPr>
          <w:rFonts w:ascii="Arial" w:eastAsia="Arial" w:hAnsi="Arial" w:cs="Arial"/>
          <w:color w:val="000000"/>
          <w:sz w:val="24"/>
          <w:szCs w:val="24"/>
        </w:rPr>
        <w:t xml:space="preserve">DPA 2018 Section 75 or EU GDP </w:t>
      </w:r>
      <w:r w:rsidRPr="00400489">
        <w:rPr>
          <w:rFonts w:ascii="Arial" w:eastAsia="Arial" w:hAnsi="Arial" w:cs="Arial"/>
          <w:color w:val="000000"/>
          <w:sz w:val="24"/>
          <w:szCs w:val="24"/>
        </w:rPr>
        <w:t xml:space="preserve">Article </w:t>
      </w:r>
      <w:r w:rsidR="00CB3CE3" w:rsidRPr="00400489">
        <w:rPr>
          <w:rFonts w:ascii="Arial" w:eastAsia="Arial" w:hAnsi="Arial" w:cs="Arial"/>
          <w:color w:val="000000"/>
          <w:sz w:val="24"/>
          <w:szCs w:val="24"/>
        </w:rPr>
        <w:t>46</w:t>
      </w:r>
      <w:r w:rsidRPr="00400489">
        <w:rPr>
          <w:rFonts w:ascii="Arial" w:eastAsia="Arial" w:hAnsi="Arial" w:cs="Arial"/>
          <w:color w:val="000000"/>
          <w:sz w:val="24"/>
          <w:szCs w:val="24"/>
        </w:rPr>
        <w:t>) as determined by the Controller;</w:t>
      </w:r>
    </w:p>
    <w:p w14:paraId="7EE00117"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Data Subject has enforceable rights and effective legal remedies;</w:t>
      </w:r>
    </w:p>
    <w:p w14:paraId="7296BCAC" w14:textId="77777777"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BD1134A" w14:textId="41437071" w:rsidR="006B0EB1" w:rsidRPr="00400489" w:rsidRDefault="00CA7CC2" w:rsidP="00624A99">
      <w:pPr>
        <w:pStyle w:val="Heading2"/>
        <w:keepNext w:val="0"/>
        <w:keepLines w:val="0"/>
        <w:numPr>
          <w:ilvl w:val="3"/>
          <w:numId w:val="1"/>
        </w:numPr>
        <w:spacing w:before="120" w:after="120" w:line="240" w:lineRule="auto"/>
        <w:ind w:left="2694" w:hanging="709"/>
        <w:rPr>
          <w:rFonts w:ascii="Arial" w:eastAsia="Arial" w:hAnsi="Arial" w:cs="Arial"/>
          <w:sz w:val="24"/>
          <w:szCs w:val="24"/>
        </w:rPr>
      </w:pPr>
      <w:r w:rsidRPr="00400489">
        <w:rPr>
          <w:rFonts w:ascii="Arial" w:eastAsia="Arial" w:hAnsi="Arial" w:cs="Arial"/>
          <w:color w:val="000000"/>
          <w:sz w:val="24"/>
          <w:szCs w:val="24"/>
        </w:rPr>
        <w:t>the Processor complies with any reasonable instructions notified to it in advance by the Controller with respect to the Processing of the Personal Data</w:t>
      </w:r>
      <w:r w:rsidR="00C97E5C" w:rsidRPr="00400489">
        <w:rPr>
          <w:rFonts w:ascii="Arial" w:eastAsia="Arial" w:hAnsi="Arial" w:cs="Arial"/>
          <w:color w:val="000000"/>
          <w:sz w:val="24"/>
          <w:szCs w:val="24"/>
        </w:rPr>
        <w:t>.</w:t>
      </w:r>
    </w:p>
    <w:p w14:paraId="3EDDBAA6" w14:textId="3AD154FF"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Failure by the Processor to comply with the obligations set out in Paragraph 7.1 shall be deemed to be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and Clause 13.4.1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shall apply as if the Contract had been terminated under Clause 13.3.1. </w:t>
      </w:r>
    </w:p>
    <w:p w14:paraId="5B4E580E" w14:textId="77777777" w:rsidR="006B0EB1" w:rsidRPr="00400489" w:rsidRDefault="00CA7CC2" w:rsidP="00624A99">
      <w:pPr>
        <w:pStyle w:val="Heading2"/>
        <w:keepNext w:val="0"/>
        <w:keepLines w:val="0"/>
        <w:numPr>
          <w:ilvl w:val="0"/>
          <w:numId w:val="1"/>
        </w:numPr>
        <w:pBdr>
          <w:top w:val="nil"/>
          <w:left w:val="nil"/>
          <w:bottom w:val="nil"/>
          <w:right w:val="nil"/>
          <w:between w:val="nil"/>
        </w:pBdr>
        <w:spacing w:before="120" w:after="120" w:line="240" w:lineRule="auto"/>
        <w:ind w:left="426" w:hanging="426"/>
        <w:rPr>
          <w:rFonts w:ascii="Arial" w:eastAsia="Arial" w:hAnsi="Arial" w:cs="Arial"/>
          <w:b/>
          <w:sz w:val="24"/>
          <w:szCs w:val="24"/>
        </w:rPr>
      </w:pPr>
      <w:bookmarkStart w:id="19" w:name="_heading=h.3j2qqm3" w:colFirst="0" w:colLast="0"/>
      <w:bookmarkEnd w:id="19"/>
      <w:r w:rsidRPr="00400489">
        <w:rPr>
          <w:rFonts w:ascii="Arial" w:eastAsia="Arial" w:hAnsi="Arial" w:cs="Arial"/>
          <w:b/>
          <w:color w:val="000000"/>
          <w:sz w:val="24"/>
          <w:szCs w:val="24"/>
        </w:rPr>
        <w:t xml:space="preserve">Commissioners for Revenue and Customs Act 2005 and related Legislation </w:t>
      </w:r>
    </w:p>
    <w:p w14:paraId="6795048C"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bookmarkStart w:id="20" w:name="_heading=h.1y810tw" w:colFirst="0" w:colLast="0"/>
      <w:bookmarkEnd w:id="20"/>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sidRPr="00400489">
        <w:rPr>
          <w:rFonts w:ascii="Arial" w:eastAsia="Arial" w:hAnsi="Arial" w:cs="Arial"/>
          <w:b/>
          <w:color w:val="000000"/>
          <w:sz w:val="24"/>
          <w:szCs w:val="24"/>
        </w:rPr>
        <w:t>CRCA</w:t>
      </w:r>
      <w:r w:rsidRPr="00400489">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5ADC6B8A"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color w:val="000000"/>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400489">
        <w:rPr>
          <w:rFonts w:ascii="Arial" w:hAnsi="Arial" w:cs="Arial"/>
          <w:i/>
          <w:color w:val="000000"/>
          <w:sz w:val="24"/>
          <w:szCs w:val="24"/>
        </w:rPr>
        <w:t xml:space="preserve"> </w:t>
      </w:r>
      <w:r w:rsidRPr="00400489">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14:paraId="55167090"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58E91F9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026D2D63" w14:textId="77777777"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172E06B" w14:textId="711DE50B" w:rsidR="006B0EB1" w:rsidRPr="00400489" w:rsidRDefault="00CA7CC2" w:rsidP="00624A99">
      <w:pPr>
        <w:pStyle w:val="Heading2"/>
        <w:keepNext w:val="0"/>
        <w:keepLines w:val="0"/>
        <w:numPr>
          <w:ilvl w:val="1"/>
          <w:numId w:val="1"/>
        </w:numPr>
        <w:spacing w:before="120" w:after="120" w:line="240" w:lineRule="auto"/>
        <w:ind w:left="1134" w:hanging="708"/>
        <w:rPr>
          <w:rFonts w:ascii="Arial" w:eastAsia="Arial" w:hAnsi="Arial" w:cs="Arial"/>
          <w:sz w:val="24"/>
          <w:szCs w:val="24"/>
        </w:rPr>
      </w:pPr>
      <w:r w:rsidRPr="00400489">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13.3.1 of the </w:t>
      </w:r>
      <w:r w:rsidR="008D118E" w:rsidRPr="00400489">
        <w:rPr>
          <w:rFonts w:ascii="Arial" w:eastAsia="Arial" w:hAnsi="Arial" w:cs="Arial"/>
          <w:color w:val="000000"/>
          <w:sz w:val="24"/>
          <w:szCs w:val="24"/>
        </w:rPr>
        <w:t xml:space="preserve">General </w:t>
      </w:r>
      <w:r w:rsidRPr="00400489">
        <w:rPr>
          <w:rFonts w:ascii="Arial" w:eastAsia="Arial" w:hAnsi="Arial" w:cs="Arial"/>
          <w:color w:val="000000"/>
          <w:sz w:val="24"/>
          <w:szCs w:val="24"/>
        </w:rPr>
        <w:t xml:space="preserve">Terms applies. </w:t>
      </w:r>
    </w:p>
    <w:p w14:paraId="1F183E38" w14:textId="77777777" w:rsidR="006B0EB1" w:rsidRPr="00400489" w:rsidRDefault="00CA7CC2" w:rsidP="00624A99">
      <w:pPr>
        <w:spacing w:before="120" w:after="120" w:line="240" w:lineRule="auto"/>
        <w:rPr>
          <w:rFonts w:eastAsia="Arial"/>
          <w:b/>
        </w:rPr>
      </w:pPr>
      <w:r w:rsidRPr="00400489">
        <w:br w:type="page"/>
      </w:r>
      <w:r w:rsidRPr="00400489">
        <w:rPr>
          <w:rFonts w:eastAsia="Arial"/>
          <w:b/>
        </w:rPr>
        <w:lastRenderedPageBreak/>
        <w:t>Annex 1</w:t>
      </w:r>
    </w:p>
    <w:p w14:paraId="0017B08E" w14:textId="77777777" w:rsidR="006B0EB1" w:rsidRPr="00400489" w:rsidRDefault="00CA7CC2" w:rsidP="00624A99">
      <w:pPr>
        <w:spacing w:before="120" w:after="120" w:line="240" w:lineRule="auto"/>
        <w:rPr>
          <w:rFonts w:eastAsia="Arial"/>
          <w:b/>
        </w:rPr>
      </w:pPr>
      <w:r w:rsidRPr="00400489">
        <w:rPr>
          <w:rFonts w:eastAsia="Arial"/>
          <w:b/>
        </w:rPr>
        <w:t>Excerpt from HMRC’s “Test for Tax Non-Compliance”</w:t>
      </w:r>
    </w:p>
    <w:p w14:paraId="6254E96C" w14:textId="38E4629E"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one (An in-scope entity or person)</w:t>
      </w:r>
    </w:p>
    <w:p w14:paraId="02791FDC" w14:textId="7E88954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There is a person or entity which is either: (“X”)</w:t>
      </w:r>
    </w:p>
    <w:p w14:paraId="7BC7E734" w14:textId="248B9D3C"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The Economic Operator or Essential Subcontractor (EOS)</w:t>
      </w:r>
      <w:r w:rsidR="007C3396">
        <w:rPr>
          <w:rFonts w:eastAsia="Arial"/>
        </w:rPr>
        <w:t>;</w:t>
      </w:r>
    </w:p>
    <w:p w14:paraId="3EFD9D25"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 xml:space="preserve">Part of the same Group of companies of EOS. An entity will be treated as within the same Group of EOS where that entities’ financial statements would be required to be consolidated with those of EOS if prepared in accordance with </w:t>
      </w:r>
      <w:r w:rsidRPr="00400489">
        <w:rPr>
          <w:rFonts w:eastAsia="Arial"/>
          <w:i/>
        </w:rPr>
        <w:t>IFRS 10 Consolidated Financial Accounts</w:t>
      </w:r>
      <w:r w:rsidRPr="00400489">
        <w:rPr>
          <w:rFonts w:eastAsia="Arial"/>
          <w:i/>
          <w:vertAlign w:val="superscript"/>
        </w:rPr>
        <w:footnoteReference w:id="1"/>
      </w:r>
      <w:r w:rsidRPr="00400489">
        <w:rPr>
          <w:rFonts w:eastAsia="Arial"/>
        </w:rPr>
        <w:t>;</w:t>
      </w:r>
    </w:p>
    <w:p w14:paraId="5F9F9CDF" w14:textId="77777777" w:rsidR="006B0EB1" w:rsidRPr="00400489" w:rsidRDefault="00CA7CC2" w:rsidP="00624A99">
      <w:pPr>
        <w:numPr>
          <w:ilvl w:val="0"/>
          <w:numId w:val="6"/>
        </w:numPr>
        <w:pBdr>
          <w:top w:val="nil"/>
          <w:left w:val="nil"/>
          <w:bottom w:val="nil"/>
          <w:right w:val="nil"/>
          <w:between w:val="nil"/>
        </w:pBdr>
        <w:spacing w:before="120" w:after="120" w:line="240" w:lineRule="auto"/>
        <w:ind w:left="709" w:hanging="283"/>
        <w:rPr>
          <w:rFonts w:eastAsia="Arial"/>
        </w:rPr>
      </w:pPr>
      <w:r w:rsidRPr="00400489">
        <w:rPr>
          <w:rFonts w:eastAsia="Arial"/>
        </w:rPr>
        <w:t>Any director, shareholder or other person (P) which exercises control over EOS. ‘Control’ means P can secure, through holding of shares or powers under articles of association or other document that EOS’s affairs are conducted in accordance with P’s wishes.</w:t>
      </w:r>
    </w:p>
    <w:p w14:paraId="0951F8E0"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28C54D6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two (Arrangements involving evasion, abuse or tax avoidance)</w:t>
      </w:r>
    </w:p>
    <w:p w14:paraId="5A54308F" w14:textId="01547A2F"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X has been engaged in one or more of the following:</w:t>
      </w:r>
    </w:p>
    <w:p w14:paraId="6AD7D21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Fraudulent evasion</w:t>
      </w:r>
      <w:r w:rsidRPr="00400489">
        <w:rPr>
          <w:rFonts w:eastAsia="Arial"/>
          <w:vertAlign w:val="superscript"/>
        </w:rPr>
        <w:footnoteReference w:id="2"/>
      </w:r>
      <w:r w:rsidRPr="00400489">
        <w:rPr>
          <w:rFonts w:eastAsia="Arial"/>
        </w:rPr>
        <w:t>;</w:t>
      </w:r>
    </w:p>
    <w:p w14:paraId="40252C2C"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General Anti-Abuse Rule</w:t>
      </w:r>
      <w:r w:rsidRPr="00400489">
        <w:rPr>
          <w:rFonts w:eastAsia="Arial"/>
          <w:vertAlign w:val="superscript"/>
        </w:rPr>
        <w:footnoteReference w:id="3"/>
      </w:r>
      <w:r w:rsidRPr="00400489">
        <w:rPr>
          <w:rFonts w:eastAsia="Arial"/>
        </w:rPr>
        <w:t>;</w:t>
      </w:r>
    </w:p>
    <w:p w14:paraId="787434E3"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the Halifax Abuse principle</w:t>
      </w:r>
      <w:r w:rsidRPr="00400489">
        <w:rPr>
          <w:rFonts w:eastAsia="Arial"/>
          <w:vertAlign w:val="superscript"/>
        </w:rPr>
        <w:footnoteReference w:id="4"/>
      </w:r>
      <w:r w:rsidRPr="00400489">
        <w:rPr>
          <w:rFonts w:eastAsia="Arial"/>
        </w:rPr>
        <w:t>;</w:t>
      </w:r>
    </w:p>
    <w:p w14:paraId="1F8AB8D6"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arrangements caught by a DOTAS or VADR scheme</w:t>
      </w:r>
      <w:r w:rsidRPr="00400489">
        <w:rPr>
          <w:rFonts w:eastAsia="Arial"/>
          <w:vertAlign w:val="superscript"/>
        </w:rPr>
        <w:footnoteReference w:id="5"/>
      </w:r>
      <w:r w:rsidRPr="00400489">
        <w:rPr>
          <w:rFonts w:eastAsia="Arial"/>
        </w:rPr>
        <w:t>;</w:t>
      </w:r>
    </w:p>
    <w:p w14:paraId="17224A75"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Conduct caught by a recognised ‘anti-avoidance rule’</w:t>
      </w:r>
      <w:r w:rsidRPr="00400489">
        <w:rPr>
          <w:rFonts w:eastAsia="Arial"/>
          <w:vertAlign w:val="superscript"/>
        </w:rPr>
        <w:footnoteReference w:id="6"/>
      </w:r>
      <w:r w:rsidRPr="00400489">
        <w:rPr>
          <w:rFonts w:eastAsia="Arial"/>
        </w:rPr>
        <w:t xml:space="preserve"> being a statutory provision which targets arrangements where either a main purpose, or an expected benefit, is to obtain a tax advantage or where the arrangement is not effected for commercial purposes. ‘Targeted Anti-Avoidance Rules’ (TAARs). </w:t>
      </w:r>
      <w:r w:rsidRPr="00400489">
        <w:rPr>
          <w:rFonts w:eastAsia="Arial"/>
        </w:rPr>
        <w:lastRenderedPageBreak/>
        <w:t>It may be useful to confirm that the Diverted Profits Tax is a TAAR for these purposes;</w:t>
      </w:r>
    </w:p>
    <w:p w14:paraId="21F6DDF0"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Entered into an avoidance scheme identified by HMRC’s published Spotlights list</w:t>
      </w:r>
      <w:r w:rsidRPr="00400489">
        <w:rPr>
          <w:rFonts w:eastAsia="Arial"/>
          <w:vertAlign w:val="superscript"/>
        </w:rPr>
        <w:footnoteReference w:id="7"/>
      </w:r>
      <w:r w:rsidRPr="00400489">
        <w:rPr>
          <w:rFonts w:eastAsia="Arial"/>
        </w:rPr>
        <w:t>;</w:t>
      </w:r>
    </w:p>
    <w:p w14:paraId="04432FFA" w14:textId="77777777" w:rsidR="006B0EB1" w:rsidRPr="00400489" w:rsidRDefault="00CA7CC2" w:rsidP="00624A99">
      <w:pPr>
        <w:numPr>
          <w:ilvl w:val="1"/>
          <w:numId w:val="4"/>
        </w:numPr>
        <w:pBdr>
          <w:top w:val="nil"/>
          <w:left w:val="nil"/>
          <w:bottom w:val="nil"/>
          <w:right w:val="nil"/>
          <w:between w:val="nil"/>
        </w:pBdr>
        <w:spacing w:before="120" w:after="120" w:line="240" w:lineRule="auto"/>
        <w:ind w:left="709" w:hanging="283"/>
        <w:rPr>
          <w:rFonts w:eastAsia="Arial"/>
        </w:rPr>
      </w:pPr>
      <w:r w:rsidRPr="00400489">
        <w:rPr>
          <w:rFonts w:eastAsia="Arial"/>
        </w:rPr>
        <w:t>Engaged in conduct which falls under rules in other jurisdictions which are equivalent or similar to (a) to (f) above.</w:t>
      </w:r>
    </w:p>
    <w:p w14:paraId="20943B46"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i/>
        </w:rPr>
        <w:t>Condition three (Arrangements are admitted, or subject to litigation/prosecution or identified in a published list (Spotlights))</w:t>
      </w:r>
    </w:p>
    <w:p w14:paraId="71C09E7F" w14:textId="7C925367" w:rsidR="006B0EB1" w:rsidRPr="00400489" w:rsidRDefault="00CA7CC2" w:rsidP="00624A99">
      <w:pPr>
        <w:numPr>
          <w:ilvl w:val="0"/>
          <w:numId w:val="7"/>
        </w:numPr>
        <w:pBdr>
          <w:top w:val="nil"/>
          <w:left w:val="nil"/>
          <w:bottom w:val="nil"/>
          <w:right w:val="nil"/>
          <w:between w:val="nil"/>
        </w:pBdr>
        <w:spacing w:before="120" w:after="120" w:line="240" w:lineRule="auto"/>
        <w:rPr>
          <w:rFonts w:eastAsia="Arial"/>
        </w:rPr>
      </w:pPr>
      <w:r w:rsidRPr="00400489">
        <w:rPr>
          <w:rFonts w:eastAsia="Arial"/>
        </w:rPr>
        <w:t xml:space="preserve">X’s activity in </w:t>
      </w:r>
      <w:r w:rsidRPr="00400489">
        <w:rPr>
          <w:rFonts w:eastAsia="Arial"/>
          <w:i/>
        </w:rPr>
        <w:t>Condition 2</w:t>
      </w:r>
      <w:r w:rsidRPr="00400489">
        <w:rPr>
          <w:rFonts w:eastAsia="Arial"/>
        </w:rPr>
        <w:t xml:space="preserve"> is, where applicable, subject to dispute and/or litigation as follows:</w:t>
      </w:r>
    </w:p>
    <w:p w14:paraId="058D58C3"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(a), either X:</w:t>
      </w:r>
    </w:p>
    <w:p w14:paraId="1A92F69A"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Has accepted the terms of an offer made under a Contractual Disclosure Facility (CDF) pursuant to the Code of Practice 9 (COP9) procedure</w:t>
      </w:r>
      <w:r w:rsidRPr="00400489">
        <w:rPr>
          <w:rFonts w:eastAsia="Arial"/>
          <w:vertAlign w:val="superscript"/>
        </w:rPr>
        <w:footnoteReference w:id="8"/>
      </w:r>
      <w:r w:rsidRPr="00400489">
        <w:rPr>
          <w:rFonts w:eastAsia="Arial"/>
        </w:rPr>
        <w:t>; or,</w:t>
      </w:r>
    </w:p>
    <w:p w14:paraId="2E458ACB" w14:textId="77777777" w:rsidR="006B0EB1" w:rsidRPr="00400489" w:rsidRDefault="00CA7CC2" w:rsidP="00624A99">
      <w:pPr>
        <w:numPr>
          <w:ilvl w:val="2"/>
          <w:numId w:val="5"/>
        </w:numPr>
        <w:pBdr>
          <w:top w:val="nil"/>
          <w:left w:val="nil"/>
          <w:bottom w:val="nil"/>
          <w:right w:val="nil"/>
          <w:between w:val="nil"/>
        </w:pBdr>
        <w:spacing w:before="120" w:after="120" w:line="240" w:lineRule="auto"/>
        <w:ind w:left="1418" w:hanging="425"/>
        <w:rPr>
          <w:rFonts w:eastAsia="Arial"/>
        </w:rPr>
      </w:pPr>
      <w:r w:rsidRPr="00400489">
        <w:rPr>
          <w:rFonts w:eastAsia="Arial"/>
        </w:rPr>
        <w:t xml:space="preserve">Has been charged with an offence of fraudulent evasion. </w:t>
      </w:r>
    </w:p>
    <w:p w14:paraId="3CEA6AA8"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80A91DE"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(b) to (e), during an HMRC enquiry, if it has been agreed between HMRC and X that there is a pause with the enquiry in order to await the outcome of related litigation.</w:t>
      </w:r>
    </w:p>
    <w:p w14:paraId="188A952B"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(f) this condition is satisfied without any further steps being taken.</w:t>
      </w:r>
    </w:p>
    <w:p w14:paraId="178949D9" w14:textId="77777777" w:rsidR="006B0EB1" w:rsidRPr="00400489" w:rsidRDefault="00CA7CC2" w:rsidP="00624A99">
      <w:pPr>
        <w:numPr>
          <w:ilvl w:val="1"/>
          <w:numId w:val="5"/>
        </w:numPr>
        <w:pBdr>
          <w:top w:val="nil"/>
          <w:left w:val="nil"/>
          <w:bottom w:val="nil"/>
          <w:right w:val="nil"/>
          <w:between w:val="nil"/>
        </w:pBdr>
        <w:spacing w:before="120" w:after="120" w:line="240" w:lineRule="auto"/>
        <w:ind w:left="709" w:hanging="283"/>
        <w:rPr>
          <w:rFonts w:eastAsia="Arial"/>
        </w:rPr>
      </w:pPr>
      <w:r w:rsidRPr="00400489">
        <w:rPr>
          <w:rFonts w:eastAsia="Arial"/>
        </w:rPr>
        <w:t>In respect of (g) the foreign equivalent to each of the corresponding steps set out above in (i) to (iii).</w:t>
      </w:r>
    </w:p>
    <w:p w14:paraId="08E2B84B" w14:textId="77777777" w:rsidR="006B0EB1" w:rsidRPr="00400489" w:rsidRDefault="00CA7CC2" w:rsidP="00624A99">
      <w:pPr>
        <w:pBdr>
          <w:top w:val="nil"/>
          <w:left w:val="nil"/>
          <w:bottom w:val="nil"/>
          <w:right w:val="nil"/>
          <w:between w:val="nil"/>
        </w:pBdr>
        <w:spacing w:before="120" w:after="120" w:line="240" w:lineRule="auto"/>
        <w:rPr>
          <w:rFonts w:eastAsia="Arial"/>
        </w:rPr>
      </w:pPr>
      <w:r w:rsidRPr="00400489">
        <w:rPr>
          <w:rFonts w:eastAsia="Arial"/>
        </w:rPr>
        <w:t> </w:t>
      </w:r>
    </w:p>
    <w:p w14:paraId="7CC4BA08" w14:textId="77777777" w:rsidR="006B0EB1" w:rsidRPr="00400489" w:rsidRDefault="00CA7CC2" w:rsidP="00624A99">
      <w:pPr>
        <w:pStyle w:val="Heading3"/>
        <w:keepNext w:val="0"/>
        <w:keepLines w:val="0"/>
        <w:spacing w:before="120" w:after="120" w:line="240" w:lineRule="auto"/>
        <w:rPr>
          <w:rFonts w:ascii="Arial" w:eastAsia="Arial" w:hAnsi="Arial" w:cs="Arial"/>
          <w:color w:val="000000"/>
        </w:rPr>
      </w:pPr>
      <w:r w:rsidRPr="00400489">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14:paraId="2221CC3B" w14:textId="77777777" w:rsidR="006B0EB1" w:rsidRPr="00400489" w:rsidRDefault="00CA7CC2" w:rsidP="00624A99">
      <w:pPr>
        <w:spacing w:before="120" w:after="120" w:line="240" w:lineRule="auto"/>
        <w:rPr>
          <w:rFonts w:eastAsia="Arial"/>
        </w:rPr>
      </w:pPr>
      <w:r w:rsidRPr="00400489">
        <w:br w:type="page"/>
      </w:r>
    </w:p>
    <w:p w14:paraId="05A4A8B6" w14:textId="77777777" w:rsidR="006B0EB1" w:rsidRPr="00400489" w:rsidRDefault="00CA7CC2" w:rsidP="00624A99">
      <w:pPr>
        <w:spacing w:before="120" w:after="120" w:line="240" w:lineRule="auto"/>
        <w:rPr>
          <w:rFonts w:eastAsia="Arial"/>
          <w:b/>
        </w:rPr>
      </w:pPr>
      <w:r w:rsidRPr="00400489">
        <w:rPr>
          <w:rFonts w:eastAsia="Arial"/>
          <w:b/>
        </w:rPr>
        <w:lastRenderedPageBreak/>
        <w:t xml:space="preserve">Annex 2 Form </w:t>
      </w:r>
    </w:p>
    <w:p w14:paraId="18E90737" w14:textId="77777777" w:rsidR="006B0EB1" w:rsidRPr="00400489" w:rsidRDefault="00CA7CC2" w:rsidP="00624A99">
      <w:pPr>
        <w:spacing w:before="120" w:after="120" w:line="240" w:lineRule="auto"/>
        <w:rPr>
          <w:rFonts w:eastAsia="Arial"/>
          <w:b/>
        </w:rPr>
      </w:pPr>
      <w:r w:rsidRPr="00400489">
        <w:rPr>
          <w:rFonts w:eastAsia="Arial"/>
          <w:b/>
        </w:rPr>
        <w:t xml:space="preserve">CONFIDENTIALITY DECLARATION </w:t>
      </w:r>
    </w:p>
    <w:p w14:paraId="3EC68C31" w14:textId="77777777" w:rsidR="006B0EB1" w:rsidRPr="00400489" w:rsidRDefault="00CA7CC2" w:rsidP="00624A99">
      <w:pPr>
        <w:spacing w:before="120" w:after="120" w:line="240" w:lineRule="auto"/>
        <w:rPr>
          <w:rFonts w:eastAsia="Arial"/>
        </w:rPr>
      </w:pPr>
      <w:r w:rsidRPr="00400489">
        <w:rPr>
          <w:rFonts w:eastAsia="Arial"/>
        </w:rPr>
        <w:t>CONTRACT REFERENCE: [</w:t>
      </w:r>
      <w:r w:rsidRPr="00400489">
        <w:rPr>
          <w:rFonts w:eastAsia="Arial"/>
          <w:highlight w:val="yellow"/>
        </w:rPr>
        <w:t>for Supplier to insert Contract reference number and contract date</w:t>
      </w:r>
      <w:r w:rsidRPr="00400489">
        <w:rPr>
          <w:rFonts w:eastAsia="Arial"/>
        </w:rPr>
        <w:t>] ((‘the Agreement’)</w:t>
      </w:r>
    </w:p>
    <w:p w14:paraId="61FD0B04" w14:textId="77777777" w:rsidR="006B0EB1" w:rsidRPr="00400489" w:rsidRDefault="00CA7CC2" w:rsidP="00624A99">
      <w:pPr>
        <w:spacing w:before="120" w:after="120" w:line="240" w:lineRule="auto"/>
        <w:rPr>
          <w:rFonts w:eastAsia="Arial"/>
        </w:rPr>
      </w:pPr>
      <w:r w:rsidRPr="00400489">
        <w:rPr>
          <w:rFonts w:eastAsia="Arial"/>
        </w:rPr>
        <w:t>DECLARATION:</w:t>
      </w:r>
    </w:p>
    <w:p w14:paraId="439C82C7" w14:textId="77777777" w:rsidR="006B0EB1" w:rsidRPr="00400489" w:rsidRDefault="00CA7CC2" w:rsidP="00624A99">
      <w:pPr>
        <w:spacing w:before="120" w:after="120" w:line="240" w:lineRule="auto"/>
        <w:rPr>
          <w:rFonts w:eastAsia="Arial"/>
        </w:rPr>
      </w:pPr>
      <w:r w:rsidRPr="00400489">
        <w:rPr>
          <w:rFonts w:eastAsia="Arial"/>
        </w:rPr>
        <w:t xml:space="preserve">I solemnly declare that: </w:t>
      </w:r>
    </w:p>
    <w:p w14:paraId="6651DC77"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I am aware that the duty of confidentiality imposed by section 18 of the Commissioners for Revenue and Customs Act 2005 applies to Government Data (as defined in the Agreement) that has been or will be provided to me in accordance with the Agreement.</w:t>
      </w:r>
    </w:p>
    <w:p w14:paraId="6D83A8B4" w14:textId="77777777" w:rsidR="006B0EB1" w:rsidRPr="00400489" w:rsidRDefault="00CA7CC2" w:rsidP="00624A99">
      <w:pPr>
        <w:numPr>
          <w:ilvl w:val="0"/>
          <w:numId w:val="3"/>
        </w:numPr>
        <w:pBdr>
          <w:top w:val="nil"/>
          <w:left w:val="nil"/>
          <w:bottom w:val="nil"/>
          <w:right w:val="nil"/>
          <w:between w:val="nil"/>
        </w:pBdr>
        <w:spacing w:before="120" w:after="120" w:line="240" w:lineRule="auto"/>
        <w:ind w:left="426" w:hanging="426"/>
        <w:rPr>
          <w:rFonts w:eastAsia="Arial"/>
        </w:rPr>
      </w:pPr>
      <w:r w:rsidRPr="00400489">
        <w:rPr>
          <w:rFonts w:eastAsia="Arial"/>
        </w:rPr>
        <w:t xml:space="preserve">I understand and acknowledge that under Section 19 of the Commissioners for Revenue and Customs Act 2005 it may be a criminal offence to disclose any Government Data provided to me. </w:t>
      </w:r>
    </w:p>
    <w:p w14:paraId="6EEBFBAC" w14:textId="77777777" w:rsidR="006B0EB1" w:rsidRPr="00400489" w:rsidRDefault="006B0EB1" w:rsidP="00624A99">
      <w:pPr>
        <w:pBdr>
          <w:top w:val="nil"/>
          <w:left w:val="nil"/>
          <w:bottom w:val="nil"/>
          <w:right w:val="nil"/>
          <w:between w:val="nil"/>
        </w:pBdr>
        <w:spacing w:before="120" w:after="120" w:line="240" w:lineRule="auto"/>
        <w:ind w:left="426"/>
        <w:rPr>
          <w:rFonts w:eastAsia="Arial"/>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6B0EB1" w:rsidRPr="00400489" w14:paraId="4AFC57EE" w14:textId="77777777">
        <w:tc>
          <w:tcPr>
            <w:tcW w:w="5670" w:type="dxa"/>
          </w:tcPr>
          <w:p w14:paraId="6E22E01B" w14:textId="77777777" w:rsidR="006B0EB1" w:rsidRPr="00400489" w:rsidRDefault="00CA7CC2" w:rsidP="00624A99">
            <w:pPr>
              <w:spacing w:before="120" w:after="120"/>
              <w:rPr>
                <w:rFonts w:eastAsia="Arial"/>
              </w:rPr>
            </w:pPr>
            <w:r w:rsidRPr="00400489">
              <w:rPr>
                <w:rFonts w:eastAsia="Arial"/>
              </w:rPr>
              <w:t>SIGNED:</w:t>
            </w:r>
          </w:p>
        </w:tc>
      </w:tr>
      <w:tr w:rsidR="006B0EB1" w:rsidRPr="00400489" w14:paraId="454C9767" w14:textId="77777777">
        <w:tc>
          <w:tcPr>
            <w:tcW w:w="5670" w:type="dxa"/>
          </w:tcPr>
          <w:p w14:paraId="4DC6237F" w14:textId="77777777" w:rsidR="006B0EB1" w:rsidRPr="00400489" w:rsidRDefault="00CA7CC2" w:rsidP="00624A99">
            <w:pPr>
              <w:spacing w:before="120" w:after="120"/>
              <w:rPr>
                <w:rFonts w:eastAsia="Arial"/>
              </w:rPr>
            </w:pPr>
            <w:r w:rsidRPr="00400489">
              <w:rPr>
                <w:rFonts w:eastAsia="Arial"/>
              </w:rPr>
              <w:t>FULL NAME:</w:t>
            </w:r>
          </w:p>
        </w:tc>
      </w:tr>
      <w:tr w:rsidR="006B0EB1" w:rsidRPr="00400489" w14:paraId="44A88B76" w14:textId="77777777">
        <w:tc>
          <w:tcPr>
            <w:tcW w:w="5670" w:type="dxa"/>
          </w:tcPr>
          <w:p w14:paraId="26592336" w14:textId="77777777" w:rsidR="006B0EB1" w:rsidRPr="00400489" w:rsidRDefault="00CA7CC2" w:rsidP="00624A99">
            <w:pPr>
              <w:spacing w:before="120" w:after="120"/>
              <w:rPr>
                <w:rFonts w:eastAsia="Arial"/>
              </w:rPr>
            </w:pPr>
            <w:r w:rsidRPr="00400489">
              <w:rPr>
                <w:rFonts w:eastAsia="Arial"/>
              </w:rPr>
              <w:t>POSITION:</w:t>
            </w:r>
          </w:p>
        </w:tc>
      </w:tr>
      <w:tr w:rsidR="006B0EB1" w:rsidRPr="00400489" w14:paraId="06781E0E" w14:textId="77777777">
        <w:tc>
          <w:tcPr>
            <w:tcW w:w="5670" w:type="dxa"/>
          </w:tcPr>
          <w:p w14:paraId="10FAF43A" w14:textId="77777777" w:rsidR="006B0EB1" w:rsidRPr="00400489" w:rsidRDefault="00CA7CC2" w:rsidP="00624A99">
            <w:pPr>
              <w:spacing w:before="120" w:after="120"/>
              <w:rPr>
                <w:rFonts w:eastAsia="Arial"/>
              </w:rPr>
            </w:pPr>
            <w:r w:rsidRPr="00400489">
              <w:rPr>
                <w:rFonts w:eastAsia="Arial"/>
              </w:rPr>
              <w:t xml:space="preserve">COMPANY: </w:t>
            </w:r>
          </w:p>
        </w:tc>
      </w:tr>
      <w:tr w:rsidR="006B0EB1" w:rsidRPr="00400489" w14:paraId="45C7556A" w14:textId="77777777">
        <w:tc>
          <w:tcPr>
            <w:tcW w:w="5670" w:type="dxa"/>
          </w:tcPr>
          <w:p w14:paraId="4925AF6A" w14:textId="77777777" w:rsidR="006B0EB1" w:rsidRPr="00400489" w:rsidRDefault="00CA7CC2" w:rsidP="00624A99">
            <w:pPr>
              <w:spacing w:before="120" w:after="120"/>
              <w:rPr>
                <w:rFonts w:eastAsia="Arial"/>
              </w:rPr>
            </w:pPr>
            <w:r w:rsidRPr="00400489">
              <w:rPr>
                <w:rFonts w:eastAsia="Arial"/>
              </w:rPr>
              <w:t xml:space="preserve">DATE OF SIGNITURE: </w:t>
            </w:r>
          </w:p>
        </w:tc>
      </w:tr>
    </w:tbl>
    <w:p w14:paraId="0B24B088" w14:textId="77777777" w:rsidR="006B0EB1" w:rsidRDefault="006B0EB1" w:rsidP="00624A99">
      <w:pPr>
        <w:spacing w:before="120" w:after="120" w:line="240" w:lineRule="auto"/>
        <w:rPr>
          <w:rFonts w:eastAsia="Arial"/>
        </w:rPr>
      </w:pPr>
    </w:p>
    <w:p w14:paraId="19950FE6" w14:textId="77777777" w:rsidR="006B0EB1" w:rsidRDefault="006B0EB1" w:rsidP="00624A99">
      <w:pPr>
        <w:spacing w:before="120" w:after="120" w:line="240" w:lineRule="auto"/>
        <w:rPr>
          <w:rFonts w:eastAsia="Arial"/>
        </w:rPr>
      </w:pPr>
    </w:p>
    <w:p w14:paraId="068FB0C4" w14:textId="77777777" w:rsidR="006B0EB1" w:rsidRDefault="006B0EB1" w:rsidP="00624A99">
      <w:pPr>
        <w:spacing w:before="120" w:after="120" w:line="240" w:lineRule="auto"/>
        <w:rPr>
          <w:rFonts w:eastAsia="Arial"/>
        </w:rPr>
      </w:pPr>
    </w:p>
    <w:p w14:paraId="517D0A3F" w14:textId="77777777" w:rsidR="006B0EB1" w:rsidRDefault="006B0EB1" w:rsidP="00624A99">
      <w:pPr>
        <w:spacing w:before="120" w:after="120" w:line="240" w:lineRule="auto"/>
      </w:pPr>
    </w:p>
    <w:sectPr w:rsidR="006B0EB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C46A" w14:textId="77777777" w:rsidR="00087207" w:rsidRDefault="00087207">
      <w:pPr>
        <w:spacing w:after="0" w:line="240" w:lineRule="auto"/>
      </w:pPr>
      <w:r>
        <w:separator/>
      </w:r>
    </w:p>
  </w:endnote>
  <w:endnote w:type="continuationSeparator" w:id="0">
    <w:p w14:paraId="1869A7AC" w14:textId="77777777" w:rsidR="00087207" w:rsidRDefault="0008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6BB6" w14:textId="77777777" w:rsidR="00400489" w:rsidRDefault="00400489" w:rsidP="00400489">
    <w:pPr>
      <w:tabs>
        <w:tab w:val="center" w:pos="4513"/>
        <w:tab w:val="right" w:pos="9026"/>
      </w:tabs>
      <w:spacing w:after="0" w:line="240" w:lineRule="auto"/>
      <w:rPr>
        <w:rFonts w:eastAsia="Arial"/>
        <w:sz w:val="20"/>
        <w:szCs w:val="20"/>
      </w:rPr>
    </w:pPr>
  </w:p>
  <w:p w14:paraId="33065DCB" w14:textId="34D6BD52"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Framework Ref: RM</w:t>
    </w:r>
    <w:r w:rsidR="003A5FEC">
      <w:rPr>
        <w:sz w:val="20"/>
        <w:szCs w:val="20"/>
      </w:rPr>
      <w:t>6295 Outsourced Services</w:t>
    </w:r>
    <w:r>
      <w:rPr>
        <w:rFonts w:eastAsia="Arial"/>
        <w:sz w:val="20"/>
        <w:szCs w:val="20"/>
      </w:rPr>
      <w:tab/>
      <w:t xml:space="preserve">                                           </w:t>
    </w:r>
  </w:p>
  <w:p w14:paraId="16490539" w14:textId="476745DE" w:rsidR="00400489" w:rsidRDefault="00400489" w:rsidP="00400489">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3A5FEC">
      <w:rPr>
        <w:rFonts w:eastAsia="Arial"/>
        <w:noProof/>
        <w:sz w:val="20"/>
        <w:szCs w:val="20"/>
      </w:rPr>
      <w:t>2</w:t>
    </w:r>
    <w:r>
      <w:rPr>
        <w:rFonts w:eastAsia="Arial"/>
        <w:sz w:val="20"/>
        <w:szCs w:val="20"/>
      </w:rPr>
      <w:fldChar w:fldCharType="end"/>
    </w:r>
  </w:p>
  <w:p w14:paraId="4009B2A2" w14:textId="5AA12D06" w:rsidR="004243D5" w:rsidRPr="00400489" w:rsidRDefault="00400489" w:rsidP="00400489">
    <w:pPr>
      <w:spacing w:after="0" w:line="240" w:lineRule="auto"/>
      <w:jc w:val="both"/>
      <w:rPr>
        <w:rFonts w:eastAsia="Arial"/>
        <w:sz w:val="14"/>
        <w:szCs w:val="20"/>
      </w:rPr>
    </w:pPr>
    <w:r>
      <w:rPr>
        <w:rFonts w:eastAsia="Arial"/>
        <w:sz w:val="20"/>
        <w:szCs w:val="20"/>
      </w:rPr>
      <w:t>Model Version: v1.0 PA</w:t>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0242E" w14:textId="77777777" w:rsidR="00087207" w:rsidRDefault="00087207">
      <w:pPr>
        <w:spacing w:after="0" w:line="240" w:lineRule="auto"/>
      </w:pPr>
      <w:r>
        <w:separator/>
      </w:r>
    </w:p>
  </w:footnote>
  <w:footnote w:type="continuationSeparator" w:id="0">
    <w:p w14:paraId="6A2BBA4E" w14:textId="77777777" w:rsidR="00087207" w:rsidRDefault="00087207">
      <w:pPr>
        <w:spacing w:after="0" w:line="240" w:lineRule="auto"/>
      </w:pPr>
      <w:r>
        <w:continuationSeparator/>
      </w:r>
    </w:p>
  </w:footnote>
  <w:footnote w:id="1">
    <w:p w14:paraId="0B7D33DB"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w:t>
      </w:r>
      <w:hyperlink r:id="rId1">
        <w:r w:rsidRPr="00400489">
          <w:rPr>
            <w:color w:val="0000FF"/>
            <w:sz w:val="20"/>
            <w:szCs w:val="20"/>
            <w:u w:val="single"/>
          </w:rPr>
          <w:t>https://www.iasplus.com/en/standards/ifrs/ifrs10</w:t>
        </w:r>
      </w:hyperlink>
      <w:r w:rsidRPr="00400489">
        <w:rPr>
          <w:sz w:val="20"/>
          <w:szCs w:val="20"/>
        </w:rPr>
        <w:t xml:space="preserve"> </w:t>
      </w:r>
    </w:p>
  </w:footnote>
  <w:footnote w:id="2">
    <w:p w14:paraId="5D3B16F9"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3EED340F"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“General Anti-Abuse Rule” means (a) the legislation in Part 5 of the Finance Act 2013; and (b) any</w:t>
      </w:r>
    </w:p>
    <w:p w14:paraId="2CF308FB"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sz w:val="20"/>
          <w:szCs w:val="20"/>
        </w:rPr>
        <w:t>future legislation introduced into Parliament to counteract tax advantages arising from abusive</w:t>
      </w:r>
    </w:p>
    <w:p w14:paraId="02AC3D62" w14:textId="77777777" w:rsidR="004243D5" w:rsidRPr="00400489" w:rsidRDefault="004243D5">
      <w:pPr>
        <w:pBdr>
          <w:top w:val="nil"/>
          <w:left w:val="nil"/>
          <w:bottom w:val="nil"/>
          <w:right w:val="nil"/>
          <w:between w:val="nil"/>
        </w:pBdr>
        <w:spacing w:after="0" w:line="240" w:lineRule="auto"/>
        <w:rPr>
          <w:sz w:val="20"/>
          <w:szCs w:val="20"/>
        </w:rPr>
      </w:pPr>
      <w:r w:rsidRPr="00400489">
        <w:rPr>
          <w:sz w:val="20"/>
          <w:szCs w:val="20"/>
        </w:rPr>
        <w:t>arrangements to avoid national insurance contributions</w:t>
      </w:r>
    </w:p>
  </w:footnote>
  <w:footnote w:id="4">
    <w:p w14:paraId="24BB94EC" w14:textId="77777777" w:rsidR="004243D5" w:rsidRPr="00400489" w:rsidRDefault="004243D5">
      <w:pPr>
        <w:pBdr>
          <w:top w:val="nil"/>
          <w:left w:val="nil"/>
          <w:bottom w:val="nil"/>
          <w:right w:val="nil"/>
          <w:between w:val="nil"/>
        </w:pBdr>
        <w:spacing w:after="0" w:line="240" w:lineRule="auto"/>
        <w:rPr>
          <w:sz w:val="20"/>
          <w:szCs w:val="20"/>
        </w:rPr>
      </w:pPr>
      <w:r w:rsidRPr="00400489">
        <w:rPr>
          <w:rStyle w:val="FootnoteReference"/>
        </w:rPr>
        <w:footnoteRef/>
      </w:r>
      <w:r w:rsidRPr="00400489">
        <w:rPr>
          <w:sz w:val="20"/>
          <w:szCs w:val="20"/>
        </w:rPr>
        <w:t xml:space="preserve"> “Halifax Abuse Principle” means the principle explained in the CJEU Case C-255/02 Halifax and others</w:t>
      </w:r>
    </w:p>
  </w:footnote>
  <w:footnote w:id="5">
    <w:p w14:paraId="4B4CDDAE" w14:textId="77777777" w:rsidR="004243D5" w:rsidRPr="00400489"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EE132AD" w14:textId="77777777" w:rsidR="004243D5" w:rsidRDefault="004243D5">
      <w:pPr>
        <w:pBdr>
          <w:top w:val="nil"/>
          <w:left w:val="nil"/>
          <w:bottom w:val="nil"/>
          <w:right w:val="nil"/>
          <w:between w:val="nil"/>
        </w:pBdr>
        <w:spacing w:after="0" w:line="240" w:lineRule="auto"/>
        <w:jc w:val="both"/>
        <w:rPr>
          <w:sz w:val="20"/>
          <w:szCs w:val="20"/>
        </w:rPr>
      </w:pPr>
      <w:r w:rsidRPr="00400489">
        <w:rPr>
          <w:rStyle w:val="FootnoteReference"/>
        </w:rPr>
        <w:footnoteRef/>
      </w:r>
      <w:r w:rsidRPr="00400489">
        <w:rPr>
          <w:sz w:val="20"/>
          <w:szCs w:val="20"/>
        </w:rPr>
        <w:t xml:space="preserve"> The full definition of ‘Anti-avoidance rule’ can be found at Paragraph 25(1) of Schedule 18 to the Finance Act 2016 and Condition 2 (a) above shall be construed accordingly.   </w:t>
      </w:r>
      <w:r>
        <w:rPr>
          <w:sz w:val="20"/>
          <w:szCs w:val="20"/>
        </w:rPr>
        <w:t xml:space="preserve">  </w:t>
      </w:r>
    </w:p>
  </w:footnote>
  <w:footnote w:id="7">
    <w:p w14:paraId="00620838"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sz w:val="20"/>
          <w:szCs w:val="20"/>
        </w:rPr>
        <w:t xml:space="preserve">  </w:t>
      </w:r>
    </w:p>
  </w:footnote>
  <w:footnote w:id="8">
    <w:p w14:paraId="4BE1F900" w14:textId="77777777" w:rsidR="004243D5" w:rsidRDefault="004243D5">
      <w:pPr>
        <w:pBdr>
          <w:top w:val="nil"/>
          <w:left w:val="nil"/>
          <w:bottom w:val="nil"/>
          <w:right w:val="nil"/>
          <w:between w:val="nil"/>
        </w:pBdr>
        <w:spacing w:after="0" w:line="240" w:lineRule="auto"/>
        <w:jc w:val="both"/>
        <w:rPr>
          <w:sz w:val="20"/>
          <w:szCs w:val="20"/>
        </w:rPr>
      </w:pPr>
      <w:r>
        <w:rPr>
          <w:rStyle w:val="FootnoteReference"/>
        </w:rPr>
        <w:footnoteRef/>
      </w:r>
      <w:r>
        <w:rPr>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03ED" w14:textId="77777777" w:rsidR="004243D5" w:rsidRPr="00400489" w:rsidRDefault="004243D5">
    <w:pPr>
      <w:tabs>
        <w:tab w:val="center" w:pos="4153"/>
        <w:tab w:val="right" w:pos="8306"/>
      </w:tabs>
      <w:spacing w:after="0" w:line="240" w:lineRule="auto"/>
      <w:jc w:val="both"/>
      <w:rPr>
        <w:rFonts w:eastAsia="Arial"/>
        <w:sz w:val="22"/>
        <w:szCs w:val="22"/>
      </w:rPr>
    </w:pPr>
    <w:r w:rsidRPr="00400489">
      <w:rPr>
        <w:rFonts w:eastAsia="Arial"/>
        <w:b/>
        <w:sz w:val="22"/>
        <w:szCs w:val="22"/>
      </w:rPr>
      <w:t>Call-Off Schedule 23 (HMRC Terms)</w:t>
    </w:r>
  </w:p>
  <w:p w14:paraId="4A0458EA" w14:textId="77777777"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Call-Off Ref:</w:t>
    </w:r>
  </w:p>
  <w:p w14:paraId="23D3DD3B" w14:textId="18B247D9" w:rsidR="004243D5" w:rsidRPr="00400489" w:rsidRDefault="004243D5">
    <w:pPr>
      <w:tabs>
        <w:tab w:val="center" w:pos="4153"/>
        <w:tab w:val="right" w:pos="8306"/>
      </w:tabs>
      <w:spacing w:after="0" w:line="240" w:lineRule="auto"/>
      <w:rPr>
        <w:rFonts w:eastAsia="Arial"/>
        <w:sz w:val="22"/>
        <w:szCs w:val="22"/>
      </w:rPr>
    </w:pPr>
    <w:r w:rsidRPr="00400489">
      <w:rPr>
        <w:rFonts w:eastAsia="Arial"/>
        <w:sz w:val="22"/>
        <w:szCs w:val="22"/>
      </w:rPr>
      <w:t>Crown Copyright 202</w:t>
    </w:r>
    <w:r w:rsidR="00F17EA7" w:rsidRPr="00400489">
      <w:rPr>
        <w:rFonts w:eastAsia="Arial"/>
        <w:sz w:val="22"/>
        <w:szCs w:val="22"/>
      </w:rPr>
      <w:t>5</w:t>
    </w:r>
  </w:p>
  <w:p w14:paraId="0A7B09AE" w14:textId="77777777" w:rsidR="00400489" w:rsidRDefault="00400489">
    <w:pP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571"/>
    <w:multiLevelType w:val="multilevel"/>
    <w:tmpl w:val="F710E466"/>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486050"/>
    <w:multiLevelType w:val="multilevel"/>
    <w:tmpl w:val="6D806234"/>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27714CCA"/>
    <w:multiLevelType w:val="multilevel"/>
    <w:tmpl w:val="3B84B4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516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025D1"/>
    <w:multiLevelType w:val="multilevel"/>
    <w:tmpl w:val="D85E1D68"/>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8B6F6C"/>
    <w:multiLevelType w:val="multilevel"/>
    <w:tmpl w:val="B2CE33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4B2ABA"/>
    <w:multiLevelType w:val="multilevel"/>
    <w:tmpl w:val="9E386DF8"/>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6AA22495"/>
    <w:multiLevelType w:val="multilevel"/>
    <w:tmpl w:val="920EA11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lowerLetter"/>
      <w:lvlText w:val="(%4)"/>
      <w:lvlJc w:val="left"/>
      <w:pPr>
        <w:ind w:left="1728" w:hanging="647"/>
      </w:pPr>
      <w:rPr>
        <w:rFonts w:ascii="Arial" w:eastAsia="Arial" w:hAnsi="Arial" w:cs="Arial"/>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7755C4"/>
    <w:multiLevelType w:val="multilevel"/>
    <w:tmpl w:val="1D640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2"/>
  </w:num>
  <w:num w:numId="4">
    <w:abstractNumId w:val="0"/>
  </w:num>
  <w:num w:numId="5">
    <w:abstractNumId w:val="5"/>
  </w:num>
  <w:num w:numId="6">
    <w:abstractNumId w:val="4"/>
  </w:num>
  <w:num w:numId="7">
    <w:abstractNumId w:val="9"/>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B1"/>
    <w:rsid w:val="00003908"/>
    <w:rsid w:val="00046D7A"/>
    <w:rsid w:val="00087207"/>
    <w:rsid w:val="001379B4"/>
    <w:rsid w:val="00197212"/>
    <w:rsid w:val="003A5FEC"/>
    <w:rsid w:val="00400489"/>
    <w:rsid w:val="00407FCC"/>
    <w:rsid w:val="004243D5"/>
    <w:rsid w:val="004562FA"/>
    <w:rsid w:val="00624A99"/>
    <w:rsid w:val="006B0EB1"/>
    <w:rsid w:val="006F6EF9"/>
    <w:rsid w:val="00732676"/>
    <w:rsid w:val="007C2D80"/>
    <w:rsid w:val="007C3396"/>
    <w:rsid w:val="00822957"/>
    <w:rsid w:val="00884279"/>
    <w:rsid w:val="008D118E"/>
    <w:rsid w:val="008E0638"/>
    <w:rsid w:val="008F6EA5"/>
    <w:rsid w:val="00930599"/>
    <w:rsid w:val="00B96426"/>
    <w:rsid w:val="00BE1177"/>
    <w:rsid w:val="00C154BB"/>
    <w:rsid w:val="00C97E5C"/>
    <w:rsid w:val="00CA7CC2"/>
    <w:rsid w:val="00CB3CE3"/>
    <w:rsid w:val="00CC0B86"/>
    <w:rsid w:val="00D061FC"/>
    <w:rsid w:val="00D167FC"/>
    <w:rsid w:val="00D25A57"/>
    <w:rsid w:val="00F17EA7"/>
    <w:rsid w:val="00F4191E"/>
    <w:rsid w:val="00F76A94"/>
    <w:rsid w:val="00FB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7008"/>
  <w15:docId w15:val="{9607104E-74C7-484B-B9A1-83789021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2F5D6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971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DWF LLP</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Nightingale, Maksuda (Sols)</dc:creator>
  <cp:lastModifiedBy>Tom McCaldon</cp:lastModifiedBy>
  <cp:revision>2</cp:revision>
  <dcterms:created xsi:type="dcterms:W3CDTF">2025-03-13T08:39:00Z</dcterms:created>
  <dcterms:modified xsi:type="dcterms:W3CDTF">2025-03-13T08:39:00Z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