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FDC2F" w14:textId="6A57D533" w:rsidR="00BA5253" w:rsidRDefault="00BA5253" w:rsidP="005C5B5E">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Ref115262222"/>
      <w:r>
        <w:rPr>
          <w:rFonts w:eastAsia="Arial"/>
          <w:b/>
          <w:color w:val="000000"/>
          <w:sz w:val="36"/>
          <w:szCs w:val="36"/>
        </w:rPr>
        <w:t>Call-Off Schedule 9A (Security: Short Form)</w:t>
      </w:r>
    </w:p>
    <w:p w14:paraId="08E9C68B" w14:textId="3C2A27D5" w:rsidR="005C5B5E" w:rsidRDefault="005C5B5E" w:rsidP="005C5B5E">
      <w:pPr>
        <w:pStyle w:val="paragraph"/>
        <w:spacing w:before="120" w:beforeAutospacing="0" w:after="120" w:afterAutospacing="0"/>
        <w:textAlignment w:val="baseline"/>
        <w:rPr>
          <w:rFonts w:ascii="Arial" w:eastAsiaTheme="minorHAnsi" w:hAnsi="Arial" w:cs="Arial"/>
          <w:color w:val="000000" w:themeColor="text1"/>
          <w:sz w:val="44"/>
          <w:szCs w:val="44"/>
          <w:lang w:eastAsia="en-US"/>
        </w:rPr>
      </w:pPr>
    </w:p>
    <w:p w14:paraId="50D6A27A" w14:textId="54CC046D" w:rsidR="00BA5253" w:rsidRPr="00404D09" w:rsidRDefault="00BA5253" w:rsidP="005C5B5E">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themeColor="text1"/>
          <w:sz w:val="24"/>
          <w:szCs w:val="24"/>
          <w:highlight w:val="yellow"/>
        </w:rPr>
        <w:t xml:space="preserve">[Buyer Guidance: Buyers may include their own security requirements in the Call-Off Order Form, or use one of the </w:t>
      </w:r>
      <w:r w:rsidRPr="001152BA">
        <w:rPr>
          <w:rStyle w:val="normaltextrun"/>
          <w:rFonts w:ascii="Arial" w:hAnsi="Arial" w:cs="Arial"/>
          <w:b/>
          <w:bCs/>
          <w:i/>
          <w:color w:val="000000" w:themeColor="text1"/>
          <w:sz w:val="24"/>
          <w:szCs w:val="24"/>
          <w:highlight w:val="yellow"/>
        </w:rPr>
        <w:t>optional Se</w:t>
      </w:r>
      <w:r w:rsidR="00857DBE" w:rsidRPr="001152BA">
        <w:rPr>
          <w:rStyle w:val="normaltextrun"/>
          <w:rFonts w:ascii="Arial" w:hAnsi="Arial" w:cs="Arial"/>
          <w:b/>
          <w:bCs/>
          <w:i/>
          <w:color w:val="000000" w:themeColor="text1"/>
          <w:sz w:val="24"/>
          <w:szCs w:val="24"/>
          <w:highlight w:val="yellow"/>
        </w:rPr>
        <w:t xml:space="preserve">curity Schedules listed below. </w:t>
      </w:r>
      <w:r w:rsidR="001152BA" w:rsidRPr="001152BA">
        <w:rPr>
          <w:rStyle w:val="normaltextrun"/>
          <w:rFonts w:ascii="Arial" w:hAnsi="Arial" w:cs="Arial"/>
          <w:b/>
          <w:bCs/>
          <w:i/>
          <w:color w:val="000000" w:themeColor="text1"/>
          <w:sz w:val="24"/>
          <w:szCs w:val="24"/>
          <w:highlight w:val="yellow"/>
        </w:rPr>
        <w:t>See the separate Guidance Document (</w:t>
      </w:r>
      <w:hyperlink r:id="rId11" w:history="1">
        <w:r w:rsidR="001152BA" w:rsidRPr="001152BA">
          <w:rPr>
            <w:rStyle w:val="Hyperlink"/>
            <w:rFonts w:ascii="Arial" w:hAnsi="Arial" w:cs="Arial"/>
            <w:b/>
            <w:bCs/>
            <w:i/>
            <w:highlight w:val="yellow"/>
          </w:rPr>
          <w:t>https://www.security.gov.uk/policy-and-guidance/contracting-securely/</w:t>
        </w:r>
      </w:hyperlink>
      <w:r w:rsidR="001152BA" w:rsidRPr="001152BA">
        <w:rPr>
          <w:rStyle w:val="normaltextrun"/>
          <w:rFonts w:ascii="Arial" w:hAnsi="Arial" w:cs="Arial"/>
          <w:b/>
          <w:bCs/>
          <w:i/>
          <w:color w:val="000000" w:themeColor="text1"/>
          <w:sz w:val="24"/>
          <w:szCs w:val="24"/>
          <w:highlight w:val="yellow"/>
        </w:rPr>
        <w:t>) about when to use an optional Security Schedule, and what version of the Security Schedule is most appropriate</w:t>
      </w:r>
      <w:r w:rsidR="00857DBE" w:rsidRPr="001152BA">
        <w:rPr>
          <w:rStyle w:val="normaltextrun"/>
          <w:rFonts w:ascii="Arial" w:hAnsi="Arial" w:cs="Arial"/>
          <w:b/>
          <w:bCs/>
          <w:i/>
          <w:color w:val="000000" w:themeColor="text1"/>
          <w:sz w:val="24"/>
          <w:szCs w:val="24"/>
          <w:highlight w:val="yellow"/>
        </w:rPr>
        <w:t>.</w:t>
      </w:r>
      <w:r w:rsidRPr="001152BA">
        <w:rPr>
          <w:rStyle w:val="normaltextrun"/>
          <w:rFonts w:ascii="Arial" w:hAnsi="Arial" w:cs="Arial"/>
          <w:b/>
          <w:bCs/>
          <w:i/>
          <w:color w:val="000000" w:themeColor="text1"/>
          <w:sz w:val="24"/>
          <w:szCs w:val="24"/>
          <w:highlight w:val="yellow"/>
        </w:rPr>
        <w:t xml:space="preserve"> Buyers</w:t>
      </w:r>
      <w:r w:rsidRPr="00404D09">
        <w:rPr>
          <w:rStyle w:val="normaltextrun"/>
          <w:rFonts w:ascii="Arial" w:hAnsi="Arial" w:cs="Arial"/>
          <w:b/>
          <w:bCs/>
          <w:i/>
          <w:color w:val="000000" w:themeColor="text1"/>
          <w:sz w:val="24"/>
          <w:szCs w:val="24"/>
          <w:highlight w:val="yellow"/>
        </w:rPr>
        <w:t xml:space="preserve"> can only choose one of the following Security Schedules, which will need to be completed (in line with the Buyer guidance set out in each document) and then referred to in the Call-Off Order Form:</w:t>
      </w:r>
    </w:p>
    <w:p w14:paraId="5523F68A" w14:textId="77777777" w:rsidR="00BA5253"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9A (Security: Short Form)  </w:t>
      </w:r>
    </w:p>
    <w:p w14:paraId="5FB5EC44" w14:textId="77777777" w:rsidR="00BA5253"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9B (Security: Consultancy)  </w:t>
      </w:r>
    </w:p>
    <w:p w14:paraId="6135C844" w14:textId="77777777" w:rsidR="00BA5253"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9C (Security: Development)  </w:t>
      </w:r>
    </w:p>
    <w:p w14:paraId="6750B131" w14:textId="77777777" w:rsidR="00BA5253"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9D (Security: Supplier-led Assurance) </w:t>
      </w:r>
    </w:p>
    <w:p w14:paraId="7BDA19D1" w14:textId="77777777" w:rsidR="00404D09"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9E (Security: Buyer-led Assurance)</w:t>
      </w:r>
    </w:p>
    <w:p w14:paraId="4F8773FB" w14:textId="77777777" w:rsidR="00404D09" w:rsidRPr="00404D09" w:rsidRDefault="00404D09" w:rsidP="005C5B5E">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p>
    <w:p w14:paraId="1DAA9280" w14:textId="59152DCA" w:rsidR="00BA5253" w:rsidRPr="00404D09" w:rsidRDefault="00404D09" w:rsidP="005C5B5E">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 xml:space="preserve">Please note that </w:t>
      </w:r>
      <w:r>
        <w:rPr>
          <w:rStyle w:val="normaltextrun"/>
          <w:rFonts w:ascii="Arial" w:hAnsi="Arial" w:cs="Arial"/>
          <w:b/>
          <w:bCs/>
          <w:i/>
          <w:color w:val="000000"/>
          <w:sz w:val="24"/>
          <w:szCs w:val="24"/>
          <w:highlight w:val="yellow"/>
        </w:rPr>
        <w:t>certain information will need to be populated/confirmed by Buyers within the provisions of this Schedule in order to reflect the Buyer's own specific policies/requirements – the relevant provisions are highlighted in yellow</w:t>
      </w:r>
      <w:r w:rsidR="00BB7FE8">
        <w:rPr>
          <w:rStyle w:val="normaltextrun"/>
          <w:rFonts w:ascii="Arial" w:hAnsi="Arial" w:cs="Arial"/>
          <w:b/>
          <w:bCs/>
          <w:i/>
          <w:color w:val="000000"/>
          <w:sz w:val="24"/>
          <w:szCs w:val="24"/>
          <w:highlight w:val="yellow"/>
        </w:rPr>
        <w:t>.</w:t>
      </w:r>
      <w:r w:rsidR="00BA5253" w:rsidRPr="00404D09">
        <w:rPr>
          <w:rStyle w:val="normaltextrun"/>
          <w:rFonts w:ascii="Arial" w:hAnsi="Arial" w:cs="Arial"/>
          <w:b/>
          <w:bCs/>
          <w:i/>
          <w:color w:val="000000"/>
          <w:sz w:val="24"/>
          <w:szCs w:val="24"/>
          <w:highlight w:val="yellow"/>
        </w:rPr>
        <w:t>] </w:t>
      </w:r>
    </w:p>
    <w:p w14:paraId="5EA740A9" w14:textId="77777777" w:rsidR="00BA5253" w:rsidRDefault="00BA5253" w:rsidP="005C5B5E">
      <w:pPr>
        <w:spacing w:before="120" w:after="120"/>
        <w:rPr>
          <w:rFonts w:eastAsia="Arial"/>
          <w:color w:val="881798"/>
          <w:lang w:val="en-US"/>
        </w:rPr>
      </w:pPr>
    </w:p>
    <w:p w14:paraId="36D88930" w14:textId="7AD54CAF" w:rsidR="00963DC7" w:rsidRPr="00BA5253" w:rsidRDefault="00963DC7" w:rsidP="005C5B5E">
      <w:pPr>
        <w:pStyle w:val="Heading1"/>
        <w:spacing w:before="120" w:after="120"/>
      </w:pPr>
      <w:bookmarkStart w:id="1" w:name="_Ref176527845"/>
      <w:r w:rsidRPr="00BA5253">
        <w:t>Supplier obligations</w:t>
      </w:r>
      <w:bookmarkEnd w:id="0"/>
      <w:bookmarkEnd w:id="1"/>
    </w:p>
    <w:p w14:paraId="051919CD" w14:textId="28AFEAF4" w:rsidR="00E714EC" w:rsidRPr="00BA5253" w:rsidRDefault="00E714EC" w:rsidP="005C5B5E">
      <w:pPr>
        <w:pStyle w:val="Heading2A"/>
        <w:spacing w:before="120" w:after="120"/>
      </w:pPr>
      <w:r w:rsidRPr="00BA5253">
        <w:t>Core requirements</w:t>
      </w:r>
    </w:p>
    <w:p w14:paraId="36F70A2B" w14:textId="6639115F" w:rsidR="000D7280" w:rsidRPr="00BA5253" w:rsidRDefault="000D7280" w:rsidP="005C5B5E">
      <w:pPr>
        <w:pStyle w:val="Heading2"/>
        <w:spacing w:before="120" w:after="120"/>
      </w:pPr>
      <w:r w:rsidRPr="00BA5253">
        <w:t>The Supplier must comply with the core requirements set out in Paragraphs </w:t>
      </w:r>
      <w:r w:rsidRPr="00BA5253">
        <w:fldChar w:fldCharType="begin"/>
      </w:r>
      <w:r w:rsidRPr="00BA5253">
        <w:instrText xml:space="preserve"> REF _Ref115347123 \r \h </w:instrText>
      </w:r>
      <w:r w:rsidR="00BA5253" w:rsidRPr="00BA5253">
        <w:instrText xml:space="preserve"> \* MERGEFORMAT </w:instrText>
      </w:r>
      <w:r w:rsidRPr="00BA5253">
        <w:fldChar w:fldCharType="separate"/>
      </w:r>
      <w:r w:rsidR="005C5B5E">
        <w:t>4</w:t>
      </w:r>
      <w:r w:rsidRPr="00BA5253">
        <w:fldChar w:fldCharType="end"/>
      </w:r>
      <w:r w:rsidRPr="00BA5253">
        <w:t xml:space="preserve"> to </w:t>
      </w:r>
      <w:r w:rsidRPr="00BA5253">
        <w:fldChar w:fldCharType="begin"/>
      </w:r>
      <w:r w:rsidRPr="00BA5253">
        <w:instrText xml:space="preserve"> REF _Ref115347132 \r \h </w:instrText>
      </w:r>
      <w:r w:rsidR="00BA5253" w:rsidRPr="00BA5253">
        <w:instrText xml:space="preserve"> \* MERGEFORMAT </w:instrText>
      </w:r>
      <w:r w:rsidRPr="00BA5253">
        <w:fldChar w:fldCharType="separate"/>
      </w:r>
      <w:r w:rsidR="005C5B5E">
        <w:t>9</w:t>
      </w:r>
      <w:r w:rsidRPr="00BA5253">
        <w:fldChar w:fldCharType="end"/>
      </w:r>
      <w:r w:rsidRPr="00BA5253">
        <w:t>.</w:t>
      </w:r>
      <w:r w:rsidR="00E714EC" w:rsidRPr="00BA5253">
        <w:t xml:space="preserve"> </w:t>
      </w:r>
    </w:p>
    <w:p w14:paraId="7AEF4546" w14:textId="053EE1B1" w:rsidR="00B151F9" w:rsidRPr="00BA5253" w:rsidRDefault="00B151F9" w:rsidP="005C5B5E">
      <w:pPr>
        <w:pStyle w:val="Heading2"/>
        <w:spacing w:before="120" w:after="120"/>
      </w:pPr>
      <w:bookmarkStart w:id="2" w:name="_Ref162888688"/>
      <w:r w:rsidRPr="00BA5253">
        <w:t xml:space="preserve">Where the </w:t>
      </w:r>
      <w:r w:rsidR="00A52257" w:rsidRPr="00BA5253">
        <w:t>Buyer</w:t>
      </w:r>
      <w:r w:rsidRPr="00BA5253">
        <w:t xml:space="preserve"> </w:t>
      </w:r>
      <w:r w:rsidR="00E714EC" w:rsidRPr="00BA5253">
        <w:t xml:space="preserve">has selected an option in the table below, the </w:t>
      </w:r>
      <w:r w:rsidRPr="00BA5253">
        <w:t xml:space="preserve">Supplier must comply with the requirements </w:t>
      </w:r>
      <w:r w:rsidR="00E714EC" w:rsidRPr="00BA5253">
        <w:t xml:space="preserve">relating to that option set out </w:t>
      </w:r>
      <w:r w:rsidRPr="00BA5253">
        <w:t xml:space="preserve">in the </w:t>
      </w:r>
      <w:r w:rsidR="00E714EC" w:rsidRPr="00BA5253">
        <w:t xml:space="preserve">relevant </w:t>
      </w:r>
      <w:r w:rsidRPr="00BA5253">
        <w:t>Paragraph:</w:t>
      </w:r>
      <w:bookmarkEnd w:id="2"/>
    </w:p>
    <w:tbl>
      <w:tblPr>
        <w:tblStyle w:val="TableGrid"/>
        <w:tblW w:w="8914" w:type="dxa"/>
        <w:tblInd w:w="720" w:type="dxa"/>
        <w:tblLook w:val="04A0" w:firstRow="1" w:lastRow="0" w:firstColumn="1" w:lastColumn="0" w:noHBand="0" w:noVBand="1"/>
      </w:tblPr>
      <w:tblGrid>
        <w:gridCol w:w="3493"/>
        <w:gridCol w:w="4713"/>
        <w:gridCol w:w="708"/>
      </w:tblGrid>
      <w:tr w:rsidR="00963DC7" w:rsidRPr="00BA5253" w14:paraId="0AF9D5B5" w14:textId="77777777" w:rsidTr="00CF4322">
        <w:tc>
          <w:tcPr>
            <w:tcW w:w="8914" w:type="dxa"/>
            <w:gridSpan w:val="3"/>
          </w:tcPr>
          <w:p w14:paraId="2C13B454" w14:textId="0F456634" w:rsidR="00963DC7" w:rsidRPr="00BA5253" w:rsidRDefault="00963DC7" w:rsidP="005C5B5E">
            <w:pPr>
              <w:pStyle w:val="MarginText"/>
              <w:spacing w:before="120" w:after="120"/>
              <w:rPr>
                <w:b/>
                <w:bCs/>
              </w:rPr>
            </w:pPr>
            <w:r w:rsidRPr="00BA5253">
              <w:rPr>
                <w:b/>
                <w:bCs/>
              </w:rPr>
              <w:t xml:space="preserve">Certifications </w:t>
            </w:r>
            <w:r w:rsidRPr="00BA5253">
              <w:t>(see Paragraph </w:t>
            </w:r>
            <w:r w:rsidR="00E714EC" w:rsidRPr="00BA5253">
              <w:fldChar w:fldCharType="begin"/>
            </w:r>
            <w:r w:rsidR="00E714EC" w:rsidRPr="00BA5253">
              <w:instrText xml:space="preserve"> REF _Ref115347123 \r \h </w:instrText>
            </w:r>
            <w:r w:rsidR="00CF4322" w:rsidRPr="00BA5253">
              <w:instrText xml:space="preserve"> \* MERGEFORMAT </w:instrText>
            </w:r>
            <w:r w:rsidR="00E714EC" w:rsidRPr="00BA5253">
              <w:fldChar w:fldCharType="separate"/>
            </w:r>
            <w:r w:rsidR="005C5B5E">
              <w:t>4</w:t>
            </w:r>
            <w:r w:rsidR="00E714EC" w:rsidRPr="00BA5253">
              <w:fldChar w:fldCharType="end"/>
            </w:r>
            <w:r w:rsidRPr="00BA5253">
              <w:t>)</w:t>
            </w:r>
          </w:p>
        </w:tc>
      </w:tr>
      <w:tr w:rsidR="00C36254" w:rsidRPr="00BA5253" w14:paraId="52EA6EA2" w14:textId="77777777" w:rsidTr="00CF4322">
        <w:tc>
          <w:tcPr>
            <w:tcW w:w="3493" w:type="dxa"/>
            <w:vMerge w:val="restart"/>
          </w:tcPr>
          <w:p w14:paraId="61725A18" w14:textId="77777777" w:rsidR="00C36254" w:rsidRDefault="00C36254" w:rsidP="005C5B5E">
            <w:pPr>
              <w:pStyle w:val="MarginText"/>
              <w:spacing w:before="120" w:after="120"/>
            </w:pPr>
            <w:bookmarkStart w:id="3" w:name="_GoBack"/>
            <w:r w:rsidRPr="00BA5253">
              <w:t>The Supplier must have the following Certifications (or equivalent):</w:t>
            </w:r>
          </w:p>
          <w:p w14:paraId="2D883667" w14:textId="6D4C52C3" w:rsidR="00BA5253" w:rsidRPr="00404D09" w:rsidRDefault="00BA5253"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against the applicable item in the final column opposite]</w:t>
            </w:r>
          </w:p>
        </w:tc>
        <w:tc>
          <w:tcPr>
            <w:tcW w:w="4713" w:type="dxa"/>
          </w:tcPr>
          <w:p w14:paraId="5D9BE95A" w14:textId="6330B4BF" w:rsidR="00C36254" w:rsidRPr="00BA5253" w:rsidRDefault="00C36254" w:rsidP="005C5B5E">
            <w:pPr>
              <w:pStyle w:val="MarginText"/>
              <w:spacing w:before="120" w:after="120"/>
            </w:pPr>
            <w:r w:rsidRPr="00BA5253">
              <w:t>ISO/IEC 27001:2022 by a UKAS-</w:t>
            </w:r>
            <w:r w:rsidR="005969AD" w:rsidRPr="00BA5253">
              <w:t>recognised C</w:t>
            </w:r>
            <w:r w:rsidRPr="00BA5253">
              <w:t xml:space="preserve">ertification </w:t>
            </w:r>
            <w:r w:rsidR="005969AD" w:rsidRPr="00BA5253">
              <w:t>B</w:t>
            </w:r>
            <w:r w:rsidRPr="00BA5253">
              <w:t>ody</w:t>
            </w:r>
          </w:p>
        </w:tc>
        <w:sdt>
          <w:sdtPr>
            <w:id w:val="319616644"/>
            <w14:checkbox>
              <w14:checked w14:val="0"/>
              <w14:checkedState w14:val="2612" w14:font="MS Gothic"/>
              <w14:uncheckedState w14:val="2610" w14:font="MS Gothic"/>
            </w14:checkbox>
          </w:sdtPr>
          <w:sdtEndPr/>
          <w:sdtContent>
            <w:tc>
              <w:tcPr>
                <w:tcW w:w="708" w:type="dxa"/>
                <w:vAlign w:val="center"/>
              </w:tcPr>
              <w:p w14:paraId="41541D07" w14:textId="6603742C" w:rsidR="00C36254" w:rsidRPr="00BA5253" w:rsidRDefault="00C36254" w:rsidP="005C5B5E">
                <w:pPr>
                  <w:pStyle w:val="MarginText"/>
                  <w:spacing w:before="120" w:after="120"/>
                  <w:jc w:val="center"/>
                </w:pPr>
                <w:r w:rsidRPr="00BA5253">
                  <w:rPr>
                    <w:rFonts w:ascii="Segoe UI Symbol" w:eastAsia="MS Gothic" w:hAnsi="Segoe UI Symbol" w:cs="Segoe UI Symbol"/>
                  </w:rPr>
                  <w:t>☐</w:t>
                </w:r>
              </w:p>
            </w:tc>
          </w:sdtContent>
        </w:sdt>
      </w:tr>
      <w:bookmarkEnd w:id="3"/>
      <w:tr w:rsidR="00C36254" w:rsidRPr="00BA5253" w14:paraId="2F814204" w14:textId="77777777" w:rsidTr="00CF4322">
        <w:tc>
          <w:tcPr>
            <w:tcW w:w="3493" w:type="dxa"/>
            <w:vMerge/>
          </w:tcPr>
          <w:p w14:paraId="06A31592" w14:textId="77777777" w:rsidR="00C36254" w:rsidRPr="00BA5253" w:rsidRDefault="00C36254" w:rsidP="005C5B5E">
            <w:pPr>
              <w:pStyle w:val="MarginText"/>
              <w:spacing w:before="120" w:after="120"/>
            </w:pPr>
          </w:p>
        </w:tc>
        <w:tc>
          <w:tcPr>
            <w:tcW w:w="4713" w:type="dxa"/>
          </w:tcPr>
          <w:p w14:paraId="397F37EA" w14:textId="77777777" w:rsidR="00C36254" w:rsidRPr="00BA5253" w:rsidRDefault="00C36254" w:rsidP="005C5B5E">
            <w:pPr>
              <w:pStyle w:val="MarginText"/>
              <w:spacing w:before="120" w:after="120"/>
            </w:pPr>
            <w:r w:rsidRPr="00BA5253">
              <w:t>Cyber Essentials Plus</w:t>
            </w:r>
          </w:p>
        </w:tc>
        <w:sdt>
          <w:sdtPr>
            <w:id w:val="675461480"/>
            <w14:checkbox>
              <w14:checked w14:val="0"/>
              <w14:checkedState w14:val="2612" w14:font="MS Gothic"/>
              <w14:uncheckedState w14:val="2610" w14:font="MS Gothic"/>
            </w14:checkbox>
          </w:sdtPr>
          <w:sdtEndPr/>
          <w:sdtContent>
            <w:tc>
              <w:tcPr>
                <w:tcW w:w="708" w:type="dxa"/>
                <w:vAlign w:val="center"/>
              </w:tcPr>
              <w:p w14:paraId="6090D67C" w14:textId="14C9A022" w:rsidR="00C36254" w:rsidRPr="00BA5253" w:rsidRDefault="00C36254" w:rsidP="005C5B5E">
                <w:pPr>
                  <w:pStyle w:val="MarginText"/>
                  <w:spacing w:before="120" w:after="120"/>
                  <w:jc w:val="center"/>
                </w:pPr>
                <w:r w:rsidRPr="00BA5253">
                  <w:rPr>
                    <w:rFonts w:ascii="Segoe UI Symbol" w:eastAsia="MS Gothic" w:hAnsi="Segoe UI Symbol" w:cs="Segoe UI Symbol"/>
                  </w:rPr>
                  <w:t>☐</w:t>
                </w:r>
              </w:p>
            </w:tc>
          </w:sdtContent>
        </w:sdt>
      </w:tr>
      <w:tr w:rsidR="00C36254" w:rsidRPr="00BA5253" w14:paraId="04E68715" w14:textId="77777777" w:rsidTr="00CF4322">
        <w:tc>
          <w:tcPr>
            <w:tcW w:w="3493" w:type="dxa"/>
            <w:vMerge/>
          </w:tcPr>
          <w:p w14:paraId="0CCE6DAC" w14:textId="77777777" w:rsidR="00C36254" w:rsidRPr="00BA5253" w:rsidRDefault="00C36254" w:rsidP="005C5B5E">
            <w:pPr>
              <w:pStyle w:val="MarginText"/>
              <w:spacing w:before="120" w:after="120"/>
            </w:pPr>
          </w:p>
        </w:tc>
        <w:tc>
          <w:tcPr>
            <w:tcW w:w="4713" w:type="dxa"/>
          </w:tcPr>
          <w:p w14:paraId="66520745" w14:textId="77777777" w:rsidR="00C36254" w:rsidRPr="00BA5253" w:rsidRDefault="00C36254" w:rsidP="005C5B5E">
            <w:pPr>
              <w:pStyle w:val="MarginText"/>
              <w:spacing w:before="120" w:after="120"/>
            </w:pPr>
            <w:r w:rsidRPr="00BA5253">
              <w:t>Cyber Essentials</w:t>
            </w:r>
          </w:p>
        </w:tc>
        <w:sdt>
          <w:sdtPr>
            <w:id w:val="1152176995"/>
            <w14:checkbox>
              <w14:checked w14:val="0"/>
              <w14:checkedState w14:val="2612" w14:font="MS Gothic"/>
              <w14:uncheckedState w14:val="2610" w14:font="MS Gothic"/>
            </w14:checkbox>
          </w:sdtPr>
          <w:sdtEndPr/>
          <w:sdtContent>
            <w:tc>
              <w:tcPr>
                <w:tcW w:w="708" w:type="dxa"/>
                <w:vAlign w:val="center"/>
              </w:tcPr>
              <w:p w14:paraId="73EDCD36" w14:textId="740F392C" w:rsidR="00C36254" w:rsidRPr="00BA5253" w:rsidRDefault="00C36254" w:rsidP="005C5B5E">
                <w:pPr>
                  <w:pStyle w:val="MarginText"/>
                  <w:spacing w:before="120" w:after="120"/>
                  <w:jc w:val="center"/>
                </w:pPr>
                <w:r w:rsidRPr="00BA5253">
                  <w:rPr>
                    <w:rFonts w:ascii="Segoe UI Symbol" w:eastAsia="MS Gothic" w:hAnsi="Segoe UI Symbol" w:cs="Segoe UI Symbol"/>
                  </w:rPr>
                  <w:t>☐</w:t>
                </w:r>
              </w:p>
            </w:tc>
          </w:sdtContent>
        </w:sdt>
      </w:tr>
      <w:tr w:rsidR="00C36254" w:rsidRPr="00BA5253" w14:paraId="0DA09EBB" w14:textId="77777777" w:rsidTr="00CF4322">
        <w:tc>
          <w:tcPr>
            <w:tcW w:w="3493" w:type="dxa"/>
            <w:vMerge/>
          </w:tcPr>
          <w:p w14:paraId="3507E8E4" w14:textId="77777777" w:rsidR="00C36254" w:rsidRPr="00BA5253" w:rsidRDefault="00C36254" w:rsidP="005C5B5E">
            <w:pPr>
              <w:pStyle w:val="MarginText"/>
              <w:spacing w:before="120" w:after="120"/>
            </w:pPr>
          </w:p>
        </w:tc>
        <w:tc>
          <w:tcPr>
            <w:tcW w:w="4713" w:type="dxa"/>
          </w:tcPr>
          <w:p w14:paraId="0B7E4986" w14:textId="05CEEAD8" w:rsidR="00C36254" w:rsidRPr="00BA5253" w:rsidRDefault="00C36254" w:rsidP="005C5B5E">
            <w:pPr>
              <w:pStyle w:val="MarginText"/>
              <w:spacing w:before="120" w:after="120"/>
            </w:pPr>
            <w:r w:rsidRPr="00BA5253">
              <w:t>No certification required</w:t>
            </w:r>
          </w:p>
        </w:tc>
        <w:tc>
          <w:tcPr>
            <w:tcW w:w="708" w:type="dxa"/>
            <w:vAlign w:val="center"/>
          </w:tcPr>
          <w:p w14:paraId="06D7533A" w14:textId="3E2882FD" w:rsidR="00C36254" w:rsidRPr="00BA5253" w:rsidRDefault="00180E5E" w:rsidP="005C5B5E">
            <w:pPr>
              <w:pStyle w:val="MarginText"/>
              <w:spacing w:before="120" w:after="120"/>
              <w:jc w:val="center"/>
            </w:pPr>
            <w:sdt>
              <w:sdtPr>
                <w:id w:val="1718317351"/>
                <w14:checkbox>
                  <w14:checked w14:val="0"/>
                  <w14:checkedState w14:val="2612" w14:font="MS Gothic"/>
                  <w14:uncheckedState w14:val="2610" w14:font="MS Gothic"/>
                </w14:checkbox>
              </w:sdtPr>
              <w:sdtEndPr/>
              <w:sdtContent>
                <w:r w:rsidR="00C36254" w:rsidRPr="00BA5253">
                  <w:rPr>
                    <w:rFonts w:ascii="Segoe UI Symbol" w:eastAsia="MS Gothic" w:hAnsi="Segoe UI Symbol" w:cs="Segoe UI Symbol"/>
                  </w:rPr>
                  <w:t>☐</w:t>
                </w:r>
              </w:sdtContent>
            </w:sdt>
          </w:p>
        </w:tc>
      </w:tr>
      <w:tr w:rsidR="00FE3962" w:rsidRPr="00BA5253" w14:paraId="3DB3FA60" w14:textId="77777777" w:rsidTr="00CF4322">
        <w:tc>
          <w:tcPr>
            <w:tcW w:w="3493" w:type="dxa"/>
            <w:vMerge w:val="restart"/>
          </w:tcPr>
          <w:p w14:paraId="23EA65EC" w14:textId="7AAF47B0" w:rsidR="00FE3962" w:rsidRDefault="00F515B7" w:rsidP="005C5B5E">
            <w:pPr>
              <w:pStyle w:val="MarginText"/>
              <w:spacing w:before="120" w:after="120"/>
            </w:pPr>
            <w:r>
              <w:lastRenderedPageBreak/>
              <w:t>Sub-contractor</w:t>
            </w:r>
            <w:r w:rsidR="00FE3962" w:rsidRPr="00BA5253">
              <w:t>s that Handle Government Data must have the following Certifications (or equivalent):</w:t>
            </w:r>
          </w:p>
          <w:p w14:paraId="1AD8EADA" w14:textId="7997DD81" w:rsidR="00BA5253" w:rsidRPr="00404D09" w:rsidRDefault="00BA5253"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against the applicable item in the final column opposite]</w:t>
            </w:r>
          </w:p>
        </w:tc>
        <w:tc>
          <w:tcPr>
            <w:tcW w:w="4713" w:type="dxa"/>
          </w:tcPr>
          <w:p w14:paraId="0EB665D8" w14:textId="7C2DE8F5" w:rsidR="00FE3962" w:rsidRPr="00BA5253" w:rsidRDefault="00FE3962" w:rsidP="005C5B5E">
            <w:pPr>
              <w:pStyle w:val="MarginText"/>
              <w:spacing w:before="120" w:after="120"/>
            </w:pPr>
            <w:r w:rsidRPr="00BA5253">
              <w:t>ISO/IEC 27001:2022 by a UKAS-recognised Certification Body</w:t>
            </w:r>
          </w:p>
        </w:tc>
        <w:sdt>
          <w:sdtPr>
            <w:id w:val="1982962283"/>
            <w14:checkbox>
              <w14:checked w14:val="0"/>
              <w14:checkedState w14:val="2612" w14:font="MS Gothic"/>
              <w14:uncheckedState w14:val="2610" w14:font="MS Gothic"/>
            </w14:checkbox>
          </w:sdtPr>
          <w:sdtEndPr/>
          <w:sdtContent>
            <w:tc>
              <w:tcPr>
                <w:tcW w:w="708" w:type="dxa"/>
                <w:vAlign w:val="center"/>
              </w:tcPr>
              <w:p w14:paraId="066DCF3D" w14:textId="331C76C4" w:rsidR="00FE3962" w:rsidRPr="00BA5253" w:rsidRDefault="00FE3962" w:rsidP="005C5B5E">
                <w:pPr>
                  <w:pStyle w:val="MarginText"/>
                  <w:spacing w:before="120" w:after="120"/>
                  <w:jc w:val="center"/>
                </w:pPr>
                <w:r w:rsidRPr="00BA5253">
                  <w:rPr>
                    <w:rFonts w:ascii="Segoe UI Symbol" w:eastAsia="MS Gothic" w:hAnsi="Segoe UI Symbol" w:cs="Segoe UI Symbol"/>
                  </w:rPr>
                  <w:t>☐</w:t>
                </w:r>
              </w:p>
            </w:tc>
          </w:sdtContent>
        </w:sdt>
      </w:tr>
      <w:tr w:rsidR="00FE3962" w:rsidRPr="00BA5253" w14:paraId="402203B3" w14:textId="77777777" w:rsidTr="00CF4322">
        <w:tc>
          <w:tcPr>
            <w:tcW w:w="3493" w:type="dxa"/>
            <w:vMerge/>
          </w:tcPr>
          <w:p w14:paraId="3C991CF3" w14:textId="77777777" w:rsidR="00FE3962" w:rsidRPr="00BA5253" w:rsidRDefault="00FE3962" w:rsidP="005C5B5E">
            <w:pPr>
              <w:pStyle w:val="MarginText"/>
              <w:spacing w:before="120" w:after="120"/>
            </w:pPr>
          </w:p>
        </w:tc>
        <w:tc>
          <w:tcPr>
            <w:tcW w:w="4713" w:type="dxa"/>
          </w:tcPr>
          <w:p w14:paraId="58F87B94" w14:textId="77777777" w:rsidR="00FE3962" w:rsidRPr="00BA5253" w:rsidRDefault="00FE3962" w:rsidP="005C5B5E">
            <w:pPr>
              <w:pStyle w:val="MarginText"/>
              <w:spacing w:before="120" w:after="120"/>
            </w:pPr>
            <w:r w:rsidRPr="00BA5253">
              <w:t>Cyber Essentials Plus</w:t>
            </w:r>
          </w:p>
        </w:tc>
        <w:sdt>
          <w:sdtPr>
            <w:id w:val="-723364807"/>
            <w14:checkbox>
              <w14:checked w14:val="0"/>
              <w14:checkedState w14:val="2612" w14:font="MS Gothic"/>
              <w14:uncheckedState w14:val="2610" w14:font="MS Gothic"/>
            </w14:checkbox>
          </w:sdtPr>
          <w:sdtEndPr/>
          <w:sdtContent>
            <w:tc>
              <w:tcPr>
                <w:tcW w:w="708" w:type="dxa"/>
                <w:vAlign w:val="center"/>
              </w:tcPr>
              <w:p w14:paraId="4FA9CCC8" w14:textId="298FF4F4" w:rsidR="00FE3962" w:rsidRPr="00BA5253" w:rsidRDefault="00FE3962" w:rsidP="005C5B5E">
                <w:pPr>
                  <w:pStyle w:val="MarginText"/>
                  <w:spacing w:before="120" w:after="120"/>
                  <w:jc w:val="center"/>
                </w:pPr>
                <w:r w:rsidRPr="00BA5253">
                  <w:rPr>
                    <w:rFonts w:ascii="Segoe UI Symbol" w:eastAsia="MS Gothic" w:hAnsi="Segoe UI Symbol" w:cs="Segoe UI Symbol"/>
                  </w:rPr>
                  <w:t>☐</w:t>
                </w:r>
              </w:p>
            </w:tc>
          </w:sdtContent>
        </w:sdt>
      </w:tr>
      <w:tr w:rsidR="00FE3962" w:rsidRPr="00BA5253" w14:paraId="6E2B32CE" w14:textId="77777777" w:rsidTr="00CF4322">
        <w:tc>
          <w:tcPr>
            <w:tcW w:w="3493" w:type="dxa"/>
            <w:vMerge/>
          </w:tcPr>
          <w:p w14:paraId="73F4CB35" w14:textId="77777777" w:rsidR="00FE3962" w:rsidRPr="00BA5253" w:rsidRDefault="00FE3962" w:rsidP="005C5B5E">
            <w:pPr>
              <w:pStyle w:val="MarginText"/>
              <w:spacing w:before="120" w:after="120"/>
            </w:pPr>
          </w:p>
        </w:tc>
        <w:tc>
          <w:tcPr>
            <w:tcW w:w="4713" w:type="dxa"/>
          </w:tcPr>
          <w:p w14:paraId="1124A0A6" w14:textId="77777777" w:rsidR="00FE3962" w:rsidRPr="00BA5253" w:rsidRDefault="00FE3962" w:rsidP="005C5B5E">
            <w:pPr>
              <w:pStyle w:val="MarginText"/>
              <w:spacing w:before="120" w:after="120"/>
            </w:pPr>
            <w:r w:rsidRPr="00BA5253">
              <w:t>Cyber Essentials</w:t>
            </w:r>
          </w:p>
        </w:tc>
        <w:sdt>
          <w:sdtPr>
            <w:id w:val="-1920700815"/>
            <w14:checkbox>
              <w14:checked w14:val="0"/>
              <w14:checkedState w14:val="2612" w14:font="MS Gothic"/>
              <w14:uncheckedState w14:val="2610" w14:font="MS Gothic"/>
            </w14:checkbox>
          </w:sdtPr>
          <w:sdtEndPr/>
          <w:sdtContent>
            <w:tc>
              <w:tcPr>
                <w:tcW w:w="708" w:type="dxa"/>
                <w:vAlign w:val="center"/>
              </w:tcPr>
              <w:p w14:paraId="4533C577" w14:textId="1BBDA827" w:rsidR="00FE3962" w:rsidRPr="00BA5253" w:rsidRDefault="00FE3962" w:rsidP="005C5B5E">
                <w:pPr>
                  <w:pStyle w:val="MarginText"/>
                  <w:spacing w:before="120" w:after="120"/>
                  <w:jc w:val="center"/>
                </w:pPr>
                <w:r w:rsidRPr="00BA5253">
                  <w:rPr>
                    <w:rFonts w:ascii="Segoe UI Symbol" w:eastAsia="MS Gothic" w:hAnsi="Segoe UI Symbol" w:cs="Segoe UI Symbol"/>
                  </w:rPr>
                  <w:t>☐</w:t>
                </w:r>
              </w:p>
            </w:tc>
          </w:sdtContent>
        </w:sdt>
      </w:tr>
      <w:tr w:rsidR="00FE3962" w:rsidRPr="00BA5253" w14:paraId="15980CA4" w14:textId="77777777" w:rsidTr="00CF4322">
        <w:tc>
          <w:tcPr>
            <w:tcW w:w="3493" w:type="dxa"/>
            <w:vMerge/>
          </w:tcPr>
          <w:p w14:paraId="58AB8F5A" w14:textId="77777777" w:rsidR="00FE3962" w:rsidRPr="00BA5253" w:rsidRDefault="00FE3962" w:rsidP="005C5B5E">
            <w:pPr>
              <w:pStyle w:val="MarginText"/>
              <w:spacing w:before="120" w:after="120"/>
            </w:pPr>
          </w:p>
        </w:tc>
        <w:tc>
          <w:tcPr>
            <w:tcW w:w="4713" w:type="dxa"/>
          </w:tcPr>
          <w:p w14:paraId="48A75B38" w14:textId="4CE76C1D" w:rsidR="00FE3962" w:rsidRPr="00BA5253" w:rsidRDefault="00FE3962" w:rsidP="005C5B5E">
            <w:pPr>
              <w:pStyle w:val="MarginText"/>
              <w:spacing w:before="120" w:after="120"/>
            </w:pPr>
            <w:r w:rsidRPr="00BA5253">
              <w:t>No certification required</w:t>
            </w:r>
          </w:p>
        </w:tc>
        <w:tc>
          <w:tcPr>
            <w:tcW w:w="708" w:type="dxa"/>
            <w:vAlign w:val="center"/>
          </w:tcPr>
          <w:p w14:paraId="57633FEB" w14:textId="4F3A09C1" w:rsidR="00FE3962" w:rsidRPr="00BA5253" w:rsidRDefault="00180E5E" w:rsidP="005C5B5E">
            <w:pPr>
              <w:pStyle w:val="MarginText"/>
              <w:spacing w:before="120" w:after="120"/>
              <w:jc w:val="center"/>
            </w:pPr>
            <w:sdt>
              <w:sdtPr>
                <w:id w:val="1609315678"/>
                <w14:checkbox>
                  <w14:checked w14:val="0"/>
                  <w14:checkedState w14:val="2612" w14:font="MS Gothic"/>
                  <w14:uncheckedState w14:val="2610" w14:font="MS Gothic"/>
                </w14:checkbox>
              </w:sdtPr>
              <w:sdtEndPr/>
              <w:sdtContent>
                <w:r w:rsidR="00FE3962" w:rsidRPr="00BA5253">
                  <w:rPr>
                    <w:rFonts w:ascii="Segoe UI Symbol" w:eastAsia="MS Gothic" w:hAnsi="Segoe UI Symbol" w:cs="Segoe UI Symbol"/>
                  </w:rPr>
                  <w:t>☐</w:t>
                </w:r>
              </w:sdtContent>
            </w:sdt>
          </w:p>
        </w:tc>
      </w:tr>
      <w:tr w:rsidR="00963DC7" w:rsidRPr="00BA5253" w14:paraId="2CD5EE70" w14:textId="77777777" w:rsidTr="00CF4322">
        <w:tc>
          <w:tcPr>
            <w:tcW w:w="8914" w:type="dxa"/>
            <w:gridSpan w:val="3"/>
          </w:tcPr>
          <w:p w14:paraId="0A48FB1B" w14:textId="4BFA970C" w:rsidR="00963DC7" w:rsidRPr="00BA5253" w:rsidRDefault="00963DC7" w:rsidP="005C5B5E">
            <w:pPr>
              <w:pStyle w:val="MarginText"/>
              <w:spacing w:before="120" w:after="120"/>
            </w:pPr>
            <w:r w:rsidRPr="00BA5253">
              <w:rPr>
                <w:b/>
                <w:bCs/>
              </w:rPr>
              <w:t>Locations</w:t>
            </w:r>
            <w:r w:rsidR="00B151F9" w:rsidRPr="00BA5253">
              <w:t xml:space="preserve"> (see Paragraph </w:t>
            </w:r>
            <w:r w:rsidR="0068748B" w:rsidRPr="00BA5253">
              <w:fldChar w:fldCharType="begin"/>
            </w:r>
            <w:r w:rsidR="0068748B" w:rsidRPr="00BA5253">
              <w:instrText xml:space="preserve"> REF _Ref115273934 \r \h </w:instrText>
            </w:r>
            <w:r w:rsidR="00BA5253" w:rsidRPr="00BA5253">
              <w:instrText xml:space="preserve"> \* MERGEFORMAT </w:instrText>
            </w:r>
            <w:r w:rsidR="0068748B" w:rsidRPr="00BA5253">
              <w:fldChar w:fldCharType="separate"/>
            </w:r>
            <w:r w:rsidR="005C5B5E">
              <w:t>5</w:t>
            </w:r>
            <w:r w:rsidR="0068748B" w:rsidRPr="00BA5253">
              <w:fldChar w:fldCharType="end"/>
            </w:r>
            <w:r w:rsidR="0068748B" w:rsidRPr="00BA5253">
              <w:t>)</w:t>
            </w:r>
          </w:p>
        </w:tc>
      </w:tr>
      <w:tr w:rsidR="006618BE" w:rsidRPr="00BA5253" w14:paraId="5D0277A1" w14:textId="77777777" w:rsidTr="00CF4322">
        <w:tc>
          <w:tcPr>
            <w:tcW w:w="3493" w:type="dxa"/>
            <w:vMerge w:val="restart"/>
          </w:tcPr>
          <w:p w14:paraId="51C3B846" w14:textId="1951CA30" w:rsidR="006618BE" w:rsidRDefault="006618BE" w:rsidP="005C5B5E">
            <w:pPr>
              <w:pStyle w:val="MarginText"/>
              <w:spacing w:before="120" w:after="120"/>
            </w:pPr>
            <w:r w:rsidRPr="00BA5253">
              <w:t xml:space="preserve">The Supplier and </w:t>
            </w:r>
            <w:r w:rsidR="00F515B7">
              <w:t>Sub-contractor</w:t>
            </w:r>
            <w:r w:rsidRPr="00BA5253">
              <w:t xml:space="preserve">s may store, access or </w:t>
            </w:r>
            <w:r w:rsidR="002D0410" w:rsidRPr="00BA5253">
              <w:t>Handle</w:t>
            </w:r>
            <w:r w:rsidRPr="00BA5253">
              <w:t xml:space="preserve"> Government Data in:</w:t>
            </w:r>
          </w:p>
          <w:p w14:paraId="2B8A0F08" w14:textId="1341B137" w:rsidR="00BA5253" w:rsidRPr="00404D09" w:rsidRDefault="00BA5253"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against the applicable item in the final column opposite]</w:t>
            </w:r>
          </w:p>
        </w:tc>
        <w:tc>
          <w:tcPr>
            <w:tcW w:w="4713" w:type="dxa"/>
          </w:tcPr>
          <w:p w14:paraId="6A6F76FA" w14:textId="77777777" w:rsidR="006618BE" w:rsidRPr="00BA5253" w:rsidRDefault="006618BE" w:rsidP="005C5B5E">
            <w:pPr>
              <w:pStyle w:val="MarginText"/>
              <w:spacing w:before="120" w:after="120"/>
            </w:pPr>
            <w:r w:rsidRPr="00BA5253">
              <w:t>the United Kingdom only</w:t>
            </w:r>
          </w:p>
        </w:tc>
        <w:sdt>
          <w:sdtPr>
            <w:id w:val="-1440445383"/>
            <w14:checkbox>
              <w14:checked w14:val="0"/>
              <w14:checkedState w14:val="2612" w14:font="MS Gothic"/>
              <w14:uncheckedState w14:val="2610" w14:font="MS Gothic"/>
            </w14:checkbox>
          </w:sdtPr>
          <w:sdtEndPr/>
          <w:sdtContent>
            <w:tc>
              <w:tcPr>
                <w:tcW w:w="708" w:type="dxa"/>
                <w:vAlign w:val="center"/>
              </w:tcPr>
              <w:p w14:paraId="51344330" w14:textId="77777777"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7A40DFD3" w14:textId="77777777" w:rsidTr="00CF4322">
        <w:tc>
          <w:tcPr>
            <w:tcW w:w="3493" w:type="dxa"/>
            <w:vMerge/>
          </w:tcPr>
          <w:p w14:paraId="42B44A9B" w14:textId="77777777" w:rsidR="006618BE" w:rsidRPr="00BA5253" w:rsidRDefault="006618BE" w:rsidP="005C5B5E">
            <w:pPr>
              <w:pStyle w:val="MarginText"/>
              <w:spacing w:before="120" w:after="120"/>
            </w:pPr>
          </w:p>
        </w:tc>
        <w:tc>
          <w:tcPr>
            <w:tcW w:w="4713" w:type="dxa"/>
          </w:tcPr>
          <w:p w14:paraId="199F0476" w14:textId="0D2BBA0F" w:rsidR="006618BE" w:rsidRPr="00BA5253" w:rsidRDefault="00CF4322" w:rsidP="005C5B5E">
            <w:pPr>
              <w:pStyle w:val="MarginText"/>
              <w:spacing w:before="120" w:after="120"/>
            </w:pPr>
            <w:r w:rsidRPr="00BA5253">
              <w:t>a location permitted by and in accordance with any regulations for the time being in force made under section 17A of the Data Protection Act 2018 (adequacy decisions by the Secretary of State).</w:t>
            </w:r>
          </w:p>
        </w:tc>
        <w:sdt>
          <w:sdtPr>
            <w:id w:val="-1094313636"/>
            <w14:checkbox>
              <w14:checked w14:val="0"/>
              <w14:checkedState w14:val="2612" w14:font="MS Gothic"/>
              <w14:uncheckedState w14:val="2610" w14:font="MS Gothic"/>
            </w14:checkbox>
          </w:sdtPr>
          <w:sdtEndPr/>
          <w:sdtContent>
            <w:tc>
              <w:tcPr>
                <w:tcW w:w="708" w:type="dxa"/>
                <w:vAlign w:val="center"/>
              </w:tcPr>
              <w:p w14:paraId="047AE8C7" w14:textId="77777777"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40D7B959" w14:textId="77777777" w:rsidTr="00CF4322">
        <w:tc>
          <w:tcPr>
            <w:tcW w:w="3493" w:type="dxa"/>
            <w:vMerge/>
          </w:tcPr>
          <w:p w14:paraId="25D79113" w14:textId="77777777" w:rsidR="006618BE" w:rsidRPr="00BA5253" w:rsidRDefault="006618BE" w:rsidP="005C5B5E">
            <w:pPr>
              <w:pStyle w:val="MarginText"/>
              <w:spacing w:before="120" w:after="120"/>
            </w:pPr>
          </w:p>
        </w:tc>
        <w:tc>
          <w:tcPr>
            <w:tcW w:w="4713" w:type="dxa"/>
          </w:tcPr>
          <w:p w14:paraId="59E53D46" w14:textId="5FC7BF28" w:rsidR="006618BE" w:rsidRPr="00BA5253" w:rsidRDefault="006618BE" w:rsidP="005C5B5E">
            <w:pPr>
              <w:pStyle w:val="MarginText"/>
              <w:spacing w:before="120" w:after="120"/>
            </w:pPr>
            <w:r w:rsidRPr="00BA5253">
              <w:t>anywhere in the world not prohibited by the Buyer</w:t>
            </w:r>
            <w:r w:rsidR="00F57C6E">
              <w:t xml:space="preserve"> </w:t>
            </w:r>
            <w:r w:rsidR="00F57C6E" w:rsidRPr="00F57C6E">
              <w:rPr>
                <w:b/>
                <w:i/>
                <w:color w:val="000000"/>
                <w:highlight w:val="yellow"/>
                <w:shd w:val="clear" w:color="auto" w:fill="FFFF00"/>
              </w:rPr>
              <w:t>[Buyer Guidance:</w:t>
            </w:r>
            <w:r w:rsidR="00F57C6E" w:rsidRPr="00F57C6E">
              <w:rPr>
                <w:b/>
                <w:i/>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id w:val="651411662"/>
            <w14:checkbox>
              <w14:checked w14:val="0"/>
              <w14:checkedState w14:val="2612" w14:font="MS Gothic"/>
              <w14:uncheckedState w14:val="2610" w14:font="MS Gothic"/>
            </w14:checkbox>
          </w:sdtPr>
          <w:sdtEndPr/>
          <w:sdtContent>
            <w:tc>
              <w:tcPr>
                <w:tcW w:w="708" w:type="dxa"/>
                <w:vAlign w:val="center"/>
              </w:tcPr>
              <w:p w14:paraId="4A6C892F" w14:textId="77777777"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0B8DC2FC" w14:textId="77777777" w:rsidTr="00CF4322">
        <w:tc>
          <w:tcPr>
            <w:tcW w:w="8914" w:type="dxa"/>
            <w:gridSpan w:val="3"/>
          </w:tcPr>
          <w:p w14:paraId="69FF8B3E" w14:textId="44B5ED7F" w:rsidR="006618BE" w:rsidRPr="00BA5253" w:rsidRDefault="006618BE" w:rsidP="005C5B5E">
            <w:pPr>
              <w:pStyle w:val="MarginText"/>
              <w:spacing w:before="120" w:after="120"/>
            </w:pPr>
            <w:r w:rsidRPr="00BA5253">
              <w:rPr>
                <w:b/>
                <w:bCs/>
              </w:rPr>
              <w:t xml:space="preserve">Staff </w:t>
            </w:r>
            <w:r w:rsidR="002F5528">
              <w:rPr>
                <w:b/>
                <w:bCs/>
              </w:rPr>
              <w:t>v</w:t>
            </w:r>
            <w:r w:rsidRPr="00BA5253">
              <w:rPr>
                <w:b/>
                <w:bCs/>
              </w:rPr>
              <w:t xml:space="preserve">etting </w:t>
            </w:r>
            <w:r w:rsidRPr="00BA5253">
              <w:t>(see Paragraph </w:t>
            </w:r>
            <w:r w:rsidRPr="00BA5253">
              <w:fldChar w:fldCharType="begin"/>
            </w:r>
            <w:r w:rsidRPr="00BA5253">
              <w:instrText xml:space="preserve"> REF _Ref115262049 \r \h </w:instrText>
            </w:r>
            <w:r w:rsidR="00BA5253" w:rsidRPr="00BA5253">
              <w:instrText xml:space="preserve"> \* MERGEFORMAT </w:instrText>
            </w:r>
            <w:r w:rsidRPr="00BA5253">
              <w:fldChar w:fldCharType="separate"/>
            </w:r>
            <w:r w:rsidR="005C5B5E">
              <w:t>6</w:t>
            </w:r>
            <w:r w:rsidRPr="00BA5253">
              <w:fldChar w:fldCharType="end"/>
            </w:r>
            <w:r w:rsidRPr="00BA5253">
              <w:t>)</w:t>
            </w:r>
          </w:p>
        </w:tc>
      </w:tr>
      <w:tr w:rsidR="006618BE" w:rsidRPr="00BA5253" w14:paraId="31185B22" w14:textId="77777777" w:rsidTr="00CF4322">
        <w:tc>
          <w:tcPr>
            <w:tcW w:w="8206" w:type="dxa"/>
            <w:gridSpan w:val="2"/>
          </w:tcPr>
          <w:p w14:paraId="3CDF2587" w14:textId="75E5F45D" w:rsidR="006618BE" w:rsidRDefault="006618BE" w:rsidP="005C5B5E">
            <w:pPr>
              <w:pStyle w:val="MarginText"/>
              <w:spacing w:before="120" w:after="120"/>
            </w:pPr>
            <w:r w:rsidRPr="00BA5253">
              <w:t xml:space="preserve">The Buyer requires a </w:t>
            </w:r>
            <w:r w:rsidR="002F5528">
              <w:t>s</w:t>
            </w:r>
            <w:r w:rsidRPr="00BA5253">
              <w:t xml:space="preserve">taff </w:t>
            </w:r>
            <w:r w:rsidR="002F5528">
              <w:t>b</w:t>
            </w:r>
            <w:r w:rsidRPr="00BA5253">
              <w:t xml:space="preserve">etting </w:t>
            </w:r>
            <w:r w:rsidR="002F5528">
              <w:t>p</w:t>
            </w:r>
            <w:r w:rsidRPr="00BA5253">
              <w:t>rocedure other than BPSS</w:t>
            </w:r>
          </w:p>
          <w:p w14:paraId="19654EED" w14:textId="02BC86AA" w:rsidR="00BA5253" w:rsidRPr="00404D09" w:rsidRDefault="00C67702"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195847892"/>
            <w14:checkbox>
              <w14:checked w14:val="0"/>
              <w14:checkedState w14:val="2612" w14:font="MS Gothic"/>
              <w14:uncheckedState w14:val="2610" w14:font="MS Gothic"/>
            </w14:checkbox>
          </w:sdtPr>
          <w:sdtEndPr/>
          <w:sdtContent>
            <w:tc>
              <w:tcPr>
                <w:tcW w:w="708" w:type="dxa"/>
                <w:vAlign w:val="center"/>
              </w:tcPr>
              <w:p w14:paraId="5F3FE3F0" w14:textId="10FD3165"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20BCE609" w14:textId="77777777" w:rsidTr="00CF4322">
        <w:tc>
          <w:tcPr>
            <w:tcW w:w="8914" w:type="dxa"/>
            <w:gridSpan w:val="3"/>
          </w:tcPr>
          <w:p w14:paraId="68181672" w14:textId="7790A312" w:rsidR="006618BE" w:rsidRPr="00BA5253" w:rsidRDefault="006618BE" w:rsidP="005C5B5E">
            <w:pPr>
              <w:pStyle w:val="MarginText"/>
              <w:spacing w:before="120" w:after="120"/>
            </w:pPr>
            <w:r w:rsidRPr="00BA5253">
              <w:t xml:space="preserve">Where an alternative </w:t>
            </w:r>
            <w:r w:rsidR="002F5528">
              <w:t>s</w:t>
            </w:r>
            <w:r w:rsidRPr="00BA5253">
              <w:t xml:space="preserve">taff </w:t>
            </w:r>
            <w:r w:rsidR="002F5528">
              <w:t>v</w:t>
            </w:r>
            <w:r w:rsidRPr="00BA5253">
              <w:t xml:space="preserve">etting </w:t>
            </w:r>
            <w:r w:rsidR="002F5528">
              <w:t>p</w:t>
            </w:r>
            <w:r w:rsidRPr="00BA5253">
              <w:t>rocedure is required, that procedure is:</w:t>
            </w:r>
          </w:p>
          <w:p w14:paraId="31478B6F" w14:textId="0B358414" w:rsidR="006618BE" w:rsidRPr="00404D09" w:rsidRDefault="006618BE" w:rsidP="005C5B5E">
            <w:pPr>
              <w:pStyle w:val="MarginText"/>
              <w:spacing w:before="120" w:after="120"/>
              <w:rPr>
                <w:i/>
              </w:rPr>
            </w:pPr>
            <w:r w:rsidRPr="00404D09">
              <w:rPr>
                <w:i/>
                <w:highlight w:val="yellow"/>
              </w:rPr>
              <w:t>[</w:t>
            </w:r>
            <w:r w:rsidR="00BA5253" w:rsidRPr="00404D09">
              <w:rPr>
                <w:b/>
                <w:i/>
                <w:highlight w:val="yellow"/>
              </w:rPr>
              <w:t>Buyer Guidance:</w:t>
            </w:r>
            <w:r w:rsidR="00BA5253" w:rsidRPr="00404D09">
              <w:rPr>
                <w:i/>
                <w:highlight w:val="yellow"/>
              </w:rPr>
              <w:t xml:space="preserve"> </w:t>
            </w:r>
            <w:r w:rsidR="00BA5253" w:rsidRPr="00404D09">
              <w:rPr>
                <w:b/>
                <w:i/>
                <w:highlight w:val="yellow"/>
              </w:rPr>
              <w:t xml:space="preserve">Where applicable, </w:t>
            </w:r>
            <w:r w:rsidR="00BA5253" w:rsidRPr="00404D09">
              <w:rPr>
                <w:b/>
                <w:bCs/>
                <w:i/>
                <w:highlight w:val="yellow"/>
              </w:rPr>
              <w:t>s</w:t>
            </w:r>
            <w:r w:rsidRPr="00404D09">
              <w:rPr>
                <w:b/>
                <w:bCs/>
                <w:i/>
                <w:highlight w:val="yellow"/>
              </w:rPr>
              <w:t xml:space="preserve">et out required </w:t>
            </w:r>
            <w:r w:rsidR="002F5528">
              <w:rPr>
                <w:b/>
                <w:bCs/>
                <w:i/>
                <w:highlight w:val="yellow"/>
              </w:rPr>
              <w:t>staff vetting procedure</w:t>
            </w:r>
            <w:r w:rsidRPr="00404D09">
              <w:rPr>
                <w:b/>
                <w:bCs/>
                <w:i/>
                <w:highlight w:val="yellow"/>
              </w:rPr>
              <w:t xml:space="preserve"> (other than BPSS)</w:t>
            </w:r>
            <w:r w:rsidRPr="00404D09">
              <w:rPr>
                <w:i/>
                <w:highlight w:val="yellow"/>
              </w:rPr>
              <w:t>]</w:t>
            </w:r>
          </w:p>
        </w:tc>
      </w:tr>
    </w:tbl>
    <w:p w14:paraId="40F7CD99" w14:textId="4ABA7FB7" w:rsidR="00E714EC" w:rsidRPr="00BA5253" w:rsidRDefault="00E714EC" w:rsidP="005C5B5E">
      <w:pPr>
        <w:pStyle w:val="Table-followingparagraph"/>
        <w:spacing w:before="120" w:after="120"/>
      </w:pPr>
    </w:p>
    <w:p w14:paraId="1076D2C1" w14:textId="505E581A" w:rsidR="00E714EC" w:rsidRPr="00BA5253" w:rsidRDefault="00E714EC" w:rsidP="005C5B5E">
      <w:pPr>
        <w:pStyle w:val="Heading2A"/>
        <w:spacing w:before="120" w:after="120"/>
      </w:pPr>
      <w:r w:rsidRPr="00BA5253">
        <w:t>Optional requirements</w:t>
      </w:r>
    </w:p>
    <w:p w14:paraId="26417159" w14:textId="29543DA0" w:rsidR="00E714EC" w:rsidRPr="00BA5253" w:rsidRDefault="00E714EC" w:rsidP="005C5B5E">
      <w:pPr>
        <w:pStyle w:val="Heading2"/>
        <w:spacing w:before="120" w:after="120"/>
      </w:pPr>
      <w:bookmarkStart w:id="4" w:name="_Ref164068001"/>
      <w:r w:rsidRPr="00BA5253">
        <w:t xml:space="preserve">Where the </w:t>
      </w:r>
      <w:r w:rsidR="00A52257" w:rsidRPr="00BA5253">
        <w:t>Buyer</w:t>
      </w:r>
      <w:r w:rsidRPr="00BA5253">
        <w:t xml:space="preserve"> has selected an option in the table below, the Supplier must comply with the requirements of the corresponding </w:t>
      </w:r>
      <w:r w:rsidR="00895B30" w:rsidRPr="00BA5253">
        <w:t>Paragraph</w:t>
      </w:r>
      <w:r w:rsidRPr="00BA5253">
        <w:t xml:space="preserve">. Where the </w:t>
      </w:r>
      <w:r w:rsidR="00A52257" w:rsidRPr="00BA5253">
        <w:t>Buyer</w:t>
      </w:r>
      <w:r w:rsidRPr="00BA5253">
        <w:t xml:space="preserve"> has not selected an option, the corresponding requirement does not apply.</w:t>
      </w:r>
      <w:bookmarkEnd w:id="4"/>
    </w:p>
    <w:tbl>
      <w:tblPr>
        <w:tblStyle w:val="TableGrid"/>
        <w:tblW w:w="8499" w:type="dxa"/>
        <w:tblInd w:w="720" w:type="dxa"/>
        <w:tblLook w:val="04A0" w:firstRow="1" w:lastRow="0" w:firstColumn="1" w:lastColumn="0" w:noHBand="0" w:noVBand="1"/>
      </w:tblPr>
      <w:tblGrid>
        <w:gridCol w:w="7811"/>
        <w:gridCol w:w="688"/>
      </w:tblGrid>
      <w:tr w:rsidR="00CF4322" w:rsidRPr="00BA5253" w14:paraId="15B16334" w14:textId="77777777" w:rsidTr="00F73B84">
        <w:tc>
          <w:tcPr>
            <w:tcW w:w="8499" w:type="dxa"/>
            <w:gridSpan w:val="2"/>
          </w:tcPr>
          <w:p w14:paraId="27A23AAA" w14:textId="1F18BCDA" w:rsidR="00CF4322" w:rsidRPr="00BA5253" w:rsidRDefault="00F73B84" w:rsidP="005C5B5E">
            <w:pPr>
              <w:pStyle w:val="MarginText"/>
              <w:spacing w:before="120" w:after="120"/>
            </w:pPr>
            <w:bookmarkStart w:id="5" w:name="_Hlk167086953"/>
            <w:r w:rsidRPr="00BA5253">
              <w:rPr>
                <w:b/>
                <w:bCs/>
              </w:rPr>
              <w:lastRenderedPageBreak/>
              <w:t>Security Management Plan</w:t>
            </w:r>
            <w:r w:rsidR="00CF4322" w:rsidRPr="00BA5253">
              <w:t xml:space="preserve"> (see </w:t>
            </w:r>
            <w:r w:rsidR="00895B30" w:rsidRPr="00BA5253">
              <w:t>Paragraph</w:t>
            </w:r>
            <w:r w:rsidR="00CF4322" w:rsidRPr="00BA5253">
              <w:t> </w:t>
            </w:r>
            <w:r w:rsidR="001152BA">
              <w:t>10</w:t>
            </w:r>
            <w:r w:rsidR="00CF4322" w:rsidRPr="00BA5253">
              <w:t>)</w:t>
            </w:r>
          </w:p>
        </w:tc>
      </w:tr>
      <w:tr w:rsidR="00F73B84" w:rsidRPr="00BA5253" w14:paraId="0A026BA4" w14:textId="77777777" w:rsidTr="00EC574D">
        <w:tc>
          <w:tcPr>
            <w:tcW w:w="7811" w:type="dxa"/>
          </w:tcPr>
          <w:p w14:paraId="6BD34716" w14:textId="77777777" w:rsidR="00F73B84" w:rsidRDefault="00F73B84" w:rsidP="005C5B5E">
            <w:pPr>
              <w:pStyle w:val="MarginText"/>
              <w:spacing w:before="120" w:after="120"/>
            </w:pPr>
            <w:r w:rsidRPr="00BA5253">
              <w:t>The Supplier must provide the Buyer with a Security Management Plan detailing how the requirements for the options selected in this table have been met.</w:t>
            </w:r>
          </w:p>
          <w:p w14:paraId="4FAC2AFE" w14:textId="7C7D7A58" w:rsidR="00BA5253" w:rsidRPr="00404D09" w:rsidRDefault="00C67702"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tc>
          <w:tcPr>
            <w:tcW w:w="688" w:type="dxa"/>
          </w:tcPr>
          <w:p w14:paraId="1AFA28F8" w14:textId="77777777" w:rsidR="00F73B84" w:rsidRPr="00BA5253" w:rsidRDefault="00180E5E" w:rsidP="005C5B5E">
            <w:pPr>
              <w:pStyle w:val="MarginText"/>
              <w:spacing w:before="120" w:after="120"/>
              <w:jc w:val="center"/>
            </w:pPr>
            <w:sdt>
              <w:sdtPr>
                <w:id w:val="-1655446102"/>
                <w14:checkbox>
                  <w14:checked w14:val="0"/>
                  <w14:checkedState w14:val="2612" w14:font="MS Gothic"/>
                  <w14:uncheckedState w14:val="2610" w14:font="MS Gothic"/>
                </w14:checkbox>
              </w:sdtPr>
              <w:sdtEndPr/>
              <w:sdtContent>
                <w:r w:rsidR="00F73B84" w:rsidRPr="00BA5253">
                  <w:rPr>
                    <w:rFonts w:ascii="Segoe UI Symbol" w:eastAsia="MS Gothic" w:hAnsi="Segoe UI Symbol" w:cs="Segoe UI Symbol"/>
                  </w:rPr>
                  <w:t>☐</w:t>
                </w:r>
              </w:sdtContent>
            </w:sdt>
          </w:p>
        </w:tc>
      </w:tr>
      <w:bookmarkEnd w:id="5"/>
      <w:tr w:rsidR="00CF4322" w:rsidRPr="00BA5253" w14:paraId="136902A5" w14:textId="77777777" w:rsidTr="00F73B84">
        <w:tc>
          <w:tcPr>
            <w:tcW w:w="8499" w:type="dxa"/>
            <w:gridSpan w:val="2"/>
          </w:tcPr>
          <w:p w14:paraId="398DE3CD" w14:textId="766C1F2B" w:rsidR="00CF4322" w:rsidRPr="00BA5253" w:rsidRDefault="006D5B7B" w:rsidP="005C5B5E">
            <w:pPr>
              <w:pStyle w:val="MarginText"/>
              <w:spacing w:before="120" w:after="120"/>
            </w:pPr>
            <w:r w:rsidRPr="00BA5253">
              <w:rPr>
                <w:b/>
                <w:bCs/>
              </w:rPr>
              <w:t>Buyer</w:t>
            </w:r>
            <w:r w:rsidR="00CF4322" w:rsidRPr="00BA5253">
              <w:rPr>
                <w:b/>
                <w:bCs/>
              </w:rPr>
              <w:t xml:space="preserve"> Security Policies</w:t>
            </w:r>
            <w:r w:rsidR="00CF4322" w:rsidRPr="00BA5253">
              <w:t xml:space="preserve"> (see </w:t>
            </w:r>
            <w:r w:rsidR="00895B30" w:rsidRPr="00BA5253">
              <w:t>Paragraph</w:t>
            </w:r>
            <w:r w:rsidR="00CF4322" w:rsidRPr="00BA5253">
              <w:t> </w:t>
            </w:r>
            <w:r w:rsidR="002A1857" w:rsidRPr="00BA5253">
              <w:fldChar w:fldCharType="begin"/>
            </w:r>
            <w:r w:rsidR="002A1857" w:rsidRPr="00BA5253">
              <w:instrText xml:space="preserve"> REF _Ref164067793 \r \h </w:instrText>
            </w:r>
            <w:r w:rsidR="00BA5253" w:rsidRPr="00BA5253">
              <w:instrText xml:space="preserve"> \* MERGEFORMAT </w:instrText>
            </w:r>
            <w:r w:rsidR="002A1857" w:rsidRPr="00BA5253">
              <w:fldChar w:fldCharType="separate"/>
            </w:r>
            <w:r w:rsidR="005C5B5E">
              <w:t>11</w:t>
            </w:r>
            <w:r w:rsidR="002A1857" w:rsidRPr="00BA5253">
              <w:fldChar w:fldCharType="end"/>
            </w:r>
            <w:r w:rsidR="00CF4322" w:rsidRPr="00BA5253">
              <w:t>)</w:t>
            </w:r>
          </w:p>
        </w:tc>
      </w:tr>
      <w:tr w:rsidR="00CF4322" w:rsidRPr="00BA5253" w14:paraId="3FE9392C" w14:textId="77777777" w:rsidTr="00F73B84">
        <w:tc>
          <w:tcPr>
            <w:tcW w:w="7811" w:type="dxa"/>
          </w:tcPr>
          <w:p w14:paraId="3E973F3F" w14:textId="3D7CC8DF" w:rsidR="00CF4322" w:rsidRPr="00BA5253" w:rsidRDefault="00CF4322" w:rsidP="005C5B5E">
            <w:pPr>
              <w:pStyle w:val="MarginText"/>
              <w:spacing w:before="120" w:after="120"/>
            </w:pPr>
            <w:r w:rsidRPr="00BA5253">
              <w:t xml:space="preserve">The </w:t>
            </w:r>
            <w:r w:rsidR="002A1857" w:rsidRPr="00BA5253">
              <w:t>Buyer</w:t>
            </w:r>
            <w:r w:rsidRPr="00BA5253">
              <w:t xml:space="preserve"> requires the Supplier to comply with the following policies relating to security management:</w:t>
            </w:r>
          </w:p>
          <w:p w14:paraId="4B621C6B" w14:textId="4A868121" w:rsidR="00CF4322" w:rsidRPr="00404D09" w:rsidRDefault="00CF4322" w:rsidP="005C5B5E">
            <w:pPr>
              <w:pStyle w:val="MarginText"/>
              <w:numPr>
                <w:ilvl w:val="0"/>
                <w:numId w:val="32"/>
              </w:numPr>
              <w:spacing w:before="120" w:after="120"/>
              <w:ind w:left="357" w:hanging="357"/>
              <w:rPr>
                <w:i/>
              </w:rPr>
            </w:pPr>
            <w:r w:rsidRPr="00404D09">
              <w:rPr>
                <w:i/>
              </w:rPr>
              <w:t>[</w:t>
            </w:r>
            <w:r w:rsidR="00BA5253" w:rsidRPr="00404D09">
              <w:rPr>
                <w:b/>
                <w:i/>
                <w:highlight w:val="yellow"/>
              </w:rPr>
              <w:t>Buyer Guidance:</w:t>
            </w:r>
            <w:r w:rsidR="00BA5253" w:rsidRPr="00404D09">
              <w:rPr>
                <w:i/>
              </w:rPr>
              <w:t xml:space="preserve"> </w:t>
            </w:r>
            <w:r w:rsidRPr="00404D09">
              <w:rPr>
                <w:b/>
                <w:bCs/>
                <w:i/>
              </w:rPr>
              <w:t xml:space="preserve">List </w:t>
            </w:r>
            <w:r w:rsidR="002A1857" w:rsidRPr="00404D09">
              <w:rPr>
                <w:b/>
                <w:bCs/>
                <w:i/>
              </w:rPr>
              <w:t>Buyer</w:t>
            </w:r>
            <w:r w:rsidRPr="00404D09">
              <w:rPr>
                <w:b/>
                <w:bCs/>
                <w:i/>
              </w:rPr>
              <w:t xml:space="preserve"> security policies with which the Supplier and </w:t>
            </w:r>
            <w:r w:rsidR="00F515B7">
              <w:rPr>
                <w:b/>
                <w:bCs/>
                <w:i/>
              </w:rPr>
              <w:t>Sub-contractor</w:t>
            </w:r>
            <w:r w:rsidRPr="00404D09">
              <w:rPr>
                <w:b/>
                <w:bCs/>
                <w:i/>
              </w:rPr>
              <w:t>s must comply]</w:t>
            </w:r>
          </w:p>
        </w:tc>
        <w:tc>
          <w:tcPr>
            <w:tcW w:w="688" w:type="dxa"/>
            <w:vAlign w:val="center"/>
          </w:tcPr>
          <w:p w14:paraId="0DE9081F" w14:textId="35D72D17" w:rsidR="00CF4322" w:rsidRPr="00BA5253" w:rsidRDefault="00180E5E" w:rsidP="005C5B5E">
            <w:pPr>
              <w:pStyle w:val="MarginText"/>
              <w:spacing w:before="120" w:after="120"/>
              <w:jc w:val="center"/>
            </w:pPr>
            <w:sdt>
              <w:sdtPr>
                <w:id w:val="-1906214351"/>
                <w14:checkbox>
                  <w14:checked w14:val="0"/>
                  <w14:checkedState w14:val="2612" w14:font="MS Gothic"/>
                  <w14:uncheckedState w14:val="2610" w14:font="MS Gothic"/>
                </w14:checkbox>
              </w:sdtPr>
              <w:sdtEndPr/>
              <w:sdtContent>
                <w:r w:rsidR="00CF4322" w:rsidRPr="00BA5253">
                  <w:rPr>
                    <w:rFonts w:ascii="Segoe UI Symbol" w:eastAsia="MS Gothic" w:hAnsi="Segoe UI Symbol" w:cs="Segoe UI Symbol"/>
                  </w:rPr>
                  <w:t>☐</w:t>
                </w:r>
              </w:sdtContent>
            </w:sdt>
          </w:p>
        </w:tc>
      </w:tr>
      <w:tr w:rsidR="00963DC7" w:rsidRPr="00BA5253" w14:paraId="0590617E" w14:textId="77777777" w:rsidTr="00F73B84">
        <w:tc>
          <w:tcPr>
            <w:tcW w:w="8499" w:type="dxa"/>
            <w:gridSpan w:val="2"/>
          </w:tcPr>
          <w:p w14:paraId="5B667B2D" w14:textId="28DDD4F3" w:rsidR="00963DC7" w:rsidRPr="00BA5253" w:rsidRDefault="00963DC7" w:rsidP="005C5B5E">
            <w:pPr>
              <w:pStyle w:val="MarginText"/>
              <w:spacing w:before="120" w:after="120"/>
            </w:pPr>
            <w:r w:rsidRPr="00BA5253">
              <w:rPr>
                <w:b/>
                <w:bCs/>
              </w:rPr>
              <w:t>Security testing</w:t>
            </w:r>
            <w:r w:rsidRPr="00BA5253">
              <w:t xml:space="preserve"> (see Paragraph </w:t>
            </w:r>
            <w:r w:rsidR="00E714EC" w:rsidRPr="00BA5253">
              <w:fldChar w:fldCharType="begin"/>
            </w:r>
            <w:r w:rsidR="00E714EC" w:rsidRPr="00BA5253">
              <w:instrText xml:space="preserve"> REF _Ref115347292 \r \h </w:instrText>
            </w:r>
            <w:r w:rsidR="00CF4322" w:rsidRPr="00BA5253">
              <w:instrText xml:space="preserve"> \* MERGEFORMAT </w:instrText>
            </w:r>
            <w:r w:rsidR="00E714EC" w:rsidRPr="00BA5253">
              <w:fldChar w:fldCharType="separate"/>
            </w:r>
            <w:r w:rsidR="005C5B5E">
              <w:t>12</w:t>
            </w:r>
            <w:r w:rsidR="00E714EC" w:rsidRPr="00BA5253">
              <w:fldChar w:fldCharType="end"/>
            </w:r>
            <w:r w:rsidRPr="00BA5253">
              <w:t>)</w:t>
            </w:r>
          </w:p>
        </w:tc>
      </w:tr>
      <w:tr w:rsidR="00963DC7" w:rsidRPr="00BA5253" w14:paraId="1BCE16B6" w14:textId="77777777" w:rsidTr="00F73B84">
        <w:tc>
          <w:tcPr>
            <w:tcW w:w="7811" w:type="dxa"/>
          </w:tcPr>
          <w:p w14:paraId="2CAF8DBD" w14:textId="77777777" w:rsidR="00963DC7" w:rsidRDefault="00963DC7" w:rsidP="005C5B5E">
            <w:pPr>
              <w:pStyle w:val="MarginText"/>
              <w:spacing w:before="120" w:after="120"/>
            </w:pPr>
            <w:r w:rsidRPr="00BA5253">
              <w:t xml:space="preserve">The Supplier must undertake security testing at least once every Contract Year and remediate any </w:t>
            </w:r>
            <w:r w:rsidR="000700A0" w:rsidRPr="00BA5253">
              <w:t>vulnerabilities, where it is technically feasible to do so</w:t>
            </w:r>
          </w:p>
          <w:p w14:paraId="0EF8C0B8" w14:textId="483D413C"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2002110895"/>
            <w14:checkbox>
              <w14:checked w14:val="0"/>
              <w14:checkedState w14:val="2612" w14:font="MS Gothic"/>
              <w14:uncheckedState w14:val="2610" w14:font="MS Gothic"/>
            </w14:checkbox>
          </w:sdtPr>
          <w:sdtEndPr/>
          <w:sdtContent>
            <w:tc>
              <w:tcPr>
                <w:tcW w:w="688" w:type="dxa"/>
                <w:vAlign w:val="center"/>
              </w:tcPr>
              <w:p w14:paraId="7806112E" w14:textId="0BAA5AD1"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5C6ADC09" w14:textId="77777777" w:rsidTr="00F73B84">
        <w:tc>
          <w:tcPr>
            <w:tcW w:w="7811" w:type="dxa"/>
          </w:tcPr>
          <w:p w14:paraId="4C4A077A" w14:textId="61FF1286" w:rsidR="00963DC7" w:rsidRPr="00BA5253" w:rsidRDefault="00963DC7" w:rsidP="005C5B5E">
            <w:pPr>
              <w:pStyle w:val="MarginText"/>
              <w:spacing w:before="120" w:after="120"/>
            </w:pPr>
            <w:r w:rsidRPr="00BA5253">
              <w:rPr>
                <w:b/>
                <w:bCs/>
              </w:rPr>
              <w:t>Cloud Security Principles</w:t>
            </w:r>
            <w:r w:rsidRPr="00BA5253">
              <w:t xml:space="preserve"> (see Paragraph </w:t>
            </w:r>
            <w:r w:rsidRPr="00BA5253">
              <w:fldChar w:fldCharType="begin"/>
            </w:r>
            <w:r w:rsidRPr="00BA5253">
              <w:instrText xml:space="preserve"> REF _Ref114499486 \r \h </w:instrText>
            </w:r>
            <w:r w:rsidR="00BA5253" w:rsidRPr="00BA5253">
              <w:instrText xml:space="preserve"> \* MERGEFORMAT </w:instrText>
            </w:r>
            <w:r w:rsidRPr="00BA5253">
              <w:fldChar w:fldCharType="separate"/>
            </w:r>
            <w:r w:rsidR="005C5B5E">
              <w:t>13</w:t>
            </w:r>
            <w:r w:rsidRPr="00BA5253">
              <w:fldChar w:fldCharType="end"/>
            </w:r>
            <w:r w:rsidRPr="00BA5253">
              <w:t>)</w:t>
            </w:r>
          </w:p>
        </w:tc>
        <w:tc>
          <w:tcPr>
            <w:tcW w:w="688" w:type="dxa"/>
          </w:tcPr>
          <w:p w14:paraId="4F0DB879" w14:textId="77777777" w:rsidR="00963DC7" w:rsidRPr="00BA5253" w:rsidRDefault="00963DC7" w:rsidP="005C5B5E">
            <w:pPr>
              <w:pStyle w:val="MarginText"/>
              <w:spacing w:before="120" w:after="120"/>
            </w:pPr>
          </w:p>
        </w:tc>
      </w:tr>
      <w:tr w:rsidR="00963DC7" w:rsidRPr="00BA5253" w14:paraId="25A934E4" w14:textId="77777777" w:rsidTr="00F73B84">
        <w:tc>
          <w:tcPr>
            <w:tcW w:w="7811" w:type="dxa"/>
          </w:tcPr>
          <w:p w14:paraId="56D05EF1" w14:textId="77777777" w:rsidR="00963DC7" w:rsidRDefault="00963DC7" w:rsidP="005C5B5E">
            <w:pPr>
              <w:pStyle w:val="MarginText"/>
              <w:spacing w:before="120" w:after="120"/>
            </w:pPr>
            <w:r w:rsidRPr="00BA5253">
              <w:t>The Supplier must assess the Supplier System against the Cloud Security Principles</w:t>
            </w:r>
          </w:p>
          <w:p w14:paraId="0A883C8F" w14:textId="6DD4FFE7"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733585647"/>
            <w14:checkbox>
              <w14:checked w14:val="0"/>
              <w14:checkedState w14:val="2612" w14:font="MS Gothic"/>
              <w14:uncheckedState w14:val="2610" w14:font="MS Gothic"/>
            </w14:checkbox>
          </w:sdtPr>
          <w:sdtEndPr/>
          <w:sdtContent>
            <w:tc>
              <w:tcPr>
                <w:tcW w:w="688" w:type="dxa"/>
                <w:vAlign w:val="center"/>
              </w:tcPr>
              <w:p w14:paraId="2787F405" w14:textId="25AB455F"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E714EC" w:rsidRPr="00BA5253" w14:paraId="720795FE" w14:textId="77777777" w:rsidTr="00F73B84">
        <w:tc>
          <w:tcPr>
            <w:tcW w:w="8499" w:type="dxa"/>
            <w:gridSpan w:val="2"/>
          </w:tcPr>
          <w:p w14:paraId="2E118AD3" w14:textId="0C3838A3" w:rsidR="00E714EC" w:rsidRPr="00BA5253" w:rsidRDefault="00E714EC" w:rsidP="005C5B5E">
            <w:pPr>
              <w:pStyle w:val="MarginText"/>
              <w:spacing w:before="120" w:after="120"/>
            </w:pPr>
            <w:r w:rsidRPr="00BA5253">
              <w:rPr>
                <w:b/>
                <w:bCs/>
              </w:rPr>
              <w:t>Record keeping</w:t>
            </w:r>
            <w:r w:rsidRPr="00BA5253">
              <w:t xml:space="preserve"> (see </w:t>
            </w:r>
            <w:r w:rsidR="00895B30" w:rsidRPr="00BA5253">
              <w:t>Paragraph</w:t>
            </w:r>
            <w:r w:rsidRPr="00BA5253">
              <w:t> </w:t>
            </w:r>
            <w:r w:rsidRPr="00BA5253">
              <w:fldChar w:fldCharType="begin"/>
            </w:r>
            <w:r w:rsidRPr="00BA5253">
              <w:instrText xml:space="preserve"> REF _Ref115347766 \r \h </w:instrText>
            </w:r>
            <w:r w:rsidR="00BA5253" w:rsidRPr="00BA5253">
              <w:instrText xml:space="preserve"> \* MERGEFORMAT </w:instrText>
            </w:r>
            <w:r w:rsidRPr="00BA5253">
              <w:fldChar w:fldCharType="separate"/>
            </w:r>
            <w:r w:rsidR="005C5B5E">
              <w:t>14</w:t>
            </w:r>
            <w:r w:rsidRPr="00BA5253">
              <w:fldChar w:fldCharType="end"/>
            </w:r>
            <w:r w:rsidRPr="00BA5253">
              <w:t>)</w:t>
            </w:r>
          </w:p>
        </w:tc>
      </w:tr>
      <w:tr w:rsidR="00E714EC" w:rsidRPr="00BA5253" w14:paraId="121F75C0" w14:textId="77777777" w:rsidTr="00F73B84">
        <w:tc>
          <w:tcPr>
            <w:tcW w:w="7811" w:type="dxa"/>
          </w:tcPr>
          <w:p w14:paraId="544E757D" w14:textId="7E8D4DE3" w:rsidR="00E714EC" w:rsidRDefault="00E714EC" w:rsidP="005C5B5E">
            <w:pPr>
              <w:pStyle w:val="MarginText"/>
              <w:spacing w:before="120" w:after="120"/>
            </w:pPr>
            <w:r w:rsidRPr="00BA5253">
              <w:t xml:space="preserve">The Supplier must keep records relating to </w:t>
            </w:r>
            <w:r w:rsidR="00F515B7">
              <w:t>Sub-contractor</w:t>
            </w:r>
            <w:r w:rsidRPr="00BA5253">
              <w:t xml:space="preserve">s, Sites, </w:t>
            </w:r>
            <w:r w:rsidR="004E2394" w:rsidRPr="00BA5253">
              <w:t>Third-party Tool</w:t>
            </w:r>
            <w:r w:rsidRPr="00BA5253">
              <w:t>s and third parties</w:t>
            </w:r>
          </w:p>
          <w:p w14:paraId="7902A3A2" w14:textId="53AEACD3"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387342606"/>
            <w14:checkbox>
              <w14:checked w14:val="0"/>
              <w14:checkedState w14:val="2612" w14:font="MS Gothic"/>
              <w14:uncheckedState w14:val="2610" w14:font="MS Gothic"/>
            </w14:checkbox>
          </w:sdtPr>
          <w:sdtEndPr/>
          <w:sdtContent>
            <w:tc>
              <w:tcPr>
                <w:tcW w:w="688" w:type="dxa"/>
                <w:vAlign w:val="center"/>
              </w:tcPr>
              <w:p w14:paraId="754C7B34" w14:textId="07CF332A" w:rsidR="00E714EC"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E714EC" w:rsidRPr="00BA5253" w14:paraId="38CBCEAF" w14:textId="77777777" w:rsidTr="00F73B84">
        <w:tc>
          <w:tcPr>
            <w:tcW w:w="8499" w:type="dxa"/>
            <w:gridSpan w:val="2"/>
          </w:tcPr>
          <w:p w14:paraId="7A3E0828" w14:textId="2CA85F06" w:rsidR="00E714EC" w:rsidRPr="00BA5253" w:rsidRDefault="00E714EC" w:rsidP="005C5B5E">
            <w:pPr>
              <w:pStyle w:val="MarginText"/>
              <w:spacing w:before="120" w:after="120"/>
            </w:pPr>
            <w:r w:rsidRPr="00BA5253">
              <w:rPr>
                <w:b/>
                <w:bCs/>
              </w:rPr>
              <w:t>Encryption</w:t>
            </w:r>
            <w:r w:rsidRPr="00BA5253">
              <w:t xml:space="preserve"> (see Paragraph </w:t>
            </w:r>
            <w:r w:rsidRPr="00BA5253">
              <w:fldChar w:fldCharType="begin"/>
            </w:r>
            <w:r w:rsidRPr="00BA5253">
              <w:instrText xml:space="preserve"> REF _Ref115016732 \r \h </w:instrText>
            </w:r>
            <w:r w:rsidR="00BA5253" w:rsidRPr="00BA5253">
              <w:instrText xml:space="preserve"> \* MERGEFORMAT </w:instrText>
            </w:r>
            <w:r w:rsidRPr="00BA5253">
              <w:fldChar w:fldCharType="separate"/>
            </w:r>
            <w:r w:rsidR="005C5B5E">
              <w:t>15</w:t>
            </w:r>
            <w:r w:rsidRPr="00BA5253">
              <w:fldChar w:fldCharType="end"/>
            </w:r>
            <w:r w:rsidRPr="00BA5253">
              <w:t>)</w:t>
            </w:r>
          </w:p>
        </w:tc>
      </w:tr>
      <w:tr w:rsidR="00963DC7" w:rsidRPr="00BA5253" w14:paraId="753BE01D" w14:textId="77777777" w:rsidTr="00F73B84">
        <w:tc>
          <w:tcPr>
            <w:tcW w:w="7811" w:type="dxa"/>
          </w:tcPr>
          <w:p w14:paraId="488F8517" w14:textId="77777777" w:rsidR="00963DC7" w:rsidRDefault="00963DC7" w:rsidP="005C5B5E">
            <w:pPr>
              <w:pStyle w:val="MarginText"/>
              <w:spacing w:before="120" w:after="120"/>
            </w:pPr>
            <w:r w:rsidRPr="00BA5253">
              <w:t xml:space="preserve">The Supplier must encrypt </w:t>
            </w:r>
            <w:r w:rsidR="00BC37A8" w:rsidRPr="00BA5253">
              <w:t>Government Data</w:t>
            </w:r>
            <w:r w:rsidRPr="00BA5253">
              <w:t xml:space="preserve"> while at rest or in transit</w:t>
            </w:r>
          </w:p>
          <w:p w14:paraId="7DC4D5A1" w14:textId="5BEFD5F6"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726997125"/>
            <w14:checkbox>
              <w14:checked w14:val="0"/>
              <w14:checkedState w14:val="2612" w14:font="MS Gothic"/>
              <w14:uncheckedState w14:val="2610" w14:font="MS Gothic"/>
            </w14:checkbox>
          </w:sdtPr>
          <w:sdtEndPr/>
          <w:sdtContent>
            <w:tc>
              <w:tcPr>
                <w:tcW w:w="688" w:type="dxa"/>
                <w:vAlign w:val="center"/>
              </w:tcPr>
              <w:p w14:paraId="03447B53" w14:textId="5C734C87"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58B6DD69" w14:textId="77777777" w:rsidTr="00F73B84">
        <w:tc>
          <w:tcPr>
            <w:tcW w:w="7811" w:type="dxa"/>
          </w:tcPr>
          <w:p w14:paraId="1511A4E3" w14:textId="7D80F912" w:rsidR="00963DC7" w:rsidRPr="00BA5253" w:rsidRDefault="009C71CB" w:rsidP="005C5B5E">
            <w:pPr>
              <w:pStyle w:val="MarginText"/>
              <w:spacing w:before="120" w:after="120"/>
            </w:pPr>
            <w:r w:rsidRPr="00BA5253">
              <w:rPr>
                <w:b/>
                <w:bCs/>
              </w:rPr>
              <w:t>Protective</w:t>
            </w:r>
            <w:r w:rsidR="00963DC7" w:rsidRPr="00BA5253">
              <w:rPr>
                <w:b/>
                <w:bCs/>
              </w:rPr>
              <w:t xml:space="preserve"> Monitoring System</w:t>
            </w:r>
            <w:r w:rsidR="00963DC7" w:rsidRPr="00BA5253">
              <w:t xml:space="preserve"> (see Paragraph </w:t>
            </w:r>
            <w:r w:rsidR="00AB1401" w:rsidRPr="00BA5253">
              <w:fldChar w:fldCharType="begin"/>
            </w:r>
            <w:r w:rsidR="00AB1401" w:rsidRPr="00BA5253">
              <w:instrText xml:space="preserve"> REF _Ref167089662 \r \h </w:instrText>
            </w:r>
            <w:r w:rsidR="00BA5253" w:rsidRPr="00BA5253">
              <w:instrText xml:space="preserve"> \* MERGEFORMAT </w:instrText>
            </w:r>
            <w:r w:rsidR="00AB1401" w:rsidRPr="00BA5253">
              <w:fldChar w:fldCharType="separate"/>
            </w:r>
            <w:r w:rsidR="005C5B5E">
              <w:t>16</w:t>
            </w:r>
            <w:r w:rsidR="00AB1401" w:rsidRPr="00BA5253">
              <w:fldChar w:fldCharType="end"/>
            </w:r>
            <w:r w:rsidR="00963DC7" w:rsidRPr="00BA5253">
              <w:t>)</w:t>
            </w:r>
          </w:p>
        </w:tc>
        <w:tc>
          <w:tcPr>
            <w:tcW w:w="688" w:type="dxa"/>
          </w:tcPr>
          <w:p w14:paraId="60EF55AE" w14:textId="77777777" w:rsidR="00963DC7" w:rsidRPr="00BA5253" w:rsidRDefault="00963DC7" w:rsidP="005C5B5E">
            <w:pPr>
              <w:pStyle w:val="MarginText"/>
              <w:spacing w:before="120" w:after="120"/>
            </w:pPr>
          </w:p>
        </w:tc>
      </w:tr>
      <w:tr w:rsidR="00963DC7" w:rsidRPr="00BA5253" w14:paraId="778CA391" w14:textId="77777777" w:rsidTr="00F73B84">
        <w:tc>
          <w:tcPr>
            <w:tcW w:w="7811" w:type="dxa"/>
          </w:tcPr>
          <w:p w14:paraId="385A8FEE" w14:textId="77777777" w:rsidR="00963DC7" w:rsidRDefault="00963DC7" w:rsidP="005C5B5E">
            <w:pPr>
              <w:pStyle w:val="MarginText"/>
              <w:spacing w:before="120" w:after="120"/>
            </w:pPr>
            <w:r w:rsidRPr="00BA5253">
              <w:lastRenderedPageBreak/>
              <w:t>The Supplier must implement an effective Protective Monitoring System</w:t>
            </w:r>
          </w:p>
          <w:p w14:paraId="7A58DFE1" w14:textId="6A01C1F8"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715796462"/>
            <w14:checkbox>
              <w14:checked w14:val="0"/>
              <w14:checkedState w14:val="2612" w14:font="MS Gothic"/>
              <w14:uncheckedState w14:val="2610" w14:font="MS Gothic"/>
            </w14:checkbox>
          </w:sdtPr>
          <w:sdtEndPr/>
          <w:sdtContent>
            <w:tc>
              <w:tcPr>
                <w:tcW w:w="688" w:type="dxa"/>
                <w:vAlign w:val="center"/>
              </w:tcPr>
              <w:p w14:paraId="3E91B9AB" w14:textId="0C07A96B"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5C14F753" w14:textId="77777777" w:rsidTr="00F73B84">
        <w:tc>
          <w:tcPr>
            <w:tcW w:w="7811" w:type="dxa"/>
          </w:tcPr>
          <w:p w14:paraId="696BF8B2" w14:textId="221411B2" w:rsidR="00963DC7" w:rsidRPr="00BA5253" w:rsidRDefault="00963DC7" w:rsidP="005C5B5E">
            <w:pPr>
              <w:pStyle w:val="MarginText"/>
              <w:spacing w:before="120" w:after="120"/>
            </w:pPr>
            <w:r w:rsidRPr="00BA5253">
              <w:rPr>
                <w:b/>
                <w:bCs/>
              </w:rPr>
              <w:t>Patching</w:t>
            </w:r>
            <w:r w:rsidRPr="00BA5253">
              <w:t xml:space="preserve"> (see Paragraph </w:t>
            </w:r>
            <w:r w:rsidRPr="00BA5253">
              <w:fldChar w:fldCharType="begin"/>
            </w:r>
            <w:r w:rsidRPr="00BA5253">
              <w:instrText xml:space="preserve"> REF _Ref115017464 \r \h </w:instrText>
            </w:r>
            <w:r w:rsidR="00BA5253" w:rsidRPr="00BA5253">
              <w:instrText xml:space="preserve"> \* MERGEFORMAT </w:instrText>
            </w:r>
            <w:r w:rsidRPr="00BA5253">
              <w:fldChar w:fldCharType="separate"/>
            </w:r>
            <w:r w:rsidR="005C5B5E">
              <w:t>17</w:t>
            </w:r>
            <w:r w:rsidRPr="00BA5253">
              <w:fldChar w:fldCharType="end"/>
            </w:r>
            <w:r w:rsidRPr="00BA5253">
              <w:t>)</w:t>
            </w:r>
          </w:p>
        </w:tc>
        <w:tc>
          <w:tcPr>
            <w:tcW w:w="688" w:type="dxa"/>
          </w:tcPr>
          <w:p w14:paraId="6E30AACA" w14:textId="77777777" w:rsidR="00963DC7" w:rsidRPr="00BA5253" w:rsidRDefault="00963DC7" w:rsidP="005C5B5E">
            <w:pPr>
              <w:pStyle w:val="MarginText"/>
              <w:spacing w:before="120" w:after="120"/>
            </w:pPr>
          </w:p>
        </w:tc>
      </w:tr>
      <w:tr w:rsidR="00963DC7" w:rsidRPr="00BA5253" w14:paraId="6A02694F" w14:textId="77777777" w:rsidTr="00F73B84">
        <w:tc>
          <w:tcPr>
            <w:tcW w:w="7811" w:type="dxa"/>
          </w:tcPr>
          <w:p w14:paraId="429A3293" w14:textId="77777777" w:rsidR="00963DC7" w:rsidRDefault="00963DC7" w:rsidP="005C5B5E">
            <w:pPr>
              <w:pStyle w:val="MarginText"/>
              <w:spacing w:before="120" w:after="120"/>
            </w:pPr>
            <w:r w:rsidRPr="00BA5253">
              <w:t>The Supplier must patch vulnerabilities in the Supplier System promptly</w:t>
            </w:r>
          </w:p>
          <w:p w14:paraId="2B611361" w14:textId="50C8A171" w:rsidR="00586A00" w:rsidRPr="00BA5253" w:rsidRDefault="00586A00" w:rsidP="005C5B5E">
            <w:pPr>
              <w:pStyle w:val="MarginText"/>
              <w:spacing w:before="120" w:after="120"/>
            </w:pPr>
            <w:r w:rsidRPr="003473F6">
              <w:rPr>
                <w:b/>
                <w:highlight w:val="yellow"/>
              </w:rPr>
              <w:t>[</w:t>
            </w: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686441916"/>
            <w14:checkbox>
              <w14:checked w14:val="0"/>
              <w14:checkedState w14:val="2612" w14:font="MS Gothic"/>
              <w14:uncheckedState w14:val="2610" w14:font="MS Gothic"/>
            </w14:checkbox>
          </w:sdtPr>
          <w:sdtEndPr/>
          <w:sdtContent>
            <w:tc>
              <w:tcPr>
                <w:tcW w:w="688" w:type="dxa"/>
                <w:vAlign w:val="center"/>
              </w:tcPr>
              <w:p w14:paraId="46313D1D" w14:textId="198E7F68"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752E4A43" w14:textId="77777777" w:rsidTr="00F73B84">
        <w:tc>
          <w:tcPr>
            <w:tcW w:w="7811" w:type="dxa"/>
          </w:tcPr>
          <w:p w14:paraId="798EEB7D" w14:textId="182C4BDE" w:rsidR="00963DC7" w:rsidRPr="00BA5253" w:rsidRDefault="00963DC7" w:rsidP="005C5B5E">
            <w:pPr>
              <w:pStyle w:val="MarginText"/>
              <w:spacing w:before="120" w:after="120"/>
            </w:pPr>
            <w:r w:rsidRPr="00BA5253">
              <w:rPr>
                <w:b/>
                <w:bCs/>
              </w:rPr>
              <w:t>Malware protection</w:t>
            </w:r>
            <w:r w:rsidRPr="00BA5253">
              <w:t xml:space="preserve"> (see Paragraph </w:t>
            </w:r>
            <w:r w:rsidRPr="00BA5253">
              <w:fldChar w:fldCharType="begin"/>
            </w:r>
            <w:r w:rsidRPr="00BA5253">
              <w:instrText xml:space="preserve"> REF _Ref115017453 \r \h </w:instrText>
            </w:r>
            <w:r w:rsidR="00BA5253" w:rsidRPr="00BA5253">
              <w:instrText xml:space="preserve"> \* MERGEFORMAT </w:instrText>
            </w:r>
            <w:r w:rsidRPr="00BA5253">
              <w:fldChar w:fldCharType="separate"/>
            </w:r>
            <w:r w:rsidR="005C5B5E">
              <w:t>18</w:t>
            </w:r>
            <w:r w:rsidRPr="00BA5253">
              <w:fldChar w:fldCharType="end"/>
            </w:r>
            <w:r w:rsidRPr="00BA5253">
              <w:t>)</w:t>
            </w:r>
          </w:p>
        </w:tc>
        <w:tc>
          <w:tcPr>
            <w:tcW w:w="688" w:type="dxa"/>
          </w:tcPr>
          <w:p w14:paraId="7AED1AE9" w14:textId="77777777" w:rsidR="00963DC7" w:rsidRPr="00BA5253" w:rsidRDefault="00963DC7" w:rsidP="005C5B5E">
            <w:pPr>
              <w:pStyle w:val="MarginText"/>
              <w:spacing w:before="120" w:after="120"/>
            </w:pPr>
          </w:p>
        </w:tc>
      </w:tr>
      <w:tr w:rsidR="00963DC7" w:rsidRPr="00BA5253" w14:paraId="47D52B50" w14:textId="77777777" w:rsidTr="00F73B84">
        <w:tc>
          <w:tcPr>
            <w:tcW w:w="7811" w:type="dxa"/>
          </w:tcPr>
          <w:p w14:paraId="784AE9B2" w14:textId="77777777" w:rsidR="00963DC7" w:rsidRDefault="00963DC7" w:rsidP="005C5B5E">
            <w:pPr>
              <w:pStyle w:val="MarginText"/>
              <w:spacing w:before="120" w:after="120"/>
            </w:pPr>
            <w:r w:rsidRPr="00BA5253">
              <w:t>The Supplier must use appropriate Anti-virus Software</w:t>
            </w:r>
          </w:p>
          <w:p w14:paraId="0BE3E2A8" w14:textId="35E65F8A"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476413818"/>
            <w14:checkbox>
              <w14:checked w14:val="0"/>
              <w14:checkedState w14:val="2612" w14:font="MS Gothic"/>
              <w14:uncheckedState w14:val="2610" w14:font="MS Gothic"/>
            </w14:checkbox>
          </w:sdtPr>
          <w:sdtEndPr/>
          <w:sdtContent>
            <w:tc>
              <w:tcPr>
                <w:tcW w:w="688" w:type="dxa"/>
                <w:vAlign w:val="center"/>
              </w:tcPr>
              <w:p w14:paraId="407AF350" w14:textId="0B6F69AF"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04745D69" w14:textId="77777777" w:rsidTr="00F73B84">
        <w:tc>
          <w:tcPr>
            <w:tcW w:w="7811" w:type="dxa"/>
          </w:tcPr>
          <w:p w14:paraId="57EB8170" w14:textId="0CD1532D" w:rsidR="00963DC7" w:rsidRPr="00BA5253" w:rsidRDefault="00963DC7" w:rsidP="005C5B5E">
            <w:pPr>
              <w:pStyle w:val="MarginText"/>
              <w:spacing w:before="120" w:after="120"/>
            </w:pPr>
            <w:r w:rsidRPr="00BA5253">
              <w:rPr>
                <w:b/>
                <w:bCs/>
              </w:rPr>
              <w:t>End-user Devices</w:t>
            </w:r>
            <w:r w:rsidRPr="00BA5253">
              <w:t xml:space="preserve"> (see Paragraph </w:t>
            </w:r>
            <w:r w:rsidRPr="00BA5253">
              <w:fldChar w:fldCharType="begin"/>
            </w:r>
            <w:r w:rsidRPr="00BA5253">
              <w:instrText xml:space="preserve"> REF _Ref115019449 \r \h </w:instrText>
            </w:r>
            <w:r w:rsidR="00BA5253" w:rsidRPr="00BA5253">
              <w:instrText xml:space="preserve"> \* MERGEFORMAT </w:instrText>
            </w:r>
            <w:r w:rsidRPr="00BA5253">
              <w:fldChar w:fldCharType="separate"/>
            </w:r>
            <w:r w:rsidR="005C5B5E">
              <w:t>19</w:t>
            </w:r>
            <w:r w:rsidRPr="00BA5253">
              <w:fldChar w:fldCharType="end"/>
            </w:r>
            <w:r w:rsidRPr="00BA5253">
              <w:t>)</w:t>
            </w:r>
          </w:p>
        </w:tc>
        <w:tc>
          <w:tcPr>
            <w:tcW w:w="688" w:type="dxa"/>
          </w:tcPr>
          <w:p w14:paraId="00D19CAE" w14:textId="77777777" w:rsidR="00963DC7" w:rsidRPr="00BA5253" w:rsidRDefault="00963DC7" w:rsidP="005C5B5E">
            <w:pPr>
              <w:pStyle w:val="MarginText"/>
              <w:spacing w:before="120" w:after="120"/>
            </w:pPr>
          </w:p>
        </w:tc>
      </w:tr>
      <w:tr w:rsidR="00963DC7" w:rsidRPr="00BA5253" w14:paraId="062D0DB6" w14:textId="77777777" w:rsidTr="00F73B84">
        <w:tc>
          <w:tcPr>
            <w:tcW w:w="7811" w:type="dxa"/>
          </w:tcPr>
          <w:p w14:paraId="6F81FBE0" w14:textId="77777777" w:rsidR="00963DC7" w:rsidRDefault="00963DC7" w:rsidP="005C5B5E">
            <w:pPr>
              <w:pStyle w:val="MarginText"/>
              <w:spacing w:before="120" w:after="120"/>
            </w:pPr>
            <w:r w:rsidRPr="00BA5253">
              <w:t>The Supplier must manage End-user Devices appropriately</w:t>
            </w:r>
          </w:p>
          <w:p w14:paraId="7F304056" w14:textId="3E3CE9D3"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464734108"/>
            <w14:checkbox>
              <w14:checked w14:val="0"/>
              <w14:checkedState w14:val="2612" w14:font="MS Gothic"/>
              <w14:uncheckedState w14:val="2610" w14:font="MS Gothic"/>
            </w14:checkbox>
          </w:sdtPr>
          <w:sdtEndPr/>
          <w:sdtContent>
            <w:tc>
              <w:tcPr>
                <w:tcW w:w="688" w:type="dxa"/>
                <w:vAlign w:val="center"/>
              </w:tcPr>
              <w:p w14:paraId="79211B9B" w14:textId="780BC396"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365DC57A" w14:textId="77777777" w:rsidTr="00F73B84">
        <w:tc>
          <w:tcPr>
            <w:tcW w:w="8499" w:type="dxa"/>
            <w:gridSpan w:val="2"/>
          </w:tcPr>
          <w:p w14:paraId="0973B119" w14:textId="4C51E58C" w:rsidR="00963DC7" w:rsidRPr="00BA5253" w:rsidRDefault="00963DC7" w:rsidP="005C5B5E">
            <w:pPr>
              <w:pStyle w:val="MarginText"/>
              <w:spacing w:before="120" w:after="120"/>
            </w:pPr>
            <w:r w:rsidRPr="00BA5253">
              <w:rPr>
                <w:b/>
                <w:bCs/>
              </w:rPr>
              <w:t>Vulnerability scanning</w:t>
            </w:r>
            <w:r w:rsidRPr="00BA5253">
              <w:t xml:space="preserve"> (see Paragraph </w:t>
            </w:r>
            <w:r w:rsidRPr="00BA5253">
              <w:fldChar w:fldCharType="begin"/>
            </w:r>
            <w:r w:rsidRPr="00BA5253">
              <w:instrText xml:space="preserve"> REF _Ref115020875 \r \h </w:instrText>
            </w:r>
            <w:r w:rsidR="00BA5253" w:rsidRPr="00BA5253">
              <w:instrText xml:space="preserve"> \* MERGEFORMAT </w:instrText>
            </w:r>
            <w:r w:rsidRPr="00BA5253">
              <w:fldChar w:fldCharType="separate"/>
            </w:r>
            <w:r w:rsidR="005C5B5E">
              <w:t>20</w:t>
            </w:r>
            <w:r w:rsidRPr="00BA5253">
              <w:fldChar w:fldCharType="end"/>
            </w:r>
            <w:r w:rsidRPr="00BA5253">
              <w:t>)</w:t>
            </w:r>
          </w:p>
        </w:tc>
      </w:tr>
      <w:tr w:rsidR="00963DC7" w:rsidRPr="00BA5253" w14:paraId="3F137169" w14:textId="77777777" w:rsidTr="00F73B84">
        <w:tc>
          <w:tcPr>
            <w:tcW w:w="7811" w:type="dxa"/>
          </w:tcPr>
          <w:p w14:paraId="39811276" w14:textId="77777777" w:rsidR="00963DC7" w:rsidRDefault="00963DC7" w:rsidP="005C5B5E">
            <w:pPr>
              <w:pStyle w:val="MarginText"/>
              <w:spacing w:before="120" w:after="120"/>
            </w:pPr>
            <w:r w:rsidRPr="00BA5253">
              <w:t>The Supplier must scan the Supplier System monthly for unpatched vulnerabilities</w:t>
            </w:r>
          </w:p>
          <w:p w14:paraId="466DB867" w14:textId="4BCEB01D"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220558484"/>
            <w14:checkbox>
              <w14:checked w14:val="0"/>
              <w14:checkedState w14:val="2612" w14:font="MS Gothic"/>
              <w14:uncheckedState w14:val="2610" w14:font="MS Gothic"/>
            </w14:checkbox>
          </w:sdtPr>
          <w:sdtEndPr/>
          <w:sdtContent>
            <w:tc>
              <w:tcPr>
                <w:tcW w:w="688" w:type="dxa"/>
                <w:vAlign w:val="center"/>
              </w:tcPr>
              <w:p w14:paraId="7A483483" w14:textId="0A414610"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E714EC" w:rsidRPr="00BA5253" w14:paraId="70DD43D8" w14:textId="77777777" w:rsidTr="00F73B84">
        <w:tc>
          <w:tcPr>
            <w:tcW w:w="7811" w:type="dxa"/>
          </w:tcPr>
          <w:p w14:paraId="1108618E" w14:textId="39D16F7E" w:rsidR="00E714EC" w:rsidRPr="00BA5253" w:rsidRDefault="00E714EC" w:rsidP="005C5B5E">
            <w:pPr>
              <w:pStyle w:val="MarginText"/>
              <w:spacing w:before="120" w:after="120"/>
            </w:pPr>
            <w:r w:rsidRPr="00BA5253">
              <w:rPr>
                <w:b/>
                <w:bCs/>
              </w:rPr>
              <w:t>Access control</w:t>
            </w:r>
            <w:r w:rsidRPr="00BA5253">
              <w:t xml:space="preserve"> (see </w:t>
            </w:r>
            <w:r w:rsidR="00895B30" w:rsidRPr="00BA5253">
              <w:t>Paragraph</w:t>
            </w:r>
            <w:r w:rsidRPr="00BA5253">
              <w:t> </w:t>
            </w:r>
            <w:r w:rsidRPr="00BA5253">
              <w:fldChar w:fldCharType="begin"/>
            </w:r>
            <w:r w:rsidRPr="00BA5253">
              <w:instrText xml:space="preserve"> REF _Ref115347841 \r \h </w:instrText>
            </w:r>
            <w:r w:rsidR="00BA5253" w:rsidRPr="00BA5253">
              <w:instrText xml:space="preserve"> \* MERGEFORMAT </w:instrText>
            </w:r>
            <w:r w:rsidRPr="00BA5253">
              <w:fldChar w:fldCharType="separate"/>
            </w:r>
            <w:r w:rsidR="005C5B5E">
              <w:t>21</w:t>
            </w:r>
            <w:r w:rsidRPr="00BA5253">
              <w:fldChar w:fldCharType="end"/>
            </w:r>
            <w:r w:rsidRPr="00BA5253">
              <w:t>)</w:t>
            </w:r>
          </w:p>
        </w:tc>
        <w:tc>
          <w:tcPr>
            <w:tcW w:w="688" w:type="dxa"/>
          </w:tcPr>
          <w:p w14:paraId="09933ECF" w14:textId="77777777" w:rsidR="00E714EC" w:rsidRPr="00BA5253" w:rsidRDefault="00E714EC" w:rsidP="005C5B5E">
            <w:pPr>
              <w:pStyle w:val="MarginText"/>
              <w:spacing w:before="120" w:after="120"/>
            </w:pPr>
          </w:p>
        </w:tc>
      </w:tr>
      <w:tr w:rsidR="00E714EC" w:rsidRPr="00BA5253" w14:paraId="4FEEC9CD" w14:textId="77777777" w:rsidTr="00F73B84">
        <w:tc>
          <w:tcPr>
            <w:tcW w:w="7811" w:type="dxa"/>
          </w:tcPr>
          <w:p w14:paraId="43C8DC0F" w14:textId="77777777" w:rsidR="00E714EC" w:rsidRDefault="00E714EC" w:rsidP="005C5B5E">
            <w:pPr>
              <w:pStyle w:val="MarginText"/>
              <w:spacing w:before="120" w:after="120"/>
            </w:pPr>
            <w:r w:rsidRPr="00BA5253">
              <w:t xml:space="preserve">The Supplier must implement effective access control measures for those accessing </w:t>
            </w:r>
            <w:r w:rsidR="00BC37A8" w:rsidRPr="00BA5253">
              <w:t>Government Data</w:t>
            </w:r>
            <w:r w:rsidRPr="00BA5253">
              <w:t xml:space="preserve"> and for Privileged Users</w:t>
            </w:r>
          </w:p>
          <w:p w14:paraId="0BA21AEB" w14:textId="0F82BD2D"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254860251"/>
            <w14:checkbox>
              <w14:checked w14:val="0"/>
              <w14:checkedState w14:val="2612" w14:font="MS Gothic"/>
              <w14:uncheckedState w14:val="2610" w14:font="MS Gothic"/>
            </w14:checkbox>
          </w:sdtPr>
          <w:sdtEndPr/>
          <w:sdtContent>
            <w:tc>
              <w:tcPr>
                <w:tcW w:w="688" w:type="dxa"/>
                <w:vAlign w:val="center"/>
              </w:tcPr>
              <w:p w14:paraId="64EF6B28" w14:textId="1071B34B" w:rsidR="00E714EC"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6496D5DE" w14:textId="77777777" w:rsidTr="00F73B84">
        <w:tc>
          <w:tcPr>
            <w:tcW w:w="8499" w:type="dxa"/>
            <w:gridSpan w:val="2"/>
          </w:tcPr>
          <w:p w14:paraId="67F2B1AB" w14:textId="7FDEF991" w:rsidR="00963DC7" w:rsidRPr="00BA5253" w:rsidRDefault="00D37DD1" w:rsidP="005C5B5E">
            <w:pPr>
              <w:pStyle w:val="MarginText"/>
              <w:spacing w:before="120" w:after="120"/>
            </w:pPr>
            <w:bookmarkStart w:id="6" w:name="_Hlk162885537"/>
            <w:r w:rsidRPr="00BA5253">
              <w:rPr>
                <w:b/>
                <w:bCs/>
              </w:rPr>
              <w:t>Remote Working</w:t>
            </w:r>
            <w:r w:rsidR="00963DC7" w:rsidRPr="00BA5253">
              <w:t xml:space="preserve"> (see Paragraph </w:t>
            </w:r>
            <w:r w:rsidRPr="00BA5253">
              <w:fldChar w:fldCharType="begin"/>
            </w:r>
            <w:r w:rsidRPr="00BA5253">
              <w:instrText xml:space="preserve"> REF _Ref162885657 \r \h </w:instrText>
            </w:r>
            <w:r w:rsidR="00BA5253" w:rsidRPr="00BA5253">
              <w:instrText xml:space="preserve"> \* MERGEFORMAT </w:instrText>
            </w:r>
            <w:r w:rsidRPr="00BA5253">
              <w:fldChar w:fldCharType="separate"/>
            </w:r>
            <w:r w:rsidR="005C5B5E">
              <w:t>22</w:t>
            </w:r>
            <w:r w:rsidRPr="00BA5253">
              <w:fldChar w:fldCharType="end"/>
            </w:r>
            <w:r w:rsidR="00963DC7" w:rsidRPr="00BA5253">
              <w:t>)</w:t>
            </w:r>
          </w:p>
        </w:tc>
      </w:tr>
      <w:tr w:rsidR="00D37DD1" w:rsidRPr="00BA5253" w14:paraId="12892C7B" w14:textId="77777777" w:rsidTr="00F73B84">
        <w:tc>
          <w:tcPr>
            <w:tcW w:w="7811" w:type="dxa"/>
          </w:tcPr>
          <w:p w14:paraId="13507844" w14:textId="77777777" w:rsidR="00D37DD1" w:rsidRDefault="00D37DD1" w:rsidP="005C5B5E">
            <w:pPr>
              <w:pStyle w:val="MarginText"/>
              <w:spacing w:before="120" w:after="120"/>
            </w:pPr>
            <w:r w:rsidRPr="00BA5253">
              <w:t xml:space="preserve">The Supplier may allow Supplier </w:t>
            </w:r>
            <w:r w:rsidR="00AA36A5" w:rsidRPr="00BA5253">
              <w:t>Staff</w:t>
            </w:r>
            <w:r w:rsidRPr="00BA5253">
              <w:t xml:space="preserve"> to undertake Remote Working once an approved Remote Working P</w:t>
            </w:r>
            <w:r w:rsidR="006B1C83" w:rsidRPr="00BA5253">
              <w:t>olicy</w:t>
            </w:r>
            <w:r w:rsidRPr="00BA5253">
              <w:t xml:space="preserve"> is in place</w:t>
            </w:r>
          </w:p>
          <w:p w14:paraId="4016A23C" w14:textId="026029AD"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563597865"/>
            <w14:checkbox>
              <w14:checked w14:val="0"/>
              <w14:checkedState w14:val="2612" w14:font="MS Gothic"/>
              <w14:uncheckedState w14:val="2610" w14:font="MS Gothic"/>
            </w14:checkbox>
          </w:sdtPr>
          <w:sdtEndPr/>
          <w:sdtContent>
            <w:tc>
              <w:tcPr>
                <w:tcW w:w="688" w:type="dxa"/>
                <w:vAlign w:val="center"/>
              </w:tcPr>
              <w:p w14:paraId="3F5A9EC1" w14:textId="77777777" w:rsidR="00D37DD1" w:rsidRPr="00BA5253" w:rsidRDefault="00D37DD1" w:rsidP="005C5B5E">
                <w:pPr>
                  <w:pStyle w:val="MarginText"/>
                  <w:spacing w:before="120" w:after="120"/>
                  <w:jc w:val="center"/>
                </w:pPr>
                <w:r w:rsidRPr="00BA5253">
                  <w:rPr>
                    <w:rFonts w:ascii="Segoe UI Symbol" w:eastAsia="MS Gothic" w:hAnsi="Segoe UI Symbol" w:cs="Segoe UI Symbol"/>
                  </w:rPr>
                  <w:t>☐</w:t>
                </w:r>
              </w:p>
            </w:tc>
          </w:sdtContent>
        </w:sdt>
      </w:tr>
      <w:tr w:rsidR="000D651B" w:rsidRPr="00BA5253" w14:paraId="70A5804E" w14:textId="77777777" w:rsidTr="00F73B84">
        <w:tc>
          <w:tcPr>
            <w:tcW w:w="8499" w:type="dxa"/>
            <w:gridSpan w:val="2"/>
          </w:tcPr>
          <w:p w14:paraId="72C452B3" w14:textId="695FDBB5" w:rsidR="000D651B" w:rsidRPr="00BA5253" w:rsidRDefault="000D651B" w:rsidP="005C5B5E">
            <w:pPr>
              <w:pStyle w:val="MarginText"/>
              <w:spacing w:before="120" w:after="120"/>
            </w:pPr>
            <w:r w:rsidRPr="00BA5253">
              <w:rPr>
                <w:b/>
                <w:bCs/>
              </w:rPr>
              <w:t>Backup and recovery of Government Data</w:t>
            </w:r>
            <w:r w:rsidRPr="00BA5253">
              <w:t xml:space="preserve"> (see Paragraph </w:t>
            </w:r>
            <w:r w:rsidR="00130219" w:rsidRPr="00BA5253">
              <w:fldChar w:fldCharType="begin"/>
            </w:r>
            <w:r w:rsidR="00130219" w:rsidRPr="00BA5253">
              <w:instrText xml:space="preserve"> REF _Ref164077088 \r \h </w:instrText>
            </w:r>
            <w:r w:rsidR="00BA5253" w:rsidRPr="00BA5253">
              <w:instrText xml:space="preserve"> \* MERGEFORMAT </w:instrText>
            </w:r>
            <w:r w:rsidR="00130219" w:rsidRPr="00BA5253">
              <w:fldChar w:fldCharType="separate"/>
            </w:r>
            <w:r w:rsidR="005C5B5E">
              <w:t>23</w:t>
            </w:r>
            <w:r w:rsidR="00130219" w:rsidRPr="00BA5253">
              <w:fldChar w:fldCharType="end"/>
            </w:r>
            <w:r w:rsidRPr="00BA5253">
              <w:t>)</w:t>
            </w:r>
          </w:p>
        </w:tc>
      </w:tr>
      <w:tr w:rsidR="000D651B" w:rsidRPr="00BA5253" w14:paraId="3D18C13F" w14:textId="77777777" w:rsidTr="00F73B84">
        <w:tc>
          <w:tcPr>
            <w:tcW w:w="7811" w:type="dxa"/>
          </w:tcPr>
          <w:p w14:paraId="6C66F34D" w14:textId="77777777" w:rsidR="000D651B" w:rsidRDefault="000D651B" w:rsidP="005C5B5E">
            <w:pPr>
              <w:pStyle w:val="MarginText"/>
              <w:spacing w:before="120" w:after="120"/>
            </w:pPr>
            <w:r w:rsidRPr="00BA5253">
              <w:lastRenderedPageBreak/>
              <w:t>The Supplier must have in place systems for the backup and recovery of Government Data</w:t>
            </w:r>
          </w:p>
          <w:p w14:paraId="1838241A" w14:textId="5A31FEB8"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852383121"/>
            <w14:checkbox>
              <w14:checked w14:val="0"/>
              <w14:checkedState w14:val="2612" w14:font="MS Gothic"/>
              <w14:uncheckedState w14:val="2610" w14:font="MS Gothic"/>
            </w14:checkbox>
          </w:sdtPr>
          <w:sdtEndPr/>
          <w:sdtContent>
            <w:tc>
              <w:tcPr>
                <w:tcW w:w="688" w:type="dxa"/>
              </w:tcPr>
              <w:p w14:paraId="3CCDC559" w14:textId="77777777" w:rsidR="000D651B" w:rsidRPr="00BA5253" w:rsidRDefault="000D651B" w:rsidP="005C5B5E">
                <w:pPr>
                  <w:pStyle w:val="MarginText"/>
                  <w:spacing w:before="120" w:after="120"/>
                  <w:jc w:val="center"/>
                </w:pPr>
                <w:r w:rsidRPr="00BA5253">
                  <w:rPr>
                    <w:rFonts w:ascii="Segoe UI Symbol" w:eastAsia="MS Gothic" w:hAnsi="Segoe UI Symbol" w:cs="Segoe UI Symbol"/>
                  </w:rPr>
                  <w:t>☐</w:t>
                </w:r>
              </w:p>
            </w:tc>
          </w:sdtContent>
        </w:sdt>
      </w:tr>
      <w:tr w:rsidR="00D37DD1" w:rsidRPr="00BA5253" w14:paraId="018E061A" w14:textId="77777777" w:rsidTr="00F73B84">
        <w:tc>
          <w:tcPr>
            <w:tcW w:w="8499" w:type="dxa"/>
            <w:gridSpan w:val="2"/>
          </w:tcPr>
          <w:p w14:paraId="7CA28324" w14:textId="60CAED1D" w:rsidR="00D37DD1" w:rsidRPr="00BA5253" w:rsidRDefault="00D37DD1" w:rsidP="005C5B5E">
            <w:pPr>
              <w:pStyle w:val="MarginText"/>
              <w:spacing w:before="120" w:after="120"/>
            </w:pPr>
            <w:bookmarkStart w:id="7" w:name="_Hlk164076538"/>
            <w:bookmarkEnd w:id="6"/>
            <w:r w:rsidRPr="00BA5253">
              <w:rPr>
                <w:b/>
                <w:bCs/>
              </w:rPr>
              <w:t>Return and deletion of Government Data</w:t>
            </w:r>
            <w:r w:rsidRPr="00BA5253">
              <w:t xml:space="preserve"> (see Paragraph </w:t>
            </w:r>
            <w:r w:rsidRPr="00BA5253">
              <w:fldChar w:fldCharType="begin"/>
            </w:r>
            <w:r w:rsidRPr="00BA5253">
              <w:instrText xml:space="preserve"> REF _Ref115021517 \r \h </w:instrText>
            </w:r>
            <w:r w:rsidR="00BA5253" w:rsidRPr="00BA5253">
              <w:instrText xml:space="preserve"> \* MERGEFORMAT </w:instrText>
            </w:r>
            <w:r w:rsidRPr="00BA5253">
              <w:fldChar w:fldCharType="separate"/>
            </w:r>
            <w:r w:rsidR="005C5B5E">
              <w:t>24</w:t>
            </w:r>
            <w:r w:rsidRPr="00BA5253">
              <w:fldChar w:fldCharType="end"/>
            </w:r>
            <w:r w:rsidRPr="00BA5253">
              <w:t>)</w:t>
            </w:r>
          </w:p>
        </w:tc>
      </w:tr>
      <w:tr w:rsidR="00D37DD1" w:rsidRPr="00BA5253" w14:paraId="0243CA7F" w14:textId="77777777" w:rsidTr="00F73B84">
        <w:tc>
          <w:tcPr>
            <w:tcW w:w="7811" w:type="dxa"/>
          </w:tcPr>
          <w:p w14:paraId="22643BCF" w14:textId="77777777" w:rsidR="00D37DD1" w:rsidRDefault="00D37DD1" w:rsidP="005C5B5E">
            <w:pPr>
              <w:pStyle w:val="MarginText"/>
              <w:spacing w:before="120" w:after="120"/>
            </w:pPr>
            <w:r w:rsidRPr="00BA5253">
              <w:t>The Supplier must return or delete Government Data when requested by the Buyer</w:t>
            </w:r>
          </w:p>
          <w:p w14:paraId="02A6C822" w14:textId="3A774560"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776946922"/>
            <w14:checkbox>
              <w14:checked w14:val="0"/>
              <w14:checkedState w14:val="2612" w14:font="MS Gothic"/>
              <w14:uncheckedState w14:val="2610" w14:font="MS Gothic"/>
            </w14:checkbox>
          </w:sdtPr>
          <w:sdtEndPr/>
          <w:sdtContent>
            <w:tc>
              <w:tcPr>
                <w:tcW w:w="688" w:type="dxa"/>
                <w:vAlign w:val="center"/>
              </w:tcPr>
              <w:p w14:paraId="53586C69" w14:textId="77777777" w:rsidR="00D37DD1" w:rsidRPr="00BA5253" w:rsidRDefault="00D37DD1" w:rsidP="005C5B5E">
                <w:pPr>
                  <w:pStyle w:val="MarginText"/>
                  <w:spacing w:before="120" w:after="120"/>
                  <w:jc w:val="center"/>
                </w:pPr>
                <w:r w:rsidRPr="00BA5253">
                  <w:rPr>
                    <w:rFonts w:ascii="Segoe UI Symbol" w:eastAsia="MS Gothic" w:hAnsi="Segoe UI Symbol" w:cs="Segoe UI Symbol"/>
                  </w:rPr>
                  <w:t>☐</w:t>
                </w:r>
              </w:p>
            </w:tc>
          </w:sdtContent>
        </w:sdt>
      </w:tr>
      <w:bookmarkEnd w:id="7"/>
      <w:tr w:rsidR="00963DC7" w:rsidRPr="00BA5253" w14:paraId="2FC0D121" w14:textId="77777777" w:rsidTr="00F73B84">
        <w:tc>
          <w:tcPr>
            <w:tcW w:w="8499" w:type="dxa"/>
            <w:gridSpan w:val="2"/>
          </w:tcPr>
          <w:p w14:paraId="7A4121F6" w14:textId="20BA578F" w:rsidR="00963DC7" w:rsidRPr="00BA5253" w:rsidRDefault="00963DC7" w:rsidP="005C5B5E">
            <w:pPr>
              <w:pStyle w:val="MarginText"/>
              <w:spacing w:before="120" w:after="120"/>
            </w:pPr>
            <w:r w:rsidRPr="00BA5253">
              <w:rPr>
                <w:b/>
                <w:bCs/>
              </w:rPr>
              <w:t>Physical security</w:t>
            </w:r>
            <w:r w:rsidRPr="00BA5253">
              <w:t xml:space="preserve"> (see Paragraph </w:t>
            </w:r>
            <w:r w:rsidRPr="00BA5253">
              <w:fldChar w:fldCharType="begin"/>
            </w:r>
            <w:r w:rsidRPr="00BA5253">
              <w:instrText xml:space="preserve"> REF _Ref115023110 \r \h </w:instrText>
            </w:r>
            <w:r w:rsidR="00BA5253" w:rsidRPr="00BA5253">
              <w:instrText xml:space="preserve"> \* MERGEFORMAT </w:instrText>
            </w:r>
            <w:r w:rsidRPr="00BA5253">
              <w:fldChar w:fldCharType="separate"/>
            </w:r>
            <w:r w:rsidR="005C5B5E">
              <w:t>25</w:t>
            </w:r>
            <w:r w:rsidRPr="00BA5253">
              <w:fldChar w:fldCharType="end"/>
            </w:r>
            <w:r w:rsidRPr="00BA5253">
              <w:t>)</w:t>
            </w:r>
          </w:p>
        </w:tc>
      </w:tr>
      <w:tr w:rsidR="00963DC7" w:rsidRPr="00BA5253" w14:paraId="3CC080CB" w14:textId="77777777" w:rsidTr="00F73B84">
        <w:tc>
          <w:tcPr>
            <w:tcW w:w="7811" w:type="dxa"/>
          </w:tcPr>
          <w:p w14:paraId="1307FCC8" w14:textId="77777777" w:rsidR="00963DC7" w:rsidRDefault="00963DC7" w:rsidP="005C5B5E">
            <w:pPr>
              <w:pStyle w:val="MarginText"/>
              <w:spacing w:before="120" w:after="120"/>
            </w:pPr>
            <w:r w:rsidRPr="00BA5253">
              <w:t xml:space="preserve">The Supplier must store </w:t>
            </w:r>
            <w:r w:rsidR="00BC37A8" w:rsidRPr="00BA5253">
              <w:t>Government Data</w:t>
            </w:r>
            <w:r w:rsidRPr="00BA5253">
              <w:t xml:space="preserve"> in physically secure locations</w:t>
            </w:r>
          </w:p>
          <w:p w14:paraId="1323B515" w14:textId="568DFE87"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015529220"/>
            <w14:checkbox>
              <w14:checked w14:val="0"/>
              <w14:checkedState w14:val="2612" w14:font="MS Gothic"/>
              <w14:uncheckedState w14:val="2610" w14:font="MS Gothic"/>
            </w14:checkbox>
          </w:sdtPr>
          <w:sdtEndPr/>
          <w:sdtContent>
            <w:tc>
              <w:tcPr>
                <w:tcW w:w="688" w:type="dxa"/>
                <w:vAlign w:val="center"/>
              </w:tcPr>
              <w:p w14:paraId="5BE6B527" w14:textId="272AD9F0"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38F16F54" w14:textId="77777777" w:rsidTr="00F73B84">
        <w:tc>
          <w:tcPr>
            <w:tcW w:w="8499" w:type="dxa"/>
            <w:gridSpan w:val="2"/>
          </w:tcPr>
          <w:p w14:paraId="4019CD9A" w14:textId="36C6FE31" w:rsidR="00963DC7" w:rsidRPr="00BA5253" w:rsidRDefault="00963DC7" w:rsidP="005C5B5E">
            <w:pPr>
              <w:pStyle w:val="MarginText"/>
              <w:spacing w:before="120" w:after="120"/>
            </w:pPr>
            <w:r w:rsidRPr="00BA5253">
              <w:rPr>
                <w:b/>
                <w:bCs/>
              </w:rPr>
              <w:t>Security breaches</w:t>
            </w:r>
            <w:r w:rsidRPr="00BA5253">
              <w:t xml:space="preserve"> (see Paragraph </w:t>
            </w:r>
            <w:r w:rsidR="00AB1401" w:rsidRPr="00BA5253">
              <w:fldChar w:fldCharType="begin"/>
            </w:r>
            <w:r w:rsidR="00AB1401" w:rsidRPr="00BA5253">
              <w:instrText xml:space="preserve"> REF _Ref167089686 \r \h </w:instrText>
            </w:r>
            <w:r w:rsidR="00BA5253" w:rsidRPr="00BA5253">
              <w:instrText xml:space="preserve"> \* MERGEFORMAT </w:instrText>
            </w:r>
            <w:r w:rsidR="00AB1401" w:rsidRPr="00BA5253">
              <w:fldChar w:fldCharType="separate"/>
            </w:r>
            <w:r w:rsidR="005C5B5E">
              <w:t>26</w:t>
            </w:r>
            <w:r w:rsidR="00AB1401" w:rsidRPr="00BA5253">
              <w:fldChar w:fldCharType="end"/>
            </w:r>
            <w:r w:rsidRPr="00BA5253">
              <w:t>)</w:t>
            </w:r>
          </w:p>
        </w:tc>
      </w:tr>
      <w:tr w:rsidR="00963DC7" w:rsidRPr="00BA5253" w14:paraId="26D7FCA5" w14:textId="77777777" w:rsidTr="00F73B84">
        <w:tc>
          <w:tcPr>
            <w:tcW w:w="7811" w:type="dxa"/>
          </w:tcPr>
          <w:p w14:paraId="2F7491B6" w14:textId="77777777" w:rsidR="00963DC7" w:rsidRDefault="00963DC7" w:rsidP="005C5B5E">
            <w:pPr>
              <w:pStyle w:val="MarginText"/>
              <w:spacing w:before="120" w:after="120"/>
            </w:pPr>
            <w:r w:rsidRPr="00BA5253">
              <w:t xml:space="preserve">The Supplier must report any Breach of Security to the </w:t>
            </w:r>
            <w:r w:rsidR="00A52257" w:rsidRPr="00BA5253">
              <w:t>Buyer</w:t>
            </w:r>
            <w:r w:rsidRPr="00BA5253">
              <w:t xml:space="preserve"> promptly</w:t>
            </w:r>
          </w:p>
          <w:p w14:paraId="2148AFF3" w14:textId="3375B906"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41103822"/>
            <w14:checkbox>
              <w14:checked w14:val="0"/>
              <w14:checkedState w14:val="2612" w14:font="MS Gothic"/>
              <w14:uncheckedState w14:val="2610" w14:font="MS Gothic"/>
            </w14:checkbox>
          </w:sdtPr>
          <w:sdtEndPr/>
          <w:sdtContent>
            <w:tc>
              <w:tcPr>
                <w:tcW w:w="688" w:type="dxa"/>
                <w:vAlign w:val="center"/>
              </w:tcPr>
              <w:p w14:paraId="7C92CD39" w14:textId="044613B2"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bl>
    <w:p w14:paraId="04620B79" w14:textId="3D16D5D3" w:rsidR="00586A00" w:rsidRDefault="00AE5FDD" w:rsidP="005C5B5E">
      <w:pPr>
        <w:pStyle w:val="Heading1"/>
        <w:spacing w:before="120" w:after="120"/>
      </w:pPr>
      <w:r w:rsidRPr="00BA5253">
        <w:t>Definition</w:t>
      </w:r>
      <w:r w:rsidR="00586A00">
        <w:t>s</w:t>
      </w:r>
    </w:p>
    <w:p w14:paraId="1EB0F261" w14:textId="0612A162" w:rsidR="00AE5FDD" w:rsidRPr="00BA5253" w:rsidRDefault="00586A00" w:rsidP="005C5B5E">
      <w:pPr>
        <w:pStyle w:val="Heading2"/>
        <w:spacing w:before="120" w:after="120"/>
      </w:pPr>
      <w:r w:rsidRPr="003473F6">
        <w:t xml:space="preserve">In </w:t>
      </w:r>
      <w:r w:rsidRPr="003473F6">
        <w:rPr>
          <w:rFonts w:eastAsia="Arial"/>
          <w:color w:val="000000"/>
        </w:rPr>
        <w:t>this Schedule, the following words shall have the following meanings and they shall supplement</w:t>
      </w:r>
      <w:r>
        <w:rPr>
          <w:rFonts w:eastAsia="Arial"/>
          <w:color w:val="000000"/>
        </w:rPr>
        <w:t xml:space="preserve"> Joint Schedule 1 (Definitions):</w:t>
      </w:r>
    </w:p>
    <w:p w14:paraId="58336091" w14:textId="10E2E2EE" w:rsidR="7857C4F4" w:rsidRPr="00586A00" w:rsidRDefault="7857C4F4" w:rsidP="005C5B5E">
      <w:pPr>
        <w:pStyle w:val="Heading2"/>
        <w:numPr>
          <w:ilvl w:val="0"/>
          <w:numId w:val="0"/>
        </w:numPr>
        <w:spacing w:before="120" w:after="120"/>
        <w:rPr>
          <w:color w:val="000000" w:themeColor="text1"/>
        </w:rPr>
      </w:pPr>
    </w:p>
    <w:tbl>
      <w:tblPr>
        <w:tblStyle w:val="TableGrid"/>
        <w:tblW w:w="891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404"/>
      </w:tblGrid>
      <w:tr w:rsidR="000B7EF9" w:rsidRPr="00BA5253" w14:paraId="6383B653" w14:textId="77777777" w:rsidTr="00F515B7">
        <w:tc>
          <w:tcPr>
            <w:tcW w:w="2510" w:type="dxa"/>
          </w:tcPr>
          <w:p w14:paraId="48A57F75" w14:textId="77777777" w:rsidR="000B7EF9" w:rsidRPr="00BA5253" w:rsidRDefault="000B7EF9" w:rsidP="005C5B5E">
            <w:pPr>
              <w:pStyle w:val="MarginText"/>
              <w:spacing w:before="120" w:after="120"/>
              <w:rPr>
                <w:b/>
                <w:bCs/>
              </w:rPr>
            </w:pPr>
            <w:r w:rsidRPr="00BA5253">
              <w:rPr>
                <w:b/>
                <w:bCs/>
              </w:rPr>
              <w:t>“Anti-virus Software”</w:t>
            </w:r>
          </w:p>
        </w:tc>
        <w:tc>
          <w:tcPr>
            <w:tcW w:w="6404" w:type="dxa"/>
          </w:tcPr>
          <w:p w14:paraId="10177CCE" w14:textId="6B288D10" w:rsidR="000B7EF9" w:rsidRPr="00BA5253" w:rsidRDefault="000B7EF9" w:rsidP="005C5B5E">
            <w:pPr>
              <w:pStyle w:val="MarginText"/>
              <w:spacing w:before="120" w:after="120"/>
            </w:pPr>
            <w:r w:rsidRPr="00BA5253">
              <w:t>software that:</w:t>
            </w:r>
          </w:p>
          <w:p w14:paraId="701BA162" w14:textId="4B50151A" w:rsidR="000B7EF9" w:rsidRPr="00BA5253" w:rsidRDefault="000B7EF9" w:rsidP="005C5B5E">
            <w:pPr>
              <w:pStyle w:val="DefinitionNumbering1"/>
              <w:numPr>
                <w:ilvl w:val="2"/>
                <w:numId w:val="28"/>
              </w:numPr>
              <w:spacing w:before="120" w:after="120"/>
            </w:pPr>
            <w:r w:rsidRPr="00BA5253">
              <w:t>protects the Supplier System from the possible introduction of Malicious Software;</w:t>
            </w:r>
          </w:p>
          <w:p w14:paraId="6F0B0F6E" w14:textId="5A466ED2" w:rsidR="000B7EF9" w:rsidRPr="00BA5253" w:rsidRDefault="000B7EF9" w:rsidP="005C5B5E">
            <w:pPr>
              <w:pStyle w:val="DefinitionNumbering1"/>
              <w:numPr>
                <w:ilvl w:val="2"/>
                <w:numId w:val="28"/>
              </w:numPr>
              <w:spacing w:before="120" w:after="120"/>
            </w:pPr>
            <w:r w:rsidRPr="00BA5253">
              <w:t>scans for and identifies possible Malicious Software in the Supplier System;</w:t>
            </w:r>
          </w:p>
          <w:p w14:paraId="165BDF48" w14:textId="5B16491A" w:rsidR="000B7EF9" w:rsidRPr="00BA5253" w:rsidRDefault="000B7EF9" w:rsidP="005C5B5E">
            <w:pPr>
              <w:pStyle w:val="DefinitionNumbering1"/>
              <w:numPr>
                <w:ilvl w:val="2"/>
                <w:numId w:val="28"/>
              </w:numPr>
              <w:spacing w:before="120" w:after="120"/>
            </w:pPr>
            <w:r w:rsidRPr="00BA5253">
              <w:t>if Malicious Software is detected in the Supplier System, so far as possible:</w:t>
            </w:r>
          </w:p>
          <w:p w14:paraId="5D918B6C" w14:textId="77777777" w:rsidR="000B7EF9" w:rsidRPr="00BA5253" w:rsidRDefault="000B7EF9" w:rsidP="005C5B5E">
            <w:pPr>
              <w:pStyle w:val="DefinitionNumbering2"/>
              <w:numPr>
                <w:ilvl w:val="3"/>
                <w:numId w:val="28"/>
              </w:numPr>
              <w:spacing w:before="120" w:after="120"/>
            </w:pPr>
            <w:r w:rsidRPr="00BA5253">
              <w:t>prevents the harmful effects of the Malicious Software; and</w:t>
            </w:r>
          </w:p>
          <w:p w14:paraId="339E85E7" w14:textId="00FF49FC" w:rsidR="000B7EF9" w:rsidRPr="00BA5253" w:rsidRDefault="000B7EF9" w:rsidP="005C5B5E">
            <w:pPr>
              <w:pStyle w:val="DefinitionNumbering2"/>
              <w:numPr>
                <w:ilvl w:val="3"/>
                <w:numId w:val="28"/>
              </w:numPr>
              <w:spacing w:before="120" w:after="120"/>
            </w:pPr>
            <w:r w:rsidRPr="00BA5253">
              <w:t>removes the Malicious Software from the Supplier System;</w:t>
            </w:r>
          </w:p>
        </w:tc>
      </w:tr>
      <w:tr w:rsidR="0091773E" w:rsidRPr="00BA5253" w14:paraId="6AF7E5E4" w14:textId="77777777" w:rsidTr="00F515B7">
        <w:tc>
          <w:tcPr>
            <w:tcW w:w="2510" w:type="dxa"/>
          </w:tcPr>
          <w:p w14:paraId="0CE458A6" w14:textId="2BB1CDFD" w:rsidR="0091773E" w:rsidRPr="00BA5253" w:rsidRDefault="0091773E" w:rsidP="005C5B5E">
            <w:pPr>
              <w:pStyle w:val="MarginText"/>
              <w:spacing w:before="120" w:after="120"/>
              <w:rPr>
                <w:b/>
                <w:bCs/>
              </w:rPr>
            </w:pPr>
            <w:r w:rsidRPr="00BA5253">
              <w:rPr>
                <w:b/>
                <w:bCs/>
              </w:rPr>
              <w:lastRenderedPageBreak/>
              <w:t>“BPSS”</w:t>
            </w:r>
          </w:p>
        </w:tc>
        <w:tc>
          <w:tcPr>
            <w:tcW w:w="6404" w:type="dxa"/>
          </w:tcPr>
          <w:p w14:paraId="2F29A050" w14:textId="0B1263A3" w:rsidR="0091773E" w:rsidRPr="00BA5253" w:rsidRDefault="005575A4" w:rsidP="005C5B5E">
            <w:pPr>
              <w:pStyle w:val="MarginText"/>
              <w:spacing w:before="120" w:after="120"/>
            </w:pPr>
            <w:r w:rsidRPr="00BA5253">
              <w:t xml:space="preserve">the employment controls applied to any individual member of the Supplier </w:t>
            </w:r>
            <w:r w:rsidR="00EB0458" w:rsidRPr="00BA5253">
              <w:t xml:space="preserve">Staff </w:t>
            </w:r>
            <w:r w:rsidRPr="00BA5253">
              <w:t>that performs any activity relating to the provision or management of the Services, as set out in “HMG Baseline Personnel Standard”, Version 7.0, June 2024  (</w:t>
            </w:r>
            <w:hyperlink r:id="rId12" w:history="1">
              <w:r w:rsidRPr="00BA5253">
                <w:rPr>
                  <w:rStyle w:val="Hyperlink"/>
                </w:rPr>
                <w:t>https://www.gov.uk/government/publications/government-baseline-personnel-security-standard</w:t>
              </w:r>
            </w:hyperlink>
            <w:r w:rsidRPr="00BA5253">
              <w:t>), as that document is updated from time to time;</w:t>
            </w:r>
          </w:p>
        </w:tc>
      </w:tr>
      <w:tr w:rsidR="006B1C83" w:rsidRPr="00BA5253" w14:paraId="1C0DCD5D" w14:textId="77777777" w:rsidTr="00F515B7">
        <w:tc>
          <w:tcPr>
            <w:tcW w:w="2510" w:type="dxa"/>
          </w:tcPr>
          <w:p w14:paraId="6E21C7D3" w14:textId="77777777" w:rsidR="006B1C83" w:rsidRPr="00BA5253" w:rsidRDefault="006B1C83" w:rsidP="005C5B5E">
            <w:pPr>
              <w:pStyle w:val="MarginText"/>
              <w:spacing w:before="120" w:after="120"/>
              <w:rPr>
                <w:b/>
                <w:bCs/>
              </w:rPr>
            </w:pPr>
            <w:r w:rsidRPr="00BA5253">
              <w:rPr>
                <w:b/>
                <w:bCs/>
              </w:rPr>
              <w:t>“Breach of Security”</w:t>
            </w:r>
          </w:p>
        </w:tc>
        <w:tc>
          <w:tcPr>
            <w:tcW w:w="6404" w:type="dxa"/>
          </w:tcPr>
          <w:p w14:paraId="20FBDE78" w14:textId="7EC78D7A" w:rsidR="006B1C83" w:rsidRPr="00BA5253" w:rsidRDefault="006B1C83" w:rsidP="005C5B5E">
            <w:pPr>
              <w:pStyle w:val="MarginText"/>
              <w:spacing w:before="120" w:after="120"/>
            </w:pPr>
            <w:r w:rsidRPr="00BA5253">
              <w:t>the occurrence of:</w:t>
            </w:r>
          </w:p>
          <w:p w14:paraId="79925BF6" w14:textId="77777777" w:rsidR="006B1C83" w:rsidRPr="00BA5253" w:rsidRDefault="006B1C83" w:rsidP="005C5B5E">
            <w:pPr>
              <w:pStyle w:val="DefinitionNumbering1"/>
              <w:numPr>
                <w:ilvl w:val="2"/>
                <w:numId w:val="27"/>
              </w:numPr>
              <w:spacing w:before="120" w:after="120"/>
            </w:pPr>
            <w:bookmarkStart w:id="8" w:name="_Ref115267638"/>
            <w:r w:rsidRPr="00BA5253">
              <w:t>any unauthorised access to or use of the Services, the Sites, the Supplier System and/or the Government Data;</w:t>
            </w:r>
            <w:bookmarkEnd w:id="8"/>
            <w:r w:rsidRPr="00BA5253">
              <w:t xml:space="preserve"> </w:t>
            </w:r>
          </w:p>
          <w:p w14:paraId="7EDED94F" w14:textId="77777777" w:rsidR="006B1C83" w:rsidRPr="00BA5253" w:rsidRDefault="006B1C83" w:rsidP="005C5B5E">
            <w:pPr>
              <w:pStyle w:val="DefinitionNumbering1"/>
              <w:numPr>
                <w:ilvl w:val="2"/>
                <w:numId w:val="29"/>
              </w:numPr>
              <w:spacing w:before="120" w:after="120"/>
            </w:pPr>
            <w:r w:rsidRPr="00BA5253">
              <w:t>the loss (physical or otherwise), corruption and/or unauthorised disclosure of any Government Data, including copies of such Government Data; and/or</w:t>
            </w:r>
          </w:p>
          <w:p w14:paraId="4643B019" w14:textId="77777777" w:rsidR="006B1C83" w:rsidRPr="00BA5253" w:rsidRDefault="006B1C83" w:rsidP="005C5B5E">
            <w:pPr>
              <w:pStyle w:val="DefinitionNumbering1"/>
              <w:numPr>
                <w:ilvl w:val="2"/>
                <w:numId w:val="29"/>
              </w:numPr>
              <w:spacing w:before="120" w:after="120"/>
            </w:pPr>
            <w:r w:rsidRPr="00BA5253">
              <w:t>any part of the Supplier System ceasing to be compliant with the required Certifications;</w:t>
            </w:r>
          </w:p>
          <w:p w14:paraId="2DC7876D" w14:textId="77777777" w:rsidR="006B1C83" w:rsidRPr="00BA5253" w:rsidRDefault="006B1C83" w:rsidP="005C5B5E">
            <w:pPr>
              <w:pStyle w:val="DefinitionNumbering1"/>
              <w:numPr>
                <w:ilvl w:val="2"/>
                <w:numId w:val="29"/>
              </w:numPr>
              <w:spacing w:before="120" w:after="120"/>
            </w:pPr>
            <w:r w:rsidRPr="00BA5253">
              <w:t>the installation of Malicious Software in the Supplier System:</w:t>
            </w:r>
          </w:p>
          <w:p w14:paraId="5AA319FE" w14:textId="77777777" w:rsidR="006B1C83" w:rsidRPr="00BA5253" w:rsidRDefault="006B1C83" w:rsidP="005C5B5E">
            <w:pPr>
              <w:pStyle w:val="DefinitionNumbering1"/>
              <w:numPr>
                <w:ilvl w:val="2"/>
                <w:numId w:val="29"/>
              </w:numPr>
              <w:spacing w:before="120" w:after="120"/>
            </w:pPr>
            <w:r w:rsidRPr="00BA5253">
              <w:t>any loss of operational efficiency or failure to operate to specification as the result of the installation or operation of Malicious Software in the Supplier System; and</w:t>
            </w:r>
          </w:p>
          <w:p w14:paraId="3E29045C" w14:textId="1D941FD6" w:rsidR="006B1C83" w:rsidRPr="00BA5253" w:rsidRDefault="006B1C83" w:rsidP="005C5B5E">
            <w:pPr>
              <w:pStyle w:val="DefinitionNumbering1"/>
              <w:numPr>
                <w:ilvl w:val="2"/>
                <w:numId w:val="29"/>
              </w:numPr>
              <w:spacing w:before="120" w:after="120"/>
            </w:pPr>
            <w:r w:rsidRPr="00BA5253">
              <w:t>includes any attempt to undertake the activities listed in sub-</w:t>
            </w:r>
            <w:r w:rsidR="00895B30" w:rsidRPr="00BA5253">
              <w:t>Paragraph</w:t>
            </w:r>
            <w:r w:rsidRPr="00BA5253">
              <w:t> </w:t>
            </w:r>
            <w:r w:rsidRPr="00BA5253">
              <w:fldChar w:fldCharType="begin"/>
            </w:r>
            <w:r w:rsidRPr="00BA5253">
              <w:instrText xml:space="preserve"> REF _Ref115267638 \r \h </w:instrText>
            </w:r>
            <w:r w:rsidR="00BA5253" w:rsidRPr="00BA5253">
              <w:instrText xml:space="preserve"> \* MERGEFORMAT </w:instrText>
            </w:r>
            <w:r w:rsidRPr="00BA5253">
              <w:fldChar w:fldCharType="separate"/>
            </w:r>
            <w:r w:rsidR="005C5B5E">
              <w:t>(a)</w:t>
            </w:r>
            <w:r w:rsidRPr="00BA5253">
              <w:fldChar w:fldCharType="end"/>
            </w:r>
            <w:r w:rsidRPr="00BA5253">
              <w:t xml:space="preserve"> where the Supplier has reasonable grounds to suspect that attempt:</w:t>
            </w:r>
          </w:p>
          <w:p w14:paraId="46990427" w14:textId="77777777" w:rsidR="006B1C83" w:rsidRPr="00BA5253" w:rsidRDefault="006B1C83" w:rsidP="005C5B5E">
            <w:pPr>
              <w:pStyle w:val="DefinitionNumbering2"/>
              <w:numPr>
                <w:ilvl w:val="3"/>
                <w:numId w:val="29"/>
              </w:numPr>
              <w:spacing w:before="120" w:after="120"/>
            </w:pPr>
            <w:r w:rsidRPr="00BA5253">
              <w:t>was part of a wider effort to access information and communications technology operated by or on behalf of Central Government Bodies; or</w:t>
            </w:r>
          </w:p>
          <w:p w14:paraId="774137FD" w14:textId="77777777" w:rsidR="006B1C83" w:rsidRPr="00BA5253" w:rsidRDefault="006B1C83" w:rsidP="005C5B5E">
            <w:pPr>
              <w:pStyle w:val="DefinitionNumbering2"/>
              <w:numPr>
                <w:ilvl w:val="3"/>
                <w:numId w:val="29"/>
              </w:numPr>
              <w:spacing w:before="120" w:after="120"/>
            </w:pPr>
            <w:r w:rsidRPr="00BA5253">
              <w:t>was undertaken, or directed by, a state other than the United Kingdom;</w:t>
            </w:r>
          </w:p>
        </w:tc>
      </w:tr>
      <w:tr w:rsidR="006B1C83" w:rsidRPr="00BA5253" w14:paraId="135A05F4" w14:textId="77777777" w:rsidTr="00F515B7">
        <w:tc>
          <w:tcPr>
            <w:tcW w:w="2510" w:type="dxa"/>
          </w:tcPr>
          <w:p w14:paraId="015A135A" w14:textId="77777777" w:rsidR="006B1C83" w:rsidRPr="00BA5253" w:rsidRDefault="006B1C83" w:rsidP="005C5B5E">
            <w:pPr>
              <w:pStyle w:val="MarginText"/>
              <w:spacing w:before="120" w:after="120"/>
              <w:rPr>
                <w:b/>
                <w:bCs/>
              </w:rPr>
            </w:pPr>
            <w:r w:rsidRPr="00BA5253">
              <w:rPr>
                <w:b/>
                <w:bCs/>
              </w:rPr>
              <w:t>“Buyer Security Policies”</w:t>
            </w:r>
          </w:p>
        </w:tc>
        <w:tc>
          <w:tcPr>
            <w:tcW w:w="6404" w:type="dxa"/>
          </w:tcPr>
          <w:p w14:paraId="77A5166B" w14:textId="554A5811" w:rsidR="006B1C83" w:rsidRPr="00BA5253" w:rsidRDefault="006B1C83" w:rsidP="005C5B5E">
            <w:pPr>
              <w:pStyle w:val="DefinitionNumbering1"/>
              <w:numPr>
                <w:ilvl w:val="0"/>
                <w:numId w:val="0"/>
              </w:numPr>
              <w:spacing w:before="120" w:after="120"/>
            </w:pPr>
            <w:r w:rsidRPr="00BA5253">
              <w:t xml:space="preserve">those </w:t>
            </w:r>
            <w:r w:rsidR="00857DBE">
              <w:t>security policies</w:t>
            </w:r>
            <w:r w:rsidR="00857DBE" w:rsidRPr="00BA5253">
              <w:t xml:space="preserve"> </w:t>
            </w:r>
            <w:r w:rsidRPr="00BA5253">
              <w:t xml:space="preserve">specified by the Buyer in </w:t>
            </w:r>
            <w:r w:rsidR="00895B30" w:rsidRPr="00BA5253">
              <w:t>Paragraph</w:t>
            </w:r>
            <w:r w:rsidRPr="00BA5253">
              <w:t> </w:t>
            </w:r>
            <w:r w:rsidRPr="00BA5253">
              <w:fldChar w:fldCharType="begin"/>
            </w:r>
            <w:r w:rsidRPr="00BA5253">
              <w:instrText xml:space="preserve"> REF _Ref164068001 \r \h </w:instrText>
            </w:r>
            <w:r w:rsidR="00BA5253" w:rsidRPr="00BA5253">
              <w:instrText xml:space="preserve"> \* MERGEFORMAT </w:instrText>
            </w:r>
            <w:r w:rsidRPr="00BA5253">
              <w:fldChar w:fldCharType="separate"/>
            </w:r>
            <w:r w:rsidR="005C5B5E">
              <w:t>1.3</w:t>
            </w:r>
            <w:r w:rsidRPr="00BA5253">
              <w:fldChar w:fldCharType="end"/>
            </w:r>
            <w:r w:rsidR="00B34EB1" w:rsidRPr="00BA5253">
              <w:t>;</w:t>
            </w:r>
          </w:p>
        </w:tc>
      </w:tr>
      <w:tr w:rsidR="006B1C83" w:rsidRPr="00BA5253" w14:paraId="002EC8D3" w14:textId="77777777" w:rsidTr="00F515B7">
        <w:tc>
          <w:tcPr>
            <w:tcW w:w="2510" w:type="dxa"/>
          </w:tcPr>
          <w:p w14:paraId="0D689C17" w14:textId="77777777" w:rsidR="006B1C83" w:rsidRPr="00BA5253" w:rsidRDefault="006B1C83" w:rsidP="005C5B5E">
            <w:pPr>
              <w:pStyle w:val="MarginText"/>
              <w:spacing w:before="120" w:after="120"/>
              <w:rPr>
                <w:b/>
                <w:bCs/>
              </w:rPr>
            </w:pPr>
            <w:r w:rsidRPr="00BA5253">
              <w:rPr>
                <w:b/>
                <w:bCs/>
              </w:rPr>
              <w:lastRenderedPageBreak/>
              <w:t>“Certifications”</w:t>
            </w:r>
          </w:p>
        </w:tc>
        <w:tc>
          <w:tcPr>
            <w:tcW w:w="6404" w:type="dxa"/>
          </w:tcPr>
          <w:p w14:paraId="0138E458" w14:textId="7FB2B18C" w:rsidR="006B1C83" w:rsidRPr="00BA5253" w:rsidRDefault="006B1C83" w:rsidP="005C5B5E">
            <w:pPr>
              <w:pStyle w:val="MarginText"/>
              <w:spacing w:before="120" w:after="120"/>
            </w:pPr>
            <w:r w:rsidRPr="00BA5253">
              <w:t>one or more of the following certifications</w:t>
            </w:r>
            <w:r w:rsidR="00895B30" w:rsidRPr="00BA5253">
              <w:t xml:space="preserve"> </w:t>
            </w:r>
            <w:r w:rsidR="00895B30" w:rsidRPr="00BA5253">
              <w:rPr>
                <w:color w:val="000000"/>
              </w:rPr>
              <w:t>(or equivalent)</w:t>
            </w:r>
            <w:r w:rsidRPr="00BA5253">
              <w:t>:</w:t>
            </w:r>
          </w:p>
          <w:p w14:paraId="7E9CAA1B" w14:textId="2F180206" w:rsidR="006B1C83" w:rsidRPr="00BA5253" w:rsidRDefault="006B1C83" w:rsidP="005C5B5E">
            <w:pPr>
              <w:pStyle w:val="DefinitionNumbering1"/>
              <w:numPr>
                <w:ilvl w:val="2"/>
                <w:numId w:val="37"/>
              </w:numPr>
              <w:spacing w:before="120" w:after="120"/>
            </w:pPr>
            <w:r w:rsidRPr="00BA5253">
              <w:t>ISO/IEC 27001:2022 by a UKAS-</w:t>
            </w:r>
            <w:r w:rsidR="005969AD" w:rsidRPr="00BA5253">
              <w:t>recognised C</w:t>
            </w:r>
            <w:r w:rsidRPr="00BA5253">
              <w:t xml:space="preserve">ertification </w:t>
            </w:r>
            <w:r w:rsidR="005969AD" w:rsidRPr="00BA5253">
              <w:t>B</w:t>
            </w:r>
            <w:r w:rsidRPr="00BA5253">
              <w:t>ody in respect of the Supplier System, or in respect of a wider system of which the Supplier System forms part; and</w:t>
            </w:r>
          </w:p>
          <w:p w14:paraId="5B36B91B" w14:textId="77777777" w:rsidR="006B1C83" w:rsidRPr="00BA5253" w:rsidRDefault="006B1C83" w:rsidP="005C5B5E">
            <w:pPr>
              <w:pStyle w:val="DefinitionNumbering2"/>
              <w:numPr>
                <w:ilvl w:val="2"/>
                <w:numId w:val="37"/>
              </w:numPr>
              <w:spacing w:before="120" w:after="120"/>
            </w:pPr>
            <w:r w:rsidRPr="00BA5253">
              <w:t>Cyber Essentials Plus; and/or</w:t>
            </w:r>
          </w:p>
          <w:p w14:paraId="5D682A62" w14:textId="77777777" w:rsidR="006B1C83" w:rsidRPr="00BA5253" w:rsidRDefault="006B1C83" w:rsidP="005C5B5E">
            <w:pPr>
              <w:pStyle w:val="DefinitionNumbering1"/>
              <w:numPr>
                <w:ilvl w:val="2"/>
                <w:numId w:val="37"/>
              </w:numPr>
              <w:overflowPunct/>
              <w:autoSpaceDE/>
              <w:autoSpaceDN/>
              <w:spacing w:before="120" w:after="120"/>
              <w:textAlignment w:val="auto"/>
            </w:pPr>
            <w:r w:rsidRPr="00BA5253">
              <w:t>Cyber Essentials;</w:t>
            </w:r>
          </w:p>
        </w:tc>
      </w:tr>
      <w:tr w:rsidR="006B1C83" w:rsidRPr="00BA5253" w14:paraId="08C56FA1" w14:textId="77777777" w:rsidTr="00F515B7">
        <w:tc>
          <w:tcPr>
            <w:tcW w:w="2510" w:type="dxa"/>
          </w:tcPr>
          <w:p w14:paraId="67005ADA" w14:textId="77777777" w:rsidR="006B1C83" w:rsidRPr="00BA5253" w:rsidRDefault="006B1C83" w:rsidP="005C5B5E">
            <w:pPr>
              <w:pStyle w:val="MarginText"/>
              <w:spacing w:before="120" w:after="120"/>
              <w:rPr>
                <w:b/>
                <w:bCs/>
              </w:rPr>
            </w:pPr>
            <w:r w:rsidRPr="00BA5253">
              <w:rPr>
                <w:b/>
                <w:bCs/>
              </w:rPr>
              <w:t>“CHECK Scheme”</w:t>
            </w:r>
          </w:p>
        </w:tc>
        <w:tc>
          <w:tcPr>
            <w:tcW w:w="6404" w:type="dxa"/>
          </w:tcPr>
          <w:p w14:paraId="13AA5682" w14:textId="05523E06" w:rsidR="006B1C83" w:rsidRPr="00BA5253" w:rsidRDefault="006B1C83" w:rsidP="005C5B5E">
            <w:pPr>
              <w:pStyle w:val="MarginText"/>
              <w:spacing w:before="120" w:after="120"/>
              <w:rPr>
                <w:b/>
              </w:rPr>
            </w:pPr>
            <w:r w:rsidRPr="00BA5253">
              <w:t>the NCSC’s scheme under which approved companies can conduct authorised penetration tests of public sector and critical national infrastructure systems and networks;</w:t>
            </w:r>
          </w:p>
        </w:tc>
      </w:tr>
      <w:tr w:rsidR="006B1C83" w:rsidRPr="00BA5253" w14:paraId="191A2BDA" w14:textId="77777777" w:rsidTr="00F515B7">
        <w:tc>
          <w:tcPr>
            <w:tcW w:w="2510" w:type="dxa"/>
          </w:tcPr>
          <w:p w14:paraId="19582205" w14:textId="77777777" w:rsidR="006B1C83" w:rsidRPr="00BA5253" w:rsidRDefault="006B1C83" w:rsidP="005C5B5E">
            <w:pPr>
              <w:pStyle w:val="MarginText"/>
              <w:spacing w:before="120" w:after="120"/>
              <w:rPr>
                <w:b/>
                <w:bCs/>
              </w:rPr>
            </w:pPr>
            <w:r w:rsidRPr="00BA5253">
              <w:rPr>
                <w:b/>
                <w:bCs/>
              </w:rPr>
              <w:t>“CHECK Service Provider”</w:t>
            </w:r>
          </w:p>
        </w:tc>
        <w:tc>
          <w:tcPr>
            <w:tcW w:w="6404" w:type="dxa"/>
          </w:tcPr>
          <w:p w14:paraId="651DEBF0" w14:textId="3F2230E4" w:rsidR="006B1C83" w:rsidRPr="00BA5253" w:rsidRDefault="006B1C83" w:rsidP="005C5B5E">
            <w:pPr>
              <w:pStyle w:val="MarginText"/>
              <w:spacing w:before="120" w:after="120"/>
            </w:pPr>
            <w:r w:rsidRPr="00BA5253">
              <w:t>a company which, under the CHECK Scheme:</w:t>
            </w:r>
          </w:p>
          <w:p w14:paraId="47F13306" w14:textId="77777777" w:rsidR="006B1C83" w:rsidRPr="00BA5253" w:rsidRDefault="006B1C83" w:rsidP="005C5B5E">
            <w:pPr>
              <w:pStyle w:val="DefinitionNumbering1"/>
              <w:numPr>
                <w:ilvl w:val="2"/>
                <w:numId w:val="25"/>
              </w:numPr>
              <w:spacing w:before="120" w:after="120"/>
            </w:pPr>
            <w:r w:rsidRPr="00BA5253">
              <w:t>has been certified by the NCSC;</w:t>
            </w:r>
          </w:p>
          <w:p w14:paraId="0B3F490C" w14:textId="77777777" w:rsidR="006B1C83" w:rsidRPr="00BA5253" w:rsidRDefault="006B1C83" w:rsidP="005C5B5E">
            <w:pPr>
              <w:pStyle w:val="DefinitionNumbering1"/>
              <w:numPr>
                <w:ilvl w:val="2"/>
                <w:numId w:val="25"/>
              </w:numPr>
              <w:spacing w:before="120" w:after="120"/>
            </w:pPr>
            <w:r w:rsidRPr="00BA5253">
              <w:t>holds “Green Light” status; and</w:t>
            </w:r>
          </w:p>
          <w:p w14:paraId="15E1F900" w14:textId="782855E3" w:rsidR="006B1C83" w:rsidRPr="00BA5253" w:rsidRDefault="006B1C83" w:rsidP="005C5B5E">
            <w:pPr>
              <w:pStyle w:val="DefinitionNumbering1"/>
              <w:numPr>
                <w:ilvl w:val="2"/>
                <w:numId w:val="25"/>
              </w:numPr>
              <w:spacing w:before="120" w:after="120"/>
            </w:pPr>
            <w:r w:rsidRPr="00BA5253">
              <w:t>is authorised to provide the IT Health Check services required by Paragraph </w:t>
            </w:r>
            <w:r w:rsidRPr="00BA5253">
              <w:fldChar w:fldCharType="begin"/>
            </w:r>
            <w:r w:rsidRPr="00BA5253">
              <w:instrText xml:space="preserve"> REF _Ref114495950 \r \h </w:instrText>
            </w:r>
            <w:r w:rsidR="00BA5253" w:rsidRPr="00BA5253">
              <w:instrText xml:space="preserve"> \* MERGEFORMAT </w:instrText>
            </w:r>
            <w:r w:rsidRPr="00BA5253">
              <w:fldChar w:fldCharType="separate"/>
            </w:r>
            <w:r w:rsidR="005C5B5E">
              <w:t>7</w:t>
            </w:r>
            <w:r w:rsidRPr="00BA5253">
              <w:fldChar w:fldCharType="end"/>
            </w:r>
            <w:r w:rsidRPr="00BA5253">
              <w:t xml:space="preserve"> (</w:t>
            </w:r>
            <w:r w:rsidRPr="00BA5253">
              <w:rPr>
                <w:i/>
                <w:iCs/>
              </w:rPr>
              <w:t>Security Testing</w:t>
            </w:r>
            <w:r w:rsidRPr="00BA5253">
              <w:t>);</w:t>
            </w:r>
          </w:p>
        </w:tc>
      </w:tr>
      <w:tr w:rsidR="006B1C83" w:rsidRPr="00BA5253" w14:paraId="6C476F1B" w14:textId="77777777" w:rsidTr="00F515B7">
        <w:tc>
          <w:tcPr>
            <w:tcW w:w="2510" w:type="dxa"/>
          </w:tcPr>
          <w:p w14:paraId="1C10FC2D" w14:textId="77777777" w:rsidR="006B1C83" w:rsidRPr="00BA5253" w:rsidRDefault="006B1C83" w:rsidP="005C5B5E">
            <w:pPr>
              <w:pStyle w:val="MarginText"/>
              <w:spacing w:before="120" w:after="120"/>
              <w:rPr>
                <w:b/>
                <w:bCs/>
              </w:rPr>
            </w:pPr>
            <w:r w:rsidRPr="00BA5253">
              <w:rPr>
                <w:b/>
                <w:bCs/>
              </w:rPr>
              <w:t>“Cloud Security Principles”</w:t>
            </w:r>
          </w:p>
        </w:tc>
        <w:tc>
          <w:tcPr>
            <w:tcW w:w="6404" w:type="dxa"/>
          </w:tcPr>
          <w:p w14:paraId="52A703BE" w14:textId="3E73D017" w:rsidR="006B1C83" w:rsidRPr="00BA5253" w:rsidRDefault="006B1C83" w:rsidP="005C5B5E">
            <w:pPr>
              <w:pStyle w:val="MarginText"/>
              <w:spacing w:before="120" w:after="120"/>
            </w:pPr>
            <w:r w:rsidRPr="00BA5253">
              <w:t xml:space="preserve">the NCSC’s document “Implementing the Cloud Security Principles” as updated or replaced from time to time and found at </w:t>
            </w:r>
            <w:hyperlink r:id="rId13" w:history="1">
              <w:r w:rsidRPr="00BA5253">
                <w:rPr>
                  <w:rStyle w:val="Hyperlink"/>
                </w:rPr>
                <w:t>https://www.ncsc.gov.uk/collection/cloud-security/</w:t>
              </w:r>
              <w:r w:rsidRPr="00BA5253">
                <w:rPr>
                  <w:rStyle w:val="Hyperlink"/>
                </w:rPr>
                <w:br/>
                <w:t>implementing-the-cloud-security-principles</w:t>
              </w:r>
            </w:hyperlink>
            <w:r w:rsidR="00B34EB1" w:rsidRPr="00BA5253">
              <w:t>;</w:t>
            </w:r>
          </w:p>
        </w:tc>
      </w:tr>
      <w:tr w:rsidR="006B1C83" w:rsidRPr="00BA5253" w14:paraId="41AC0951" w14:textId="77777777" w:rsidTr="00F515B7">
        <w:tc>
          <w:tcPr>
            <w:tcW w:w="2510" w:type="dxa"/>
          </w:tcPr>
          <w:p w14:paraId="287CEC94" w14:textId="77777777" w:rsidR="006B1C83" w:rsidRPr="00BA5253" w:rsidRDefault="006B1C83" w:rsidP="005C5B5E">
            <w:pPr>
              <w:pStyle w:val="MarginText"/>
              <w:spacing w:before="120" w:after="120"/>
              <w:rPr>
                <w:b/>
                <w:bCs/>
              </w:rPr>
            </w:pPr>
            <w:r w:rsidRPr="00BA5253">
              <w:rPr>
                <w:b/>
                <w:bCs/>
              </w:rPr>
              <w:t>“CREST Service Provider”</w:t>
            </w:r>
          </w:p>
        </w:tc>
        <w:tc>
          <w:tcPr>
            <w:tcW w:w="6404" w:type="dxa"/>
          </w:tcPr>
          <w:p w14:paraId="5B8CBFEF" w14:textId="129992A3" w:rsidR="006B1C83" w:rsidRPr="00BA5253" w:rsidRDefault="006B1C83" w:rsidP="005C5B5E">
            <w:pPr>
              <w:pStyle w:val="MarginText"/>
              <w:spacing w:before="120" w:after="120"/>
            </w:pPr>
            <w:r w:rsidRPr="00BA5253">
              <w:t>a company with an information security accreditation of a security operations centre qualification from CREST International;</w:t>
            </w:r>
          </w:p>
        </w:tc>
      </w:tr>
      <w:tr w:rsidR="006B1C83" w:rsidRPr="00BA5253" w14:paraId="424BE31C" w14:textId="77777777" w:rsidTr="00F515B7">
        <w:tc>
          <w:tcPr>
            <w:tcW w:w="2510" w:type="dxa"/>
          </w:tcPr>
          <w:p w14:paraId="0B7E4BE8" w14:textId="77777777" w:rsidR="006B1C83" w:rsidRPr="00BA5253" w:rsidRDefault="006B1C83" w:rsidP="005C5B5E">
            <w:pPr>
              <w:pStyle w:val="MarginText"/>
              <w:spacing w:before="120" w:after="120"/>
              <w:rPr>
                <w:b/>
                <w:bCs/>
              </w:rPr>
            </w:pPr>
            <w:r w:rsidRPr="00BA5253">
              <w:rPr>
                <w:b/>
                <w:bCs/>
              </w:rPr>
              <w:t>“Cyber Essentials”</w:t>
            </w:r>
          </w:p>
        </w:tc>
        <w:tc>
          <w:tcPr>
            <w:tcW w:w="6404" w:type="dxa"/>
          </w:tcPr>
          <w:p w14:paraId="0732C8BE" w14:textId="289B2885" w:rsidR="006B1C83" w:rsidRPr="00BA5253" w:rsidRDefault="006B1C83" w:rsidP="005C5B5E">
            <w:pPr>
              <w:pStyle w:val="MarginText"/>
              <w:spacing w:before="120" w:after="120"/>
            </w:pPr>
            <w:r w:rsidRPr="00BA5253">
              <w:t>the Cyber Essentials certificate issued under the Cyber Essentials Scheme;</w:t>
            </w:r>
          </w:p>
        </w:tc>
      </w:tr>
      <w:tr w:rsidR="006B1C83" w:rsidRPr="00BA5253" w14:paraId="084D79A5" w14:textId="77777777" w:rsidTr="00F515B7">
        <w:tc>
          <w:tcPr>
            <w:tcW w:w="2510" w:type="dxa"/>
          </w:tcPr>
          <w:p w14:paraId="74548AF3" w14:textId="77777777" w:rsidR="006B1C83" w:rsidRPr="00BA5253" w:rsidRDefault="006B1C83" w:rsidP="005C5B5E">
            <w:pPr>
              <w:pStyle w:val="MarginText"/>
              <w:spacing w:before="120" w:after="120"/>
              <w:rPr>
                <w:b/>
                <w:bCs/>
              </w:rPr>
            </w:pPr>
            <w:r w:rsidRPr="00BA5253">
              <w:rPr>
                <w:b/>
                <w:bCs/>
              </w:rPr>
              <w:t>“Cyber Essentials Plus”</w:t>
            </w:r>
          </w:p>
        </w:tc>
        <w:tc>
          <w:tcPr>
            <w:tcW w:w="6404" w:type="dxa"/>
          </w:tcPr>
          <w:p w14:paraId="6A638E0D" w14:textId="636E3DB9" w:rsidR="006B1C83" w:rsidRPr="00BA5253" w:rsidRDefault="006B1C83" w:rsidP="005C5B5E">
            <w:pPr>
              <w:pStyle w:val="MarginText"/>
              <w:spacing w:before="120" w:after="120"/>
            </w:pPr>
            <w:r w:rsidRPr="00BA5253">
              <w:t>the Cyber Essentials Plus certificate issued under the Cyber Essentials Scheme;</w:t>
            </w:r>
          </w:p>
        </w:tc>
      </w:tr>
      <w:tr w:rsidR="006B1C83" w:rsidRPr="00BA5253" w14:paraId="693126DD" w14:textId="77777777" w:rsidTr="00F515B7">
        <w:tc>
          <w:tcPr>
            <w:tcW w:w="2510" w:type="dxa"/>
          </w:tcPr>
          <w:p w14:paraId="1F405827" w14:textId="77777777" w:rsidR="006B1C83" w:rsidRPr="00BA5253" w:rsidRDefault="006B1C83" w:rsidP="005C5B5E">
            <w:pPr>
              <w:pStyle w:val="MarginText"/>
              <w:spacing w:before="120" w:after="120"/>
              <w:rPr>
                <w:b/>
                <w:bCs/>
              </w:rPr>
            </w:pPr>
            <w:r w:rsidRPr="00BA5253">
              <w:rPr>
                <w:b/>
                <w:bCs/>
              </w:rPr>
              <w:t>“Cyber Essentials Scheme”</w:t>
            </w:r>
          </w:p>
        </w:tc>
        <w:tc>
          <w:tcPr>
            <w:tcW w:w="6404" w:type="dxa"/>
          </w:tcPr>
          <w:p w14:paraId="0282A644" w14:textId="1742C005" w:rsidR="006B1C83" w:rsidRPr="00BA5253" w:rsidRDefault="006B1C83" w:rsidP="005C5B5E">
            <w:pPr>
              <w:pStyle w:val="MarginText"/>
              <w:spacing w:before="120" w:after="120"/>
            </w:pPr>
            <w:r w:rsidRPr="00BA5253">
              <w:t>the Cyber Essentials scheme operated by the NCSC;</w:t>
            </w:r>
          </w:p>
        </w:tc>
      </w:tr>
      <w:tr w:rsidR="006B1C83" w:rsidRPr="00BA5253" w14:paraId="68B0502D" w14:textId="77777777" w:rsidTr="00F515B7">
        <w:tc>
          <w:tcPr>
            <w:tcW w:w="2510" w:type="dxa"/>
          </w:tcPr>
          <w:p w14:paraId="1DACD3EA" w14:textId="77777777" w:rsidR="006B1C83" w:rsidRPr="00BA5253" w:rsidRDefault="006B1C83" w:rsidP="005C5B5E">
            <w:pPr>
              <w:pStyle w:val="MarginText"/>
              <w:spacing w:before="120" w:after="120"/>
              <w:rPr>
                <w:b/>
                <w:bCs/>
              </w:rPr>
            </w:pPr>
            <w:r w:rsidRPr="00BA5253">
              <w:rPr>
                <w:b/>
                <w:bCs/>
              </w:rPr>
              <w:t>“End-user Device”</w:t>
            </w:r>
          </w:p>
        </w:tc>
        <w:tc>
          <w:tcPr>
            <w:tcW w:w="6404" w:type="dxa"/>
          </w:tcPr>
          <w:p w14:paraId="0A4A8A82" w14:textId="3B96FA80" w:rsidR="006B1C83" w:rsidRPr="00BA5253" w:rsidRDefault="006B1C83" w:rsidP="005C5B5E">
            <w:pPr>
              <w:pStyle w:val="MarginText"/>
              <w:spacing w:before="120" w:after="120"/>
            </w:pPr>
            <w:r w:rsidRPr="00BA5253">
              <w:t xml:space="preserve">any personal computers, laptops, tablets, terminals, smartphones or other portable electronic device </w:t>
            </w:r>
            <w:r w:rsidR="002F5528" w:rsidRPr="002F5528">
              <w:t xml:space="preserve">provided by the Supplier or a </w:t>
            </w:r>
            <w:r w:rsidR="00F515B7">
              <w:t>Sub-contractor</w:t>
            </w:r>
            <w:r w:rsidR="002F5528" w:rsidRPr="002F5528">
              <w:t xml:space="preserve"> and</w:t>
            </w:r>
            <w:r w:rsidR="002F5528">
              <w:t xml:space="preserve"> </w:t>
            </w:r>
            <w:r w:rsidRPr="00BA5253">
              <w:t>used in the provision of the Services;</w:t>
            </w:r>
          </w:p>
        </w:tc>
      </w:tr>
      <w:tr w:rsidR="00F17F1A" w:rsidRPr="00BA5253" w14:paraId="5EF84A9D" w14:textId="77777777" w:rsidTr="00F515B7">
        <w:tc>
          <w:tcPr>
            <w:tcW w:w="2510" w:type="dxa"/>
          </w:tcPr>
          <w:p w14:paraId="578EC05F" w14:textId="67087C71" w:rsidR="00F17F1A" w:rsidRPr="00BA5253" w:rsidRDefault="00F17F1A" w:rsidP="005C5B5E">
            <w:pPr>
              <w:pStyle w:val="MarginText"/>
              <w:keepNext/>
              <w:spacing w:before="120" w:after="120"/>
              <w:rPr>
                <w:b/>
                <w:bCs/>
              </w:rPr>
            </w:pPr>
            <w:r w:rsidRPr="00BA5253">
              <w:rPr>
                <w:b/>
                <w:bCs/>
              </w:rPr>
              <w:lastRenderedPageBreak/>
              <w:t>“Expected Behaviours”</w:t>
            </w:r>
          </w:p>
        </w:tc>
        <w:tc>
          <w:tcPr>
            <w:tcW w:w="6404" w:type="dxa"/>
          </w:tcPr>
          <w:p w14:paraId="1A76E9E9" w14:textId="7C02C81C" w:rsidR="00F17F1A" w:rsidRPr="00BA5253" w:rsidRDefault="00F17F1A" w:rsidP="005C5B5E">
            <w:pPr>
              <w:pStyle w:val="MarginText"/>
              <w:keepNext/>
              <w:spacing w:before="120" w:after="120"/>
            </w:pPr>
            <w:r w:rsidRPr="00BA5253">
              <w:t xml:space="preserve">the expected behaviours set out and updated from time to time in the Government Security Classification Policy, currently found at </w:t>
            </w:r>
            <w:r w:rsidR="00141620" w:rsidRPr="00BA5253">
              <w:t>p</w:t>
            </w:r>
            <w:r w:rsidR="00895B30" w:rsidRPr="00BA5253">
              <w:t>aragraph</w:t>
            </w:r>
            <w:r w:rsidR="00141620" w:rsidRPr="00BA5253">
              <w:t>s 12 to</w:t>
            </w:r>
            <w:r w:rsidRPr="00BA5253">
              <w:t> 16</w:t>
            </w:r>
            <w:r w:rsidR="00141620" w:rsidRPr="00BA5253">
              <w:t xml:space="preserve"> and in the table below paragraph 16</w:t>
            </w:r>
            <w:r w:rsidRPr="00BA5253">
              <w:t xml:space="preserve"> of </w:t>
            </w:r>
            <w:hyperlink r:id="rId14" w:history="1">
              <w:r w:rsidRPr="00BA5253">
                <w:rPr>
                  <w:rStyle w:val="Hyperlink"/>
                </w:rPr>
                <w:t>https://www.gov.uk/government/publications/government-security-classifications/guidance-11-working-at-official-html</w:t>
              </w:r>
            </w:hyperlink>
            <w:r w:rsidR="00B34EB1" w:rsidRPr="00BA5253">
              <w:t>;</w:t>
            </w:r>
          </w:p>
        </w:tc>
      </w:tr>
      <w:tr w:rsidR="00F17F1A" w:rsidRPr="00BA5253" w14:paraId="35D3178F" w14:textId="77777777" w:rsidTr="00F515B7">
        <w:tc>
          <w:tcPr>
            <w:tcW w:w="2510" w:type="dxa"/>
          </w:tcPr>
          <w:p w14:paraId="765340FF" w14:textId="6D507B9D" w:rsidR="00F17F1A" w:rsidRPr="00BA5253" w:rsidRDefault="00F17F1A" w:rsidP="005C5B5E">
            <w:pPr>
              <w:pStyle w:val="MarginText"/>
              <w:keepNext/>
              <w:spacing w:before="120" w:after="120"/>
              <w:rPr>
                <w:b/>
                <w:bCs/>
              </w:rPr>
            </w:pPr>
            <w:r w:rsidRPr="00BA5253">
              <w:rPr>
                <w:b/>
                <w:bCs/>
              </w:rPr>
              <w:t>“Government Security Classification Policy”</w:t>
            </w:r>
          </w:p>
        </w:tc>
        <w:tc>
          <w:tcPr>
            <w:tcW w:w="6404" w:type="dxa"/>
          </w:tcPr>
          <w:p w14:paraId="72F18047" w14:textId="11C3DE80" w:rsidR="00F17F1A" w:rsidRPr="00BA5253" w:rsidRDefault="00F17F1A" w:rsidP="005C5B5E">
            <w:pPr>
              <w:pStyle w:val="MarginText"/>
              <w:keepNext/>
              <w:spacing w:before="120" w:after="120"/>
            </w:pPr>
            <w:r w:rsidRPr="00BA5253">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5" w:history="1">
              <w:r w:rsidRPr="00BA5253">
                <w:rPr>
                  <w:rStyle w:val="Hyperlink"/>
                </w:rPr>
                <w:t>https://www.gov.uk/</w:t>
              </w:r>
              <w:r w:rsidRPr="00BA5253">
                <w:rPr>
                  <w:rStyle w:val="Hyperlink"/>
                </w:rPr>
                <w:br/>
                <w:t>government/publications/government-security-classifications</w:t>
              </w:r>
            </w:hyperlink>
            <w:r w:rsidR="005575A4" w:rsidRPr="00BA5253">
              <w:t>;</w:t>
            </w:r>
          </w:p>
        </w:tc>
      </w:tr>
      <w:tr w:rsidR="00C40A05" w:rsidRPr="00BA5253" w14:paraId="3CFAF68C" w14:textId="77777777" w:rsidTr="00F515B7">
        <w:tc>
          <w:tcPr>
            <w:tcW w:w="2510" w:type="dxa"/>
          </w:tcPr>
          <w:p w14:paraId="57C31C18" w14:textId="77777777" w:rsidR="00C40A05" w:rsidRPr="00BA5253" w:rsidRDefault="00C40A05" w:rsidP="005C5B5E">
            <w:pPr>
              <w:pStyle w:val="MarginText"/>
              <w:spacing w:before="120" w:after="120"/>
              <w:rPr>
                <w:b/>
                <w:bCs/>
              </w:rPr>
            </w:pPr>
            <w:r w:rsidRPr="00BA5253">
              <w:rPr>
                <w:b/>
                <w:bCs/>
              </w:rPr>
              <w:t>“IT Health Check”</w:t>
            </w:r>
          </w:p>
        </w:tc>
        <w:tc>
          <w:tcPr>
            <w:tcW w:w="6404" w:type="dxa"/>
          </w:tcPr>
          <w:p w14:paraId="7319B9D4" w14:textId="1E1D89F0" w:rsidR="00C40A05" w:rsidRPr="00BA5253" w:rsidRDefault="006B1C83" w:rsidP="005C5B5E">
            <w:pPr>
              <w:pStyle w:val="MarginText"/>
              <w:spacing w:before="120" w:after="120"/>
            </w:pPr>
            <w:r w:rsidRPr="00BA5253">
              <w:t xml:space="preserve">the security </w:t>
            </w:r>
            <w:r w:rsidR="00C40A05" w:rsidRPr="00BA5253">
              <w:t>testing of the Supplier System;</w:t>
            </w:r>
          </w:p>
        </w:tc>
      </w:tr>
      <w:tr w:rsidR="00B04DF3" w:rsidRPr="00BA5253" w14:paraId="06BA8757" w14:textId="77777777" w:rsidTr="00F515B7">
        <w:tc>
          <w:tcPr>
            <w:tcW w:w="2510" w:type="dxa"/>
          </w:tcPr>
          <w:p w14:paraId="6321F220" w14:textId="77777777" w:rsidR="00B04DF3" w:rsidRPr="00BA5253" w:rsidRDefault="00B04DF3" w:rsidP="005C5B5E">
            <w:pPr>
              <w:pStyle w:val="MarginText"/>
              <w:spacing w:before="120" w:after="120"/>
              <w:rPr>
                <w:b/>
                <w:bCs/>
              </w:rPr>
            </w:pPr>
            <w:r w:rsidRPr="00BA5253">
              <w:rPr>
                <w:b/>
                <w:bCs/>
              </w:rPr>
              <w:t>“NCSC”</w:t>
            </w:r>
          </w:p>
        </w:tc>
        <w:tc>
          <w:tcPr>
            <w:tcW w:w="6404" w:type="dxa"/>
          </w:tcPr>
          <w:p w14:paraId="2852ACC3" w14:textId="6E418E15" w:rsidR="00B04DF3" w:rsidRPr="00BA5253" w:rsidRDefault="00B04DF3" w:rsidP="005C5B5E">
            <w:pPr>
              <w:pStyle w:val="MarginText"/>
              <w:spacing w:before="120" w:after="120"/>
            </w:pPr>
            <w:r w:rsidRPr="00BA5253">
              <w:t>the National Cyber Security Centre, or any successor body performing the functions of the National Cyber Security Centre;</w:t>
            </w:r>
          </w:p>
        </w:tc>
      </w:tr>
      <w:tr w:rsidR="000B7EF9" w:rsidRPr="00BA5253" w14:paraId="3EF9692E" w14:textId="77777777" w:rsidTr="00F515B7">
        <w:tc>
          <w:tcPr>
            <w:tcW w:w="2510" w:type="dxa"/>
          </w:tcPr>
          <w:p w14:paraId="549A7A81" w14:textId="77777777" w:rsidR="000B7EF9" w:rsidRPr="00BA5253" w:rsidRDefault="000B7EF9" w:rsidP="005C5B5E">
            <w:pPr>
              <w:pStyle w:val="MarginText"/>
              <w:spacing w:before="120" w:after="120"/>
              <w:rPr>
                <w:b/>
                <w:bCs/>
              </w:rPr>
            </w:pPr>
            <w:r w:rsidRPr="00BA5253">
              <w:rPr>
                <w:b/>
                <w:bCs/>
              </w:rPr>
              <w:t>“NCSC Device Guidance”</w:t>
            </w:r>
          </w:p>
        </w:tc>
        <w:tc>
          <w:tcPr>
            <w:tcW w:w="6404" w:type="dxa"/>
          </w:tcPr>
          <w:p w14:paraId="455A9455" w14:textId="223B7F96" w:rsidR="000B7EF9" w:rsidRPr="00BA5253" w:rsidRDefault="000B7EF9" w:rsidP="005C5B5E">
            <w:pPr>
              <w:pStyle w:val="MarginText"/>
              <w:spacing w:before="120" w:after="120"/>
            </w:pPr>
            <w:r w:rsidRPr="00BA5253">
              <w:t xml:space="preserve">the NCSC’s document “Device Security Guidance”, as updated or replaced from time to time and found at </w:t>
            </w:r>
            <w:hyperlink r:id="rId16" w:history="1">
              <w:r w:rsidRPr="00BA5253">
                <w:rPr>
                  <w:rStyle w:val="Hyperlink"/>
                </w:rPr>
                <w:t>https://www.ncsc.gov.uk/collection/device-security-guidance</w:t>
              </w:r>
            </w:hyperlink>
            <w:r w:rsidRPr="00BA5253">
              <w:t xml:space="preserve">; </w:t>
            </w:r>
          </w:p>
        </w:tc>
      </w:tr>
      <w:tr w:rsidR="00E714EC" w:rsidRPr="00BA5253" w14:paraId="62800E7E" w14:textId="77777777" w:rsidTr="00F515B7">
        <w:tc>
          <w:tcPr>
            <w:tcW w:w="2510" w:type="dxa"/>
          </w:tcPr>
          <w:p w14:paraId="491EFF2C" w14:textId="77777777" w:rsidR="00E714EC" w:rsidRPr="00BA5253" w:rsidRDefault="00E714EC" w:rsidP="005C5B5E">
            <w:pPr>
              <w:pStyle w:val="MarginText"/>
              <w:spacing w:before="120" w:after="120"/>
              <w:rPr>
                <w:b/>
                <w:bCs/>
              </w:rPr>
            </w:pPr>
            <w:r w:rsidRPr="00BA5253">
              <w:rPr>
                <w:b/>
                <w:bCs/>
              </w:rPr>
              <w:t>“Privileged User”</w:t>
            </w:r>
          </w:p>
        </w:tc>
        <w:tc>
          <w:tcPr>
            <w:tcW w:w="6404" w:type="dxa"/>
          </w:tcPr>
          <w:p w14:paraId="45302173" w14:textId="3C27AAF6" w:rsidR="00E714EC" w:rsidRPr="00BA5253" w:rsidRDefault="00E714EC" w:rsidP="005C5B5E">
            <w:pPr>
              <w:pStyle w:val="MarginText"/>
              <w:spacing w:before="120" w:after="120"/>
            </w:pPr>
            <w:r w:rsidRPr="00BA5253">
              <w:t>a user with system administration access to the Supplier System, or substantially similar access privileges;</w:t>
            </w:r>
          </w:p>
        </w:tc>
      </w:tr>
      <w:tr w:rsidR="003853CF" w:rsidRPr="00BA5253" w14:paraId="21006760" w14:textId="77777777" w:rsidTr="00F515B7">
        <w:tc>
          <w:tcPr>
            <w:tcW w:w="2510" w:type="dxa"/>
          </w:tcPr>
          <w:p w14:paraId="669B0702" w14:textId="7D865044" w:rsidR="003853CF" w:rsidRPr="00BA5253" w:rsidRDefault="003853CF" w:rsidP="005C5B5E">
            <w:pPr>
              <w:pStyle w:val="MarginText"/>
              <w:spacing w:before="120" w:after="120"/>
              <w:rPr>
                <w:b/>
                <w:bCs/>
              </w:rPr>
            </w:pPr>
            <w:r w:rsidRPr="00BA5253">
              <w:rPr>
                <w:b/>
                <w:bCs/>
              </w:rPr>
              <w:t>“Prohibition Notice”</w:t>
            </w:r>
          </w:p>
        </w:tc>
        <w:tc>
          <w:tcPr>
            <w:tcW w:w="6404" w:type="dxa"/>
          </w:tcPr>
          <w:p w14:paraId="6468BBFB" w14:textId="40AD8E69" w:rsidR="003853CF" w:rsidRPr="00BA5253" w:rsidRDefault="003853CF" w:rsidP="005C5B5E">
            <w:pPr>
              <w:pStyle w:val="MarginText"/>
              <w:spacing w:before="120" w:after="120"/>
            </w:pPr>
            <w:r w:rsidRPr="00BA5253">
              <w:t>the meaning given to that term by Paragraph </w:t>
            </w:r>
            <w:r w:rsidRPr="00BA5253">
              <w:fldChar w:fldCharType="begin"/>
            </w:r>
            <w:r w:rsidRPr="00BA5253">
              <w:instrText xml:space="preserve"> REF _Ref114494714 \r \h </w:instrText>
            </w:r>
            <w:r w:rsidR="00BA5253" w:rsidRPr="00BA5253">
              <w:instrText xml:space="preserve"> \* MERGEFORMAT </w:instrText>
            </w:r>
            <w:r w:rsidRPr="00BA5253">
              <w:fldChar w:fldCharType="separate"/>
            </w:r>
            <w:r w:rsidR="005C5B5E">
              <w:t>5.4</w:t>
            </w:r>
            <w:r w:rsidRPr="00BA5253">
              <w:fldChar w:fldCharType="end"/>
            </w:r>
            <w:r w:rsidRPr="00BA5253">
              <w:t>.</w:t>
            </w:r>
          </w:p>
        </w:tc>
      </w:tr>
      <w:tr w:rsidR="000B7EF9" w:rsidRPr="00BA5253" w14:paraId="0D8A421F" w14:textId="77777777" w:rsidTr="00F515B7">
        <w:tc>
          <w:tcPr>
            <w:tcW w:w="2510" w:type="dxa"/>
          </w:tcPr>
          <w:p w14:paraId="32264732" w14:textId="2528820B" w:rsidR="000B7EF9" w:rsidRPr="00BA5253" w:rsidRDefault="000B7EF9" w:rsidP="005C5B5E">
            <w:pPr>
              <w:pStyle w:val="MarginText"/>
              <w:spacing w:before="120" w:after="120"/>
              <w:rPr>
                <w:b/>
                <w:bCs/>
              </w:rPr>
            </w:pPr>
            <w:r w:rsidRPr="00BA5253">
              <w:rPr>
                <w:b/>
                <w:bCs/>
              </w:rPr>
              <w:t>“Protective Monitoring System”</w:t>
            </w:r>
          </w:p>
        </w:tc>
        <w:tc>
          <w:tcPr>
            <w:tcW w:w="6404" w:type="dxa"/>
          </w:tcPr>
          <w:p w14:paraId="01860569" w14:textId="0C85AE7A" w:rsidR="000B7EF9" w:rsidRPr="00BA5253" w:rsidRDefault="000B7EF9" w:rsidP="005C5B5E">
            <w:pPr>
              <w:pStyle w:val="MarginText"/>
              <w:spacing w:before="120" w:after="120"/>
            </w:pPr>
            <w:r w:rsidRPr="00BA5253">
              <w:t>has the meaning given to that term by Paragraph </w:t>
            </w:r>
            <w:r w:rsidRPr="00BA5253">
              <w:fldChar w:fldCharType="begin"/>
            </w:r>
            <w:r w:rsidRPr="00BA5253">
              <w:instrText xml:space="preserve"> REF _Ref101778507 \r \h </w:instrText>
            </w:r>
            <w:r w:rsidR="00BA5253" w:rsidRPr="00BA5253">
              <w:instrText xml:space="preserve"> \* MERGEFORMAT </w:instrText>
            </w:r>
            <w:r w:rsidRPr="00BA5253">
              <w:fldChar w:fldCharType="separate"/>
            </w:r>
            <w:r w:rsidR="005C5B5E">
              <w:t>16.1</w:t>
            </w:r>
            <w:r w:rsidRPr="00BA5253">
              <w:fldChar w:fldCharType="end"/>
            </w:r>
            <w:r w:rsidRPr="00BA5253">
              <w:t>;</w:t>
            </w:r>
          </w:p>
        </w:tc>
      </w:tr>
      <w:tr w:rsidR="00731E05" w:rsidRPr="00BA5253" w14:paraId="591CA443" w14:textId="77777777" w:rsidTr="00F515B7">
        <w:tc>
          <w:tcPr>
            <w:tcW w:w="2510" w:type="dxa"/>
          </w:tcPr>
          <w:p w14:paraId="60130445" w14:textId="68D42237" w:rsidR="00731E05" w:rsidRPr="00BA5253" w:rsidRDefault="00731E05" w:rsidP="005C5B5E">
            <w:pPr>
              <w:pStyle w:val="MarginText"/>
              <w:spacing w:before="120" w:after="120"/>
              <w:rPr>
                <w:b/>
                <w:bCs/>
              </w:rPr>
            </w:pPr>
            <w:r w:rsidRPr="00BA5253">
              <w:rPr>
                <w:b/>
                <w:bCs/>
              </w:rPr>
              <w:t>“Relevant Conviction”</w:t>
            </w:r>
          </w:p>
        </w:tc>
        <w:tc>
          <w:tcPr>
            <w:tcW w:w="6404" w:type="dxa"/>
          </w:tcPr>
          <w:p w14:paraId="5497A834" w14:textId="35036E4D" w:rsidR="00731E05" w:rsidRPr="00BA5253" w:rsidRDefault="00731E05" w:rsidP="005C5B5E">
            <w:pPr>
              <w:pStyle w:val="MarginText"/>
              <w:spacing w:before="120" w:after="120"/>
            </w:pPr>
            <w:r w:rsidRPr="00BA5253">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9013D7" w:rsidRPr="00BA5253" w14:paraId="5BDA7F72" w14:textId="77777777" w:rsidTr="00F515B7">
        <w:tc>
          <w:tcPr>
            <w:tcW w:w="2510" w:type="dxa"/>
          </w:tcPr>
          <w:p w14:paraId="5F885CBB" w14:textId="4D3B069A" w:rsidR="009013D7" w:rsidRPr="00BA5253" w:rsidRDefault="009013D7" w:rsidP="005C5B5E">
            <w:pPr>
              <w:pStyle w:val="MarginText"/>
              <w:spacing w:before="120" w:after="120"/>
              <w:rPr>
                <w:b/>
                <w:bCs/>
              </w:rPr>
            </w:pPr>
            <w:r w:rsidRPr="00BA5253">
              <w:rPr>
                <w:b/>
                <w:bCs/>
              </w:rPr>
              <w:t>“Remote Location”</w:t>
            </w:r>
          </w:p>
        </w:tc>
        <w:tc>
          <w:tcPr>
            <w:tcW w:w="6404" w:type="dxa"/>
          </w:tcPr>
          <w:p w14:paraId="0D5A4A21" w14:textId="30A00B22" w:rsidR="009013D7" w:rsidRPr="00BA5253" w:rsidRDefault="009013D7" w:rsidP="005C5B5E">
            <w:pPr>
              <w:pStyle w:val="MarginText"/>
              <w:keepNext/>
              <w:spacing w:before="120" w:after="120"/>
            </w:pPr>
            <w:r w:rsidRPr="00404D09">
              <w:rPr>
                <w:highlight w:val="yellow"/>
              </w:rPr>
              <w:t xml:space="preserve">[the relevant Supplier </w:t>
            </w:r>
            <w:r w:rsidR="00AA36A5" w:rsidRPr="00404D09">
              <w:rPr>
                <w:highlight w:val="yellow"/>
              </w:rPr>
              <w:t>Staff</w:t>
            </w:r>
            <w:r w:rsidRPr="00404D09">
              <w:rPr>
                <w:highlight w:val="yellow"/>
              </w:rPr>
              <w:t xml:space="preserve">’s permanent home address authorised by the Supplier or </w:t>
            </w:r>
            <w:r w:rsidR="00F515B7">
              <w:rPr>
                <w:highlight w:val="yellow"/>
              </w:rPr>
              <w:t>Sub-contractor</w:t>
            </w:r>
            <w:r w:rsidRPr="00404D09">
              <w:rPr>
                <w:highlight w:val="yellow"/>
              </w:rPr>
              <w:t xml:space="preserve"> (as applicable) for Remote Working OR a location other than a Supplier’s or a </w:t>
            </w:r>
            <w:r w:rsidR="00F515B7">
              <w:rPr>
                <w:highlight w:val="yellow"/>
              </w:rPr>
              <w:t>Sub-contractor</w:t>
            </w:r>
            <w:r w:rsidRPr="00404D09">
              <w:rPr>
                <w:highlight w:val="yellow"/>
              </w:rPr>
              <w:t>’s Site]</w:t>
            </w:r>
            <w:r w:rsidR="005575A4" w:rsidRPr="00BA5253">
              <w:t>;</w:t>
            </w:r>
          </w:p>
        </w:tc>
      </w:tr>
      <w:tr w:rsidR="009013D7" w:rsidRPr="00BA5253" w14:paraId="3576533B" w14:textId="77777777" w:rsidTr="00F515B7">
        <w:tc>
          <w:tcPr>
            <w:tcW w:w="2510" w:type="dxa"/>
          </w:tcPr>
          <w:p w14:paraId="68581FBD" w14:textId="71048F5B" w:rsidR="009013D7" w:rsidRPr="00BA5253" w:rsidRDefault="009013D7" w:rsidP="005C5B5E">
            <w:pPr>
              <w:pStyle w:val="MarginText"/>
              <w:spacing w:before="120" w:after="120"/>
              <w:rPr>
                <w:b/>
                <w:bCs/>
              </w:rPr>
            </w:pPr>
            <w:r w:rsidRPr="00BA5253">
              <w:rPr>
                <w:b/>
                <w:bCs/>
              </w:rPr>
              <w:lastRenderedPageBreak/>
              <w:t>“Remote Working”</w:t>
            </w:r>
          </w:p>
        </w:tc>
        <w:tc>
          <w:tcPr>
            <w:tcW w:w="6404" w:type="dxa"/>
          </w:tcPr>
          <w:p w14:paraId="17C68202" w14:textId="22C313B4" w:rsidR="009013D7" w:rsidRPr="00BA5253" w:rsidRDefault="009013D7" w:rsidP="005C5B5E">
            <w:pPr>
              <w:pStyle w:val="MarginText"/>
              <w:keepNext/>
              <w:spacing w:before="120" w:after="120"/>
            </w:pPr>
            <w:r w:rsidRPr="00BA5253">
              <w:t xml:space="preserve">the provision or management of the Services by Supplier </w:t>
            </w:r>
            <w:r w:rsidR="00AA36A5" w:rsidRPr="00BA5253">
              <w:t>Staff</w:t>
            </w:r>
            <w:r w:rsidRPr="00BA5253">
              <w:t xml:space="preserve"> from a location other than a Supplier’s or a </w:t>
            </w:r>
            <w:r w:rsidR="00F515B7">
              <w:t>Sub-contractor</w:t>
            </w:r>
            <w:r w:rsidRPr="00BA5253">
              <w:t>’s Site</w:t>
            </w:r>
            <w:r w:rsidR="005575A4" w:rsidRPr="00BA5253">
              <w:t>;</w:t>
            </w:r>
          </w:p>
        </w:tc>
      </w:tr>
      <w:tr w:rsidR="009013D7" w:rsidRPr="00BA5253" w14:paraId="7561A256" w14:textId="77777777" w:rsidTr="00F515B7">
        <w:tc>
          <w:tcPr>
            <w:tcW w:w="2510" w:type="dxa"/>
          </w:tcPr>
          <w:p w14:paraId="1763C35F" w14:textId="31EC118D" w:rsidR="009013D7" w:rsidRPr="00BA5253" w:rsidRDefault="009013D7" w:rsidP="005C5B5E">
            <w:pPr>
              <w:pStyle w:val="MarginText"/>
              <w:spacing w:before="120" w:after="120"/>
              <w:rPr>
                <w:b/>
                <w:bCs/>
              </w:rPr>
            </w:pPr>
            <w:r w:rsidRPr="00BA5253">
              <w:rPr>
                <w:b/>
                <w:bCs/>
              </w:rPr>
              <w:t>“Remote Working Policy”</w:t>
            </w:r>
          </w:p>
        </w:tc>
        <w:tc>
          <w:tcPr>
            <w:tcW w:w="6404" w:type="dxa"/>
          </w:tcPr>
          <w:p w14:paraId="694ACB2E" w14:textId="65EC5E5C" w:rsidR="009013D7" w:rsidRPr="00BA5253" w:rsidRDefault="009013D7" w:rsidP="005C5B5E">
            <w:pPr>
              <w:pStyle w:val="MarginText"/>
              <w:keepNext/>
              <w:spacing w:before="120" w:after="120"/>
            </w:pPr>
            <w:r w:rsidRPr="00BA5253">
              <w:t xml:space="preserve">the policy prepared and approved under </w:t>
            </w:r>
            <w:r w:rsidR="00895B30" w:rsidRPr="00BA5253">
              <w:t>Paragraph</w:t>
            </w:r>
            <w:r w:rsidRPr="00BA5253">
              <w:t> </w:t>
            </w:r>
            <w:r w:rsidR="006B1C83" w:rsidRPr="00BA5253">
              <w:fldChar w:fldCharType="begin"/>
            </w:r>
            <w:r w:rsidR="006B1C83" w:rsidRPr="00BA5253">
              <w:instrText xml:space="preserve"> REF _Ref162885657 \r \h </w:instrText>
            </w:r>
            <w:r w:rsidR="00BA5253" w:rsidRPr="00BA5253">
              <w:instrText xml:space="preserve"> \* MERGEFORMAT </w:instrText>
            </w:r>
            <w:r w:rsidR="006B1C83" w:rsidRPr="00BA5253">
              <w:fldChar w:fldCharType="separate"/>
            </w:r>
            <w:r w:rsidR="005C5B5E">
              <w:t>22</w:t>
            </w:r>
            <w:r w:rsidR="006B1C83" w:rsidRPr="00BA5253">
              <w:fldChar w:fldCharType="end"/>
            </w:r>
            <w:r w:rsidRPr="00BA5253">
              <w:t xml:space="preserve"> under which Supplier </w:t>
            </w:r>
            <w:r w:rsidR="00AA36A5" w:rsidRPr="00BA5253">
              <w:t>Staff</w:t>
            </w:r>
            <w:r w:rsidRPr="00BA5253">
              <w:t xml:space="preserve"> are permitted to undertake Remote Working</w:t>
            </w:r>
            <w:r w:rsidR="005575A4" w:rsidRPr="00BA5253">
              <w:t>;</w:t>
            </w:r>
          </w:p>
        </w:tc>
      </w:tr>
      <w:tr w:rsidR="009013D7" w:rsidRPr="00BA5253" w14:paraId="3E50AE1A" w14:textId="77777777" w:rsidTr="00F515B7">
        <w:tc>
          <w:tcPr>
            <w:tcW w:w="2510" w:type="dxa"/>
          </w:tcPr>
          <w:p w14:paraId="365B4BEF" w14:textId="2EA6A252" w:rsidR="009013D7" w:rsidRPr="00BA5253" w:rsidRDefault="009013D7" w:rsidP="005C5B5E">
            <w:pPr>
              <w:pStyle w:val="MarginText"/>
              <w:spacing w:before="120" w:after="120"/>
              <w:rPr>
                <w:b/>
                <w:bCs/>
              </w:rPr>
            </w:pPr>
            <w:r w:rsidRPr="00BA5253">
              <w:rPr>
                <w:b/>
                <w:bCs/>
              </w:rPr>
              <w:t>“Security Controls”</w:t>
            </w:r>
          </w:p>
        </w:tc>
        <w:tc>
          <w:tcPr>
            <w:tcW w:w="6404" w:type="dxa"/>
          </w:tcPr>
          <w:p w14:paraId="677CEB03" w14:textId="37ECD39A" w:rsidR="009013D7" w:rsidRPr="00BA5253" w:rsidRDefault="009013D7" w:rsidP="005C5B5E">
            <w:pPr>
              <w:pStyle w:val="MarginText"/>
              <w:spacing w:before="120" w:after="120"/>
            </w:pPr>
            <w:r w:rsidRPr="00BA5253">
              <w:t xml:space="preserve">the security controls set out and updated from time to time in the Government Security Classification Policy, currently found at </w:t>
            </w:r>
            <w:r w:rsidR="00895B30" w:rsidRPr="00BA5253">
              <w:t>Paragraph</w:t>
            </w:r>
            <w:r w:rsidRPr="00BA5253">
              <w:t xml:space="preserve"> 12 of </w:t>
            </w:r>
            <w:hyperlink r:id="rId17" w:history="1">
              <w:r w:rsidRPr="00BA5253">
                <w:rPr>
                  <w:rStyle w:val="Hyperlink"/>
                </w:rPr>
                <w:t>https://www.gov.uk/government/publications/government-security-classifications/guidance-15-considerations-for-security-advisors-html</w:t>
              </w:r>
            </w:hyperlink>
            <w:r w:rsidR="005575A4" w:rsidRPr="00BA5253">
              <w:t>;</w:t>
            </w:r>
          </w:p>
        </w:tc>
      </w:tr>
      <w:tr w:rsidR="002F5528" w:rsidRPr="00BA5253" w14:paraId="49F73200" w14:textId="77777777" w:rsidTr="00F515B7">
        <w:tc>
          <w:tcPr>
            <w:tcW w:w="2510" w:type="dxa"/>
          </w:tcPr>
          <w:p w14:paraId="6DD9B28D" w14:textId="208BEA70" w:rsidR="002F5528" w:rsidRPr="00BA5253" w:rsidRDefault="002F5528" w:rsidP="005C5B5E">
            <w:pPr>
              <w:pStyle w:val="MarginText"/>
              <w:spacing w:before="120" w:after="120"/>
              <w:rPr>
                <w:b/>
                <w:bCs/>
              </w:rPr>
            </w:pPr>
            <w:r w:rsidRPr="003125A7">
              <w:rPr>
                <w:b/>
                <w:bCs/>
              </w:rPr>
              <w:t>"</w:t>
            </w:r>
            <w:r>
              <w:rPr>
                <w:b/>
                <w:bCs/>
              </w:rPr>
              <w:t>Sub-contractor</w:t>
            </w:r>
            <w:r w:rsidRPr="003125A7">
              <w:rPr>
                <w:b/>
                <w:bCs/>
              </w:rPr>
              <w:t>"</w:t>
            </w:r>
          </w:p>
        </w:tc>
        <w:tc>
          <w:tcPr>
            <w:tcW w:w="6404" w:type="dxa"/>
          </w:tcPr>
          <w:p w14:paraId="4BB18A5F" w14:textId="77777777" w:rsidR="002F5528" w:rsidRPr="003125A7" w:rsidRDefault="002F5528" w:rsidP="005C5B5E">
            <w:pPr>
              <w:pStyle w:val="MarginText"/>
              <w:spacing w:before="120" w:after="120"/>
            </w:pPr>
            <w:r w:rsidRPr="003125A7">
              <w:t>for the purposes of this Schedule only, any individual or entity that:</w:t>
            </w:r>
          </w:p>
          <w:p w14:paraId="75164A68" w14:textId="77777777" w:rsidR="002F5528" w:rsidRPr="003125A7" w:rsidRDefault="002F5528" w:rsidP="005C5B5E">
            <w:pPr>
              <w:pStyle w:val="DefinitionNumbering1"/>
              <w:numPr>
                <w:ilvl w:val="2"/>
                <w:numId w:val="44"/>
              </w:numPr>
              <w:spacing w:before="120" w:after="120"/>
              <w:ind w:left="720"/>
            </w:pPr>
            <w:r w:rsidRPr="003125A7">
              <w:t>forms part of the supply chain of the Supplier; and</w:t>
            </w:r>
          </w:p>
          <w:p w14:paraId="73316732" w14:textId="1BA42DC2" w:rsidR="002F5528" w:rsidRPr="003125A7" w:rsidRDefault="002F5528" w:rsidP="005C5B5E">
            <w:pPr>
              <w:pStyle w:val="DefinitionNumbering1"/>
              <w:numPr>
                <w:ilvl w:val="2"/>
                <w:numId w:val="2"/>
              </w:numPr>
              <w:spacing w:before="120" w:after="120"/>
              <w:ind w:left="720"/>
            </w:pPr>
            <w:r w:rsidRPr="003125A7">
              <w:t>has access to, hosts, or performs any operation on or in respect of the Code and</w:t>
            </w:r>
            <w:r>
              <w:t>/or</w:t>
            </w:r>
            <w:r w:rsidRPr="003125A7">
              <w:t xml:space="preserve"> the Government Data,</w:t>
            </w:r>
          </w:p>
          <w:p w14:paraId="53A3B22C" w14:textId="1D1A8634" w:rsidR="002F5528" w:rsidRPr="00BA5253" w:rsidRDefault="002F5528" w:rsidP="005C5B5E">
            <w:pPr>
              <w:pStyle w:val="MarginText"/>
              <w:spacing w:before="120" w:after="120"/>
            </w:pPr>
            <w:r w:rsidRPr="003125A7">
              <w:rPr>
                <w:rFonts w:eastAsia="Arial"/>
                <w:color w:val="000000" w:themeColor="text1"/>
              </w:rPr>
              <w:t xml:space="preserve">and this definition shall apply to this Schedule in place of the definition of </w:t>
            </w:r>
            <w:r w:rsidR="00F515B7">
              <w:rPr>
                <w:rFonts w:eastAsia="Arial"/>
                <w:color w:val="000000" w:themeColor="text1"/>
              </w:rPr>
              <w:t>Sub-contractor</w:t>
            </w:r>
            <w:r w:rsidRPr="003125A7">
              <w:rPr>
                <w:rFonts w:eastAsia="Arial"/>
                <w:color w:val="000000" w:themeColor="text1"/>
              </w:rPr>
              <w:t xml:space="preserve"> in Joint Schedule 1 </w:t>
            </w:r>
            <w:r w:rsidRPr="003125A7">
              <w:rPr>
                <w:rFonts w:eastAsia="Arial"/>
                <w:i/>
                <w:iCs/>
                <w:color w:val="000000" w:themeColor="text1"/>
              </w:rPr>
              <w:t>(Definitions);</w:t>
            </w:r>
          </w:p>
        </w:tc>
      </w:tr>
      <w:tr w:rsidR="002F5528" w:rsidRPr="00BA5253" w14:paraId="1B83487F" w14:textId="77777777" w:rsidTr="00F515B7">
        <w:tc>
          <w:tcPr>
            <w:tcW w:w="2510" w:type="dxa"/>
          </w:tcPr>
          <w:p w14:paraId="2ADE3CA8" w14:textId="75EE1F95" w:rsidR="002F5528" w:rsidRPr="00BA5253" w:rsidRDefault="002F5528" w:rsidP="005C5B5E">
            <w:pPr>
              <w:pStyle w:val="MarginText"/>
              <w:spacing w:before="120" w:after="120"/>
              <w:rPr>
                <w:b/>
                <w:bCs/>
              </w:rPr>
            </w:pPr>
            <w:r w:rsidRPr="003125A7">
              <w:rPr>
                <w:b/>
                <w:bCs/>
              </w:rPr>
              <w:t>"Supplier Staff"</w:t>
            </w:r>
          </w:p>
        </w:tc>
        <w:tc>
          <w:tcPr>
            <w:tcW w:w="6404" w:type="dxa"/>
          </w:tcPr>
          <w:p w14:paraId="2AC9D1D3" w14:textId="0610A337" w:rsidR="002F5528" w:rsidRPr="00BA5253" w:rsidRDefault="002F5528" w:rsidP="005C5B5E">
            <w:pPr>
              <w:pStyle w:val="MarginText"/>
              <w:spacing w:before="120" w:after="120"/>
            </w:pPr>
            <w:r w:rsidRPr="00A25FAB">
              <w:t>fo</w:t>
            </w:r>
            <w:r>
              <w:t>r the purposes of this Schedule</w:t>
            </w:r>
            <w:r w:rsidRPr="00A25FAB">
              <w:t xml:space="preserve"> only, any individual engaged, directly or indirectly, or employed by the Supplier or any Sub-contractor (as that term is defined for the purposes of this Schedule) in the management or performance of the S</w:t>
            </w:r>
            <w:r w:rsidR="005C5B5E">
              <w:t>upplier’s obligations under the</w:t>
            </w:r>
            <w:r w:rsidRPr="00A25FAB">
              <w:t xml:space="preserve"> Contract, and this definition shall apply to this Schedule  in place of the definition of Supplier Staff in </w:t>
            </w:r>
            <w:r>
              <w:t xml:space="preserve">Joint </w:t>
            </w:r>
            <w:r w:rsidRPr="00A25FAB">
              <w:t xml:space="preserve">Schedule 1 </w:t>
            </w:r>
            <w:r w:rsidRPr="00A25FAB">
              <w:rPr>
                <w:i/>
              </w:rPr>
              <w:t>(Definitions)</w:t>
            </w:r>
            <w:r>
              <w:t>;</w:t>
            </w:r>
          </w:p>
        </w:tc>
      </w:tr>
      <w:tr w:rsidR="002F5528" w:rsidRPr="00BA5253" w14:paraId="075E092D" w14:textId="77777777" w:rsidTr="00F515B7">
        <w:tc>
          <w:tcPr>
            <w:tcW w:w="2510" w:type="dxa"/>
          </w:tcPr>
          <w:p w14:paraId="085783C0" w14:textId="77777777" w:rsidR="002F5528" w:rsidRPr="00BA5253" w:rsidRDefault="002F5528" w:rsidP="005C5B5E">
            <w:pPr>
              <w:pStyle w:val="MarginText"/>
              <w:spacing w:before="120" w:after="120"/>
              <w:rPr>
                <w:b/>
                <w:bCs/>
              </w:rPr>
            </w:pPr>
            <w:r w:rsidRPr="00BA5253">
              <w:rPr>
                <w:b/>
                <w:bCs/>
              </w:rPr>
              <w:t>“Third-party Tool”</w:t>
            </w:r>
          </w:p>
        </w:tc>
        <w:tc>
          <w:tcPr>
            <w:tcW w:w="6404" w:type="dxa"/>
          </w:tcPr>
          <w:p w14:paraId="206615C6" w14:textId="38F3FF10" w:rsidR="002F5528" w:rsidRPr="00BA5253" w:rsidRDefault="002F5528" w:rsidP="005C5B5E">
            <w:pPr>
              <w:pStyle w:val="MarginText"/>
              <w:spacing w:before="120" w:after="120"/>
            </w:pPr>
            <w:r w:rsidRPr="00BA5253">
              <w:t>means any software used by the Supplier by which the Government Data is accessed, analysed or modified, or some form of operation is performed on it;</w:t>
            </w:r>
            <w:r w:rsidR="004B1C33">
              <w:t xml:space="preserve"> and</w:t>
            </w:r>
          </w:p>
        </w:tc>
      </w:tr>
      <w:tr w:rsidR="002F5528" w:rsidRPr="00BA5253" w14:paraId="0C51626C" w14:textId="77777777" w:rsidTr="00F515B7">
        <w:tc>
          <w:tcPr>
            <w:tcW w:w="2510" w:type="dxa"/>
          </w:tcPr>
          <w:p w14:paraId="1D58F912" w14:textId="77777777" w:rsidR="002F5528" w:rsidRPr="00BA5253" w:rsidRDefault="002F5528" w:rsidP="005C5B5E">
            <w:pPr>
              <w:pStyle w:val="MarginText"/>
              <w:spacing w:before="120" w:after="120"/>
              <w:rPr>
                <w:b/>
                <w:bCs/>
              </w:rPr>
            </w:pPr>
            <w:r w:rsidRPr="00BA5253">
              <w:rPr>
                <w:b/>
                <w:bCs/>
              </w:rPr>
              <w:t>UKAS-recognised Certification Body</w:t>
            </w:r>
          </w:p>
        </w:tc>
        <w:tc>
          <w:tcPr>
            <w:tcW w:w="6404" w:type="dxa"/>
          </w:tcPr>
          <w:p w14:paraId="7957DB03" w14:textId="77777777" w:rsidR="002F5528" w:rsidRPr="00BA5253" w:rsidRDefault="002F5528" w:rsidP="005C5B5E">
            <w:pPr>
              <w:pStyle w:val="MarginText"/>
              <w:spacing w:before="120" w:after="120"/>
            </w:pPr>
            <w:r w:rsidRPr="00BA5253">
              <w:t>means:</w:t>
            </w:r>
          </w:p>
          <w:p w14:paraId="3A79FA20" w14:textId="77777777" w:rsidR="002F5528" w:rsidRPr="00BA5253" w:rsidRDefault="002F5528" w:rsidP="005C5B5E">
            <w:pPr>
              <w:pStyle w:val="DefinitionNumbering1"/>
              <w:numPr>
                <w:ilvl w:val="2"/>
                <w:numId w:val="39"/>
              </w:numPr>
              <w:spacing w:before="120" w:after="120"/>
              <w:ind w:left="720"/>
            </w:pPr>
            <w:r w:rsidRPr="00BA5253">
              <w:t>an organisation accredited by UKAS to provide certification of ISO/IEC27001:2013 and/or ISO/IEC27001:2022; or</w:t>
            </w:r>
          </w:p>
          <w:p w14:paraId="747D7729" w14:textId="300B11ED" w:rsidR="002F5528" w:rsidRPr="00BA5253" w:rsidRDefault="002F5528" w:rsidP="005C5B5E">
            <w:pPr>
              <w:pStyle w:val="DefinitionNumbering1"/>
              <w:numPr>
                <w:ilvl w:val="2"/>
                <w:numId w:val="39"/>
              </w:numPr>
              <w:tabs>
                <w:tab w:val="clear" w:pos="1440"/>
                <w:tab w:val="num" w:pos="730"/>
              </w:tabs>
              <w:spacing w:before="120" w:after="120"/>
              <w:ind w:left="730" w:hanging="709"/>
            </w:pPr>
            <w:r w:rsidRPr="00BA5253">
              <w:t xml:space="preserve">an organisation accredited to provide certification of ISO/IEC27001:2013 and/or ISO/IEC27001:2022 by a body with the equivalent functions as UKAS in a state with which the UK has a mutual recognition </w:t>
            </w:r>
            <w:r w:rsidRPr="00BA5253">
              <w:lastRenderedPageBreak/>
              <w:t>agreement recognising the technical equivalence of accredited conformity assessment.</w:t>
            </w:r>
          </w:p>
        </w:tc>
      </w:tr>
    </w:tbl>
    <w:p w14:paraId="16952872" w14:textId="1F59194E" w:rsidR="0068748B" w:rsidRPr="00BA5253" w:rsidRDefault="0068748B" w:rsidP="005C5B5E">
      <w:pPr>
        <w:pStyle w:val="Heading1"/>
        <w:pageBreakBefore/>
        <w:numPr>
          <w:ilvl w:val="0"/>
          <w:numId w:val="0"/>
        </w:numPr>
        <w:spacing w:before="120" w:after="120"/>
        <w:ind w:left="720" w:hanging="720"/>
        <w:jc w:val="center"/>
      </w:pPr>
      <w:bookmarkStart w:id="9" w:name="_Ref112161559"/>
      <w:bookmarkStart w:id="10" w:name="_Toc112990240"/>
      <w:bookmarkStart w:id="11" w:name="_Ref114493581"/>
      <w:r w:rsidRPr="00BA5253">
        <w:lastRenderedPageBreak/>
        <w:t>Part One: Core Requirements</w:t>
      </w:r>
    </w:p>
    <w:p w14:paraId="31C58839" w14:textId="10DCD952" w:rsidR="009013D7" w:rsidRPr="00BA5253" w:rsidRDefault="005551EB" w:rsidP="005C5B5E">
      <w:pPr>
        <w:pStyle w:val="Heading1"/>
        <w:spacing w:before="120" w:after="120"/>
      </w:pPr>
      <w:r w:rsidRPr="00BA5253">
        <w:t>Handling</w:t>
      </w:r>
      <w:r w:rsidR="009013D7" w:rsidRPr="00BA5253">
        <w:t xml:space="preserve"> Government Data</w:t>
      </w:r>
    </w:p>
    <w:p w14:paraId="6059D5F0" w14:textId="70A3142F" w:rsidR="009013D7" w:rsidRPr="00BA5253" w:rsidRDefault="009013D7" w:rsidP="005C5B5E">
      <w:pPr>
        <w:pStyle w:val="Heading2"/>
        <w:spacing w:before="120" w:after="120"/>
      </w:pPr>
      <w:r w:rsidRPr="00BA5253">
        <w:t>The Supplier acknowledges that it:</w:t>
      </w:r>
    </w:p>
    <w:p w14:paraId="2BA25632" w14:textId="6C2D1634" w:rsidR="009013D7" w:rsidRPr="00BA5253" w:rsidRDefault="009013D7" w:rsidP="005C5B5E">
      <w:pPr>
        <w:pStyle w:val="Heading3"/>
        <w:spacing w:before="120" w:after="120"/>
      </w:pPr>
      <w:r w:rsidRPr="00BA5253">
        <w:t xml:space="preserve">must only </w:t>
      </w:r>
      <w:r w:rsidR="002D0410" w:rsidRPr="00BA5253">
        <w:t>Handle</w:t>
      </w:r>
      <w:r w:rsidRPr="00BA5253">
        <w:t xml:space="preserve"> Government Data that is classified as OFFICIAL; and</w:t>
      </w:r>
    </w:p>
    <w:p w14:paraId="1EF9DFD4" w14:textId="27061644" w:rsidR="009013D7" w:rsidRPr="00BA5253" w:rsidRDefault="009013D7" w:rsidP="005C5B5E">
      <w:pPr>
        <w:pStyle w:val="Heading3"/>
        <w:spacing w:before="120" w:after="120"/>
      </w:pPr>
      <w:r w:rsidRPr="00BA5253">
        <w:t xml:space="preserve">must not </w:t>
      </w:r>
      <w:r w:rsidR="002D0410" w:rsidRPr="00BA5253">
        <w:t>Handle</w:t>
      </w:r>
      <w:r w:rsidRPr="00BA5253">
        <w:t xml:space="preserve"> Government Data that is classified as SECRET of TOP SECRET.</w:t>
      </w:r>
    </w:p>
    <w:p w14:paraId="24705944" w14:textId="77777777" w:rsidR="009013D7" w:rsidRPr="00BA5253" w:rsidRDefault="009013D7" w:rsidP="005C5B5E">
      <w:pPr>
        <w:pStyle w:val="Heading2"/>
        <w:spacing w:before="120" w:after="120"/>
      </w:pPr>
      <w:r w:rsidRPr="00BA5253">
        <w:t>The Supplier must:</w:t>
      </w:r>
    </w:p>
    <w:p w14:paraId="051D5A27" w14:textId="649A8678" w:rsidR="009013D7" w:rsidRPr="00BA5253" w:rsidRDefault="009013D7" w:rsidP="005C5B5E">
      <w:pPr>
        <w:pStyle w:val="Heading3"/>
        <w:spacing w:before="120" w:after="120"/>
      </w:pPr>
      <w:r w:rsidRPr="00BA5253">
        <w:t>not alter the classification of any Government Data</w:t>
      </w:r>
      <w:r w:rsidR="00586A00">
        <w:t>; and</w:t>
      </w:r>
    </w:p>
    <w:p w14:paraId="5218327B" w14:textId="38550B77" w:rsidR="009013D7" w:rsidRPr="00BA5253" w:rsidRDefault="009013D7" w:rsidP="005C5B5E">
      <w:pPr>
        <w:pStyle w:val="Heading3"/>
        <w:spacing w:before="120" w:after="120"/>
      </w:pPr>
      <w:r w:rsidRPr="00BA5253">
        <w:t xml:space="preserve">if it becomes aware that it has </w:t>
      </w:r>
      <w:r w:rsidR="005551EB" w:rsidRPr="00BA5253">
        <w:t>Handled</w:t>
      </w:r>
      <w:r w:rsidRPr="00BA5253">
        <w:t xml:space="preserve"> any Government Data classified as SECRET or TOP SECRET the Supplier must:</w:t>
      </w:r>
    </w:p>
    <w:p w14:paraId="055567E3" w14:textId="5DF394AD" w:rsidR="009013D7" w:rsidRPr="00BA5253" w:rsidRDefault="009013D7" w:rsidP="005C5B5E">
      <w:pPr>
        <w:pStyle w:val="Heading4"/>
        <w:spacing w:before="120" w:after="120"/>
      </w:pPr>
      <w:r w:rsidRPr="00BA5253">
        <w:t>immediately inform the Buyer; and</w:t>
      </w:r>
    </w:p>
    <w:p w14:paraId="387F22B7" w14:textId="792C72AF" w:rsidR="009013D7" w:rsidRPr="00BA5253" w:rsidRDefault="009013D7" w:rsidP="005C5B5E">
      <w:pPr>
        <w:pStyle w:val="Heading4"/>
        <w:spacing w:before="120" w:after="120"/>
      </w:pPr>
      <w:r w:rsidRPr="00BA5253">
        <w:t>follow any instructions from the Buyer concerning that Government Data.</w:t>
      </w:r>
    </w:p>
    <w:p w14:paraId="0063A99D" w14:textId="5AD76BBB" w:rsidR="009013D7" w:rsidRPr="00BA5253" w:rsidRDefault="009013D7" w:rsidP="005C5B5E">
      <w:pPr>
        <w:pStyle w:val="Heading2"/>
        <w:spacing w:before="120" w:after="120"/>
      </w:pPr>
      <w:r w:rsidRPr="00BA5253">
        <w:t xml:space="preserve">The Supplier must, and must ensure that </w:t>
      </w:r>
      <w:r w:rsidR="00F515B7">
        <w:t>Sub-contractor</w:t>
      </w:r>
      <w:r w:rsidRPr="00BA5253">
        <w:t xml:space="preserve">s and Supplier </w:t>
      </w:r>
      <w:r w:rsidR="00AA36A5" w:rsidRPr="00BA5253">
        <w:t>Staff</w:t>
      </w:r>
      <w:r w:rsidRPr="00BA5253">
        <w:t xml:space="preserve">, when </w:t>
      </w:r>
      <w:r w:rsidR="005551EB" w:rsidRPr="00BA5253">
        <w:t>Handling</w:t>
      </w:r>
      <w:r w:rsidRPr="00BA5253">
        <w:t xml:space="preserve"> </w:t>
      </w:r>
      <w:r w:rsidR="006D5B7B" w:rsidRPr="00BA5253">
        <w:t>Government Data</w:t>
      </w:r>
      <w:r w:rsidRPr="00BA5253">
        <w:t>, comply with:</w:t>
      </w:r>
    </w:p>
    <w:p w14:paraId="0A6EAB6E" w14:textId="77777777" w:rsidR="009013D7" w:rsidRPr="00BA5253" w:rsidRDefault="009013D7" w:rsidP="005C5B5E">
      <w:pPr>
        <w:pStyle w:val="Heading3"/>
        <w:spacing w:before="120" w:after="120"/>
      </w:pPr>
      <w:r w:rsidRPr="00BA5253">
        <w:t>the Expected Behaviours; and</w:t>
      </w:r>
    </w:p>
    <w:p w14:paraId="52B341B3" w14:textId="77777777" w:rsidR="009013D7" w:rsidRPr="00BA5253" w:rsidRDefault="009013D7" w:rsidP="005C5B5E">
      <w:pPr>
        <w:pStyle w:val="Heading3"/>
        <w:spacing w:before="120" w:after="120"/>
      </w:pPr>
      <w:r w:rsidRPr="00BA5253">
        <w:t>the Security Controls.</w:t>
      </w:r>
    </w:p>
    <w:p w14:paraId="616474B2" w14:textId="1DB72863" w:rsidR="00AE5FDD" w:rsidRPr="00BA5253" w:rsidRDefault="00AE5FDD" w:rsidP="005C5B5E">
      <w:pPr>
        <w:pStyle w:val="Heading1"/>
        <w:spacing w:before="120" w:after="120"/>
      </w:pPr>
      <w:bookmarkStart w:id="12" w:name="_Ref115347123"/>
      <w:r w:rsidRPr="00BA5253">
        <w:t>Certification Requirements</w:t>
      </w:r>
      <w:bookmarkEnd w:id="9"/>
      <w:bookmarkEnd w:id="10"/>
      <w:bookmarkEnd w:id="11"/>
      <w:bookmarkEnd w:id="12"/>
    </w:p>
    <w:p w14:paraId="38E07AE2" w14:textId="79471E63" w:rsidR="0068748B" w:rsidRPr="00BA5253" w:rsidRDefault="0068748B" w:rsidP="005C5B5E">
      <w:pPr>
        <w:pStyle w:val="Heading2"/>
        <w:spacing w:before="120" w:after="120"/>
      </w:pPr>
      <w:r w:rsidRPr="00BA5253">
        <w:t xml:space="preserve">Where the </w:t>
      </w:r>
      <w:r w:rsidR="00A52257" w:rsidRPr="00BA5253">
        <w:t>Buyer</w:t>
      </w:r>
      <w:r w:rsidRPr="00BA5253">
        <w:t xml:space="preserve"> has not specified Certifications under Paragraph </w:t>
      </w:r>
      <w:r w:rsidR="002776B1" w:rsidRPr="00BA5253">
        <w:fldChar w:fldCharType="begin"/>
      </w:r>
      <w:r w:rsidR="002776B1" w:rsidRPr="00BA5253">
        <w:instrText xml:space="preserve"> REF _Ref176527845 \r \h </w:instrText>
      </w:r>
      <w:r w:rsidR="00BA5253" w:rsidRPr="00BA5253">
        <w:instrText xml:space="preserve"> \* MERGEFORMAT </w:instrText>
      </w:r>
      <w:r w:rsidR="002776B1" w:rsidRPr="00BA5253">
        <w:fldChar w:fldCharType="separate"/>
      </w:r>
      <w:r w:rsidR="005C5B5E">
        <w:t>1</w:t>
      </w:r>
      <w:r w:rsidR="002776B1" w:rsidRPr="00BA5253">
        <w:fldChar w:fldCharType="end"/>
      </w:r>
      <w:r w:rsidRPr="00BA5253">
        <w:t xml:space="preserve">, the Supplier must ensure that it and any </w:t>
      </w:r>
      <w:r w:rsidR="00F515B7">
        <w:t>Sub-contractor</w:t>
      </w:r>
      <w:r w:rsidRPr="00BA5253">
        <w:t xml:space="preserve">s that </w:t>
      </w:r>
      <w:r w:rsidR="002D0410" w:rsidRPr="00BA5253">
        <w:t>Handle</w:t>
      </w:r>
      <w:r w:rsidRPr="00BA5253">
        <w:t xml:space="preserve"> </w:t>
      </w:r>
      <w:r w:rsidR="00BC37A8" w:rsidRPr="00BA5253">
        <w:t>Government Data</w:t>
      </w:r>
      <w:r w:rsidRPr="00BA5253">
        <w:t xml:space="preserve"> are certified as compliant with Cyber Essentials</w:t>
      </w:r>
      <w:r w:rsidR="009013D7" w:rsidRPr="00BA5253">
        <w:t xml:space="preserve"> (or equivalent)</w:t>
      </w:r>
      <w:r w:rsidRPr="00BA5253">
        <w:t>.</w:t>
      </w:r>
    </w:p>
    <w:p w14:paraId="65DDC613" w14:textId="76F59CB6" w:rsidR="00AE5FDD" w:rsidRPr="00BA5253" w:rsidRDefault="0068748B" w:rsidP="005C5B5E">
      <w:pPr>
        <w:pStyle w:val="Heading2"/>
        <w:spacing w:before="120" w:after="120"/>
      </w:pPr>
      <w:r w:rsidRPr="00BA5253">
        <w:t xml:space="preserve">Where the </w:t>
      </w:r>
      <w:r w:rsidR="00A52257" w:rsidRPr="00BA5253">
        <w:t>Buyer</w:t>
      </w:r>
      <w:r w:rsidRPr="00BA5253">
        <w:t xml:space="preserve"> has specified Certifications under Paragraph </w:t>
      </w:r>
      <w:r w:rsidR="002776B1" w:rsidRPr="00BA5253">
        <w:t>1</w:t>
      </w:r>
      <w:r w:rsidR="00381B4C" w:rsidRPr="00BA5253">
        <w:t xml:space="preserve">, </w:t>
      </w:r>
      <w:r w:rsidRPr="00BA5253">
        <w:t>t</w:t>
      </w:r>
      <w:r w:rsidR="00AE5FDD" w:rsidRPr="00BA5253">
        <w:t>he Supplier must ensure that</w:t>
      </w:r>
      <w:r w:rsidRPr="00BA5253">
        <w:t xml:space="preserve"> </w:t>
      </w:r>
      <w:r w:rsidR="00AE5FDD" w:rsidRPr="00BA5253">
        <w:t>both:</w:t>
      </w:r>
    </w:p>
    <w:p w14:paraId="0804B8F2" w14:textId="77777777" w:rsidR="00AE5FDD" w:rsidRPr="00BA5253" w:rsidRDefault="00AE5FDD" w:rsidP="005C5B5E">
      <w:pPr>
        <w:pStyle w:val="Heading3"/>
      </w:pPr>
      <w:r w:rsidRPr="00BA5253">
        <w:t>it; and</w:t>
      </w:r>
    </w:p>
    <w:p w14:paraId="3837E0EC" w14:textId="2276FB54" w:rsidR="00AE5FDD" w:rsidRPr="00BA5253" w:rsidRDefault="00AE5FDD" w:rsidP="005C5B5E">
      <w:pPr>
        <w:pStyle w:val="Heading3"/>
        <w:spacing w:before="120" w:after="120"/>
      </w:pPr>
      <w:r w:rsidRPr="00BA5253">
        <w:t xml:space="preserve">any </w:t>
      </w:r>
      <w:r w:rsidR="00F515B7">
        <w:t>Sub-contractor</w:t>
      </w:r>
      <w:r w:rsidRPr="00BA5253">
        <w:t xml:space="preserve"> that </w:t>
      </w:r>
      <w:r w:rsidR="005551EB" w:rsidRPr="00BA5253">
        <w:t>Handles</w:t>
      </w:r>
      <w:r w:rsidRPr="00BA5253">
        <w:t xml:space="preserve"> </w:t>
      </w:r>
      <w:r w:rsidR="00BC37A8" w:rsidRPr="00BA5253">
        <w:t>Government Data</w:t>
      </w:r>
      <w:r w:rsidRPr="00BA5253">
        <w:t>,</w:t>
      </w:r>
    </w:p>
    <w:p w14:paraId="52BCA2BD" w14:textId="10DA5448" w:rsidR="00AE5FDD" w:rsidRPr="00BA5253" w:rsidRDefault="00AE5FDD" w:rsidP="005C5B5E">
      <w:pPr>
        <w:pStyle w:val="Heading2"/>
        <w:numPr>
          <w:ilvl w:val="0"/>
          <w:numId w:val="0"/>
        </w:numPr>
        <w:spacing w:before="120" w:after="120"/>
        <w:ind w:left="720"/>
      </w:pPr>
      <w:r w:rsidRPr="00BA5253">
        <w:t>are certified as compliant with the Certifications</w:t>
      </w:r>
      <w:r w:rsidR="001B3A23" w:rsidRPr="00BA5253">
        <w:t xml:space="preserve"> specified by the </w:t>
      </w:r>
      <w:r w:rsidR="00A52257" w:rsidRPr="00BA5253">
        <w:t>Buyer</w:t>
      </w:r>
      <w:r w:rsidR="001B3A23" w:rsidRPr="00BA5253">
        <w:t xml:space="preserve"> in Paragraph </w:t>
      </w:r>
      <w:r w:rsidR="00E427AA" w:rsidRPr="00BA5253">
        <w:t xml:space="preserve">1 </w:t>
      </w:r>
      <w:r w:rsidR="009013D7" w:rsidRPr="00BA5253">
        <w:t>(or equivalent certifications).</w:t>
      </w:r>
    </w:p>
    <w:p w14:paraId="3D264576" w14:textId="49949923" w:rsidR="00F0325C" w:rsidRPr="00BA5253" w:rsidRDefault="00F0325C" w:rsidP="005C5B5E">
      <w:pPr>
        <w:pStyle w:val="Heading2"/>
        <w:spacing w:before="120" w:after="120"/>
      </w:pPr>
      <w:r w:rsidRPr="00BA5253">
        <w:t xml:space="preserve">The Supplier must ensure that the </w:t>
      </w:r>
      <w:r w:rsidR="0068748B" w:rsidRPr="00BA5253">
        <w:t>specified</w:t>
      </w:r>
      <w:r w:rsidRPr="00BA5253">
        <w:t xml:space="preserve"> Certifications </w:t>
      </w:r>
      <w:r w:rsidR="009013D7" w:rsidRPr="00BA5253">
        <w:t>(</w:t>
      </w:r>
      <w:r w:rsidR="00D37DD1" w:rsidRPr="00BA5253">
        <w:t>o</w:t>
      </w:r>
      <w:r w:rsidR="009013D7" w:rsidRPr="00BA5253">
        <w:t xml:space="preserve">r their equivalent) </w:t>
      </w:r>
      <w:r w:rsidRPr="00BA5253">
        <w:t xml:space="preserve">are in place for it and any relevant </w:t>
      </w:r>
      <w:r w:rsidR="00F515B7">
        <w:t>Sub-contractor</w:t>
      </w:r>
      <w:r w:rsidRPr="00BA5253">
        <w:t>:</w:t>
      </w:r>
    </w:p>
    <w:p w14:paraId="004391C5" w14:textId="64C3A276" w:rsidR="00F0325C" w:rsidRPr="00BA5253" w:rsidRDefault="00F0325C" w:rsidP="005C5B5E">
      <w:pPr>
        <w:pStyle w:val="Heading3"/>
        <w:spacing w:before="120" w:after="120"/>
      </w:pPr>
      <w:r w:rsidRPr="00BA5253">
        <w:t xml:space="preserve">before the Supplier or any </w:t>
      </w:r>
      <w:r w:rsidR="00F515B7">
        <w:t>Sub-contractor</w:t>
      </w:r>
      <w:r w:rsidRPr="00BA5253">
        <w:t xml:space="preserve"> </w:t>
      </w:r>
      <w:r w:rsidR="005551EB" w:rsidRPr="00BA5253">
        <w:t>Handles</w:t>
      </w:r>
      <w:r w:rsidRPr="00BA5253">
        <w:t xml:space="preserve"> </w:t>
      </w:r>
      <w:r w:rsidR="00BC37A8" w:rsidRPr="00BA5253">
        <w:t>Government Data</w:t>
      </w:r>
      <w:r w:rsidRPr="00BA5253">
        <w:t>; and</w:t>
      </w:r>
    </w:p>
    <w:p w14:paraId="3B3BD423" w14:textId="403C8566" w:rsidR="00F0325C" w:rsidRPr="00BA5253" w:rsidRDefault="00F0325C" w:rsidP="005C5B5E">
      <w:pPr>
        <w:pStyle w:val="Heading3"/>
        <w:spacing w:before="120" w:after="120"/>
      </w:pPr>
      <w:r w:rsidRPr="00BA5253">
        <w:t xml:space="preserve">throughout the </w:t>
      </w:r>
      <w:r w:rsidR="00F515B7">
        <w:t>Contract Period</w:t>
      </w:r>
      <w:r w:rsidRPr="00BA5253">
        <w:t>.</w:t>
      </w:r>
    </w:p>
    <w:p w14:paraId="751EA959" w14:textId="7965DD15" w:rsidR="001B3A23" w:rsidRPr="00BA5253" w:rsidRDefault="001B3A23" w:rsidP="005C5B5E">
      <w:pPr>
        <w:pStyle w:val="Heading1"/>
        <w:spacing w:before="120" w:after="120"/>
      </w:pPr>
      <w:bookmarkStart w:id="13" w:name="_Ref115273934"/>
      <w:r w:rsidRPr="00BA5253">
        <w:t>Location</w:t>
      </w:r>
      <w:bookmarkEnd w:id="13"/>
    </w:p>
    <w:p w14:paraId="6C949ACE" w14:textId="6CD66F8C" w:rsidR="009013D7" w:rsidRPr="00BA5253" w:rsidRDefault="0068748B" w:rsidP="005C5B5E">
      <w:pPr>
        <w:pStyle w:val="Heading2"/>
        <w:tabs>
          <w:tab w:val="clear" w:pos="720"/>
        </w:tabs>
        <w:spacing w:before="120" w:after="120"/>
      </w:pPr>
      <w:r w:rsidRPr="00BA5253">
        <w:t xml:space="preserve">Where the </w:t>
      </w:r>
      <w:r w:rsidR="00A52257" w:rsidRPr="00BA5253">
        <w:t>Buyer</w:t>
      </w:r>
      <w:r w:rsidRPr="00BA5253">
        <w:t xml:space="preserve"> has not specified any locations or territories in Paragraph </w:t>
      </w:r>
      <w:r w:rsidR="00E427AA" w:rsidRPr="00BA5253">
        <w:t>1</w:t>
      </w:r>
      <w:r w:rsidRPr="00BA5253">
        <w:t xml:space="preserve">, the Supplier must not, and ensure that </w:t>
      </w:r>
      <w:r w:rsidR="00F515B7">
        <w:t>Sub-contractor</w:t>
      </w:r>
      <w:r w:rsidRPr="00BA5253">
        <w:t xml:space="preserve">s do not store, access or </w:t>
      </w:r>
      <w:r w:rsidR="002D0410" w:rsidRPr="00BA5253">
        <w:t>Handle</w:t>
      </w:r>
      <w:r w:rsidRPr="00BA5253">
        <w:t xml:space="preserve"> </w:t>
      </w:r>
      <w:r w:rsidR="00BC37A8" w:rsidRPr="00BA5253">
        <w:t>Government Data</w:t>
      </w:r>
      <w:r w:rsidRPr="00BA5253">
        <w:t xml:space="preserve"> outside</w:t>
      </w:r>
      <w:r w:rsidR="009013D7" w:rsidRPr="00BA5253">
        <w:t>:</w:t>
      </w:r>
    </w:p>
    <w:p w14:paraId="1DD9B36E" w14:textId="77777777" w:rsidR="009013D7" w:rsidRPr="00BA5253" w:rsidRDefault="0068748B" w:rsidP="005C5B5E">
      <w:pPr>
        <w:pStyle w:val="Heading3"/>
        <w:spacing w:before="120" w:after="120"/>
      </w:pPr>
      <w:r w:rsidRPr="00BA5253">
        <w:t>the United Kingdom</w:t>
      </w:r>
      <w:r w:rsidR="009013D7" w:rsidRPr="00BA5253">
        <w:t>; or</w:t>
      </w:r>
    </w:p>
    <w:p w14:paraId="149B3CD5" w14:textId="42C8ABCE" w:rsidR="0068748B" w:rsidRPr="00BA5253" w:rsidRDefault="009013D7" w:rsidP="005C5B5E">
      <w:pPr>
        <w:pStyle w:val="Heading3"/>
        <w:spacing w:before="120" w:after="120"/>
      </w:pPr>
      <w:r w:rsidRPr="00BA5253">
        <w:lastRenderedPageBreak/>
        <w:t>a location permitted by and in accordance with any regulations for the time being in force made under section 17A of the Data Protection Act 2018 (adequacy decisions by the Secretary of State)</w:t>
      </w:r>
      <w:r w:rsidR="0068748B" w:rsidRPr="00BA5253">
        <w:t>.</w:t>
      </w:r>
    </w:p>
    <w:p w14:paraId="45EBADE8" w14:textId="7982315C" w:rsidR="001B3A23" w:rsidRPr="00BA5253" w:rsidRDefault="0068748B" w:rsidP="005C5B5E">
      <w:pPr>
        <w:pStyle w:val="Heading2"/>
        <w:tabs>
          <w:tab w:val="clear" w:pos="720"/>
        </w:tabs>
        <w:spacing w:before="120" w:after="120"/>
      </w:pPr>
      <w:r w:rsidRPr="00BA5253">
        <w:t xml:space="preserve">Where the </w:t>
      </w:r>
      <w:r w:rsidR="00A52257" w:rsidRPr="00BA5253">
        <w:t>Buyer</w:t>
      </w:r>
      <w:r w:rsidRPr="00BA5253">
        <w:t xml:space="preserve"> has specified locations or territories in Paragraph </w:t>
      </w:r>
      <w:r w:rsidR="00E427AA" w:rsidRPr="00BA5253">
        <w:t>1</w:t>
      </w:r>
      <w:r w:rsidR="001B3A23" w:rsidRPr="00BA5253">
        <w:t xml:space="preserve">, the Supplier must, and ensure that </w:t>
      </w:r>
      <w:r w:rsidR="006B1C83" w:rsidRPr="00BA5253">
        <w:t>all</w:t>
      </w:r>
      <w:r w:rsidR="001B3A23" w:rsidRPr="00BA5253">
        <w:t xml:space="preserve"> </w:t>
      </w:r>
      <w:r w:rsidR="00F515B7">
        <w:t>Sub-contractor</w:t>
      </w:r>
      <w:r w:rsidR="001B3A23" w:rsidRPr="00BA5253">
        <w:t xml:space="preserve">s, at all times store, access or </w:t>
      </w:r>
      <w:r w:rsidR="002D0410" w:rsidRPr="00BA5253">
        <w:t>Handle</w:t>
      </w:r>
      <w:r w:rsidR="001B3A23" w:rsidRPr="00BA5253">
        <w:t xml:space="preserve"> </w:t>
      </w:r>
      <w:r w:rsidR="00BC37A8" w:rsidRPr="00BA5253">
        <w:t>Government Data</w:t>
      </w:r>
      <w:r w:rsidR="001B3A23" w:rsidRPr="00BA5253">
        <w:t xml:space="preserve"> only in or from the geographic areas </w:t>
      </w:r>
      <w:r w:rsidRPr="00BA5253">
        <w:t>specified</w:t>
      </w:r>
      <w:r w:rsidR="001B3A23" w:rsidRPr="00BA5253">
        <w:t xml:space="preserve"> by the </w:t>
      </w:r>
      <w:r w:rsidR="00A52257" w:rsidRPr="00BA5253">
        <w:t>Buyer</w:t>
      </w:r>
      <w:r w:rsidR="001B3A23" w:rsidRPr="00BA5253">
        <w:t>.</w:t>
      </w:r>
    </w:p>
    <w:p w14:paraId="48D85E26" w14:textId="12AC9F05" w:rsidR="001B3A23" w:rsidRPr="00BA5253" w:rsidRDefault="0014060C" w:rsidP="005C5B5E">
      <w:pPr>
        <w:pStyle w:val="Heading2"/>
        <w:tabs>
          <w:tab w:val="clear" w:pos="720"/>
        </w:tabs>
        <w:spacing w:before="120" w:after="120"/>
      </w:pPr>
      <w:r w:rsidRPr="00BA5253">
        <w:t>T</w:t>
      </w:r>
      <w:r w:rsidR="001B3A23" w:rsidRPr="00BA5253">
        <w:t xml:space="preserve">he Supplier must, and must ensure that its </w:t>
      </w:r>
      <w:r w:rsidR="00F515B7">
        <w:t>Sub-contractor</w:t>
      </w:r>
      <w:r w:rsidR="001B3A23" w:rsidRPr="00BA5253">
        <w:t xml:space="preserve">s </w:t>
      </w:r>
      <w:bookmarkStart w:id="14" w:name="_Ref103698893"/>
      <w:r w:rsidR="001B3A23" w:rsidRPr="00BA5253">
        <w:t xml:space="preserve">store, access or </w:t>
      </w:r>
      <w:r w:rsidR="002D0410" w:rsidRPr="00BA5253">
        <w:t>Handle</w:t>
      </w:r>
      <w:r w:rsidR="001B3A23" w:rsidRPr="00BA5253">
        <w:t xml:space="preserve"> </w:t>
      </w:r>
      <w:r w:rsidR="00BC37A8" w:rsidRPr="00BA5253">
        <w:t>Government Data</w:t>
      </w:r>
      <w:r w:rsidR="001B3A23" w:rsidRPr="00BA5253">
        <w:t xml:space="preserve"> in a facility operated by an entity where:</w:t>
      </w:r>
      <w:bookmarkEnd w:id="14"/>
    </w:p>
    <w:p w14:paraId="2FA0B88A" w14:textId="035D3B64" w:rsidR="001B3A23" w:rsidRPr="00BA5253" w:rsidRDefault="001B3A23" w:rsidP="005C5B5E">
      <w:pPr>
        <w:pStyle w:val="Heading3"/>
        <w:spacing w:before="120" w:after="120"/>
      </w:pPr>
      <w:r w:rsidRPr="00BA5253">
        <w:t xml:space="preserve">the entity has entered into a binding agreement with the Supplier or </w:t>
      </w:r>
      <w:r w:rsidR="00F515B7">
        <w:t>Sub-contractor</w:t>
      </w:r>
      <w:r w:rsidRPr="00BA5253">
        <w:t xml:space="preserve"> (as applicable);</w:t>
      </w:r>
    </w:p>
    <w:p w14:paraId="4363E28E" w14:textId="19DF0406" w:rsidR="00DF4AD4" w:rsidRPr="00BA5253" w:rsidRDefault="00DF4AD4" w:rsidP="005C5B5E">
      <w:pPr>
        <w:pStyle w:val="Heading3"/>
        <w:spacing w:before="120" w:after="120"/>
      </w:pPr>
      <w:bookmarkStart w:id="15" w:name="_Hlk116926372"/>
      <w:r w:rsidRPr="00BA5253">
        <w:t>that binding agreement includes obligations on the entity in relation to security management at least a</w:t>
      </w:r>
      <w:r w:rsidR="00FE3962" w:rsidRPr="00BA5253">
        <w:t>s</w:t>
      </w:r>
      <w:r w:rsidRPr="00BA5253">
        <w:t xml:space="preserve"> onerous as those relating to </w:t>
      </w:r>
      <w:r w:rsidR="00F515B7">
        <w:t>Sub-contractor</w:t>
      </w:r>
      <w:r w:rsidRPr="00BA5253">
        <w:t xml:space="preserve">s in this </w:t>
      </w:r>
      <w:r w:rsidR="00BA5253" w:rsidRPr="00BA5253">
        <w:t>Schedule</w:t>
      </w:r>
      <w:r w:rsidRPr="00BA5253">
        <w:t>;</w:t>
      </w:r>
    </w:p>
    <w:bookmarkEnd w:id="15"/>
    <w:p w14:paraId="2122398E" w14:textId="1F393BD9" w:rsidR="001250F5" w:rsidRPr="00BA5253" w:rsidRDefault="001B3A23" w:rsidP="005C5B5E">
      <w:pPr>
        <w:pStyle w:val="Heading3"/>
        <w:spacing w:before="120" w:after="120"/>
      </w:pPr>
      <w:r w:rsidRPr="00BA5253">
        <w:t xml:space="preserve">the Supplier or </w:t>
      </w:r>
      <w:r w:rsidR="00F515B7">
        <w:t>Sub-contractor</w:t>
      </w:r>
      <w:r w:rsidRPr="00BA5253">
        <w:t xml:space="preserve"> has taken reasonable steps to assure itself that</w:t>
      </w:r>
      <w:r w:rsidR="001250F5" w:rsidRPr="00BA5253">
        <w:t>:</w:t>
      </w:r>
    </w:p>
    <w:p w14:paraId="43D44CB7" w14:textId="0C59FC03" w:rsidR="001B3A23" w:rsidRPr="00BA5253" w:rsidRDefault="001B3A23" w:rsidP="005C5B5E">
      <w:pPr>
        <w:pStyle w:val="Heading4"/>
      </w:pPr>
      <w:r w:rsidRPr="00BA5253">
        <w:t xml:space="preserve">the entity complies with the </w:t>
      </w:r>
      <w:r w:rsidR="00DF4AD4" w:rsidRPr="00BA5253">
        <w:t>binding agreement</w:t>
      </w:r>
      <w:r w:rsidRPr="00BA5253">
        <w:t>;</w:t>
      </w:r>
      <w:r w:rsidR="001250F5" w:rsidRPr="00BA5253">
        <w:t xml:space="preserve"> and</w:t>
      </w:r>
    </w:p>
    <w:p w14:paraId="57C025AF" w14:textId="68919F33" w:rsidR="001250F5" w:rsidRPr="00BA5253" w:rsidRDefault="001250F5" w:rsidP="005C5B5E">
      <w:pPr>
        <w:pStyle w:val="Heading4"/>
        <w:spacing w:before="120" w:after="120"/>
      </w:pPr>
      <w:r w:rsidRPr="00BA5253">
        <w:t xml:space="preserve">the </w:t>
      </w:r>
      <w:r w:rsidR="00F515B7">
        <w:t>Sub-contractor</w:t>
      </w:r>
      <w:r w:rsidRPr="00BA5253">
        <w:t xml:space="preserve">’s system has </w:t>
      </w:r>
      <w:r w:rsidR="000700A0" w:rsidRPr="00BA5253">
        <w:t xml:space="preserve">in place appropriate technical and organisational measures to ensure that the </w:t>
      </w:r>
      <w:r w:rsidR="00F515B7">
        <w:t>Sub-contractor</w:t>
      </w:r>
      <w:r w:rsidR="000700A0" w:rsidRPr="00BA5253">
        <w:t xml:space="preserve"> will store, access, manage and/or </w:t>
      </w:r>
      <w:r w:rsidR="002D0410" w:rsidRPr="00BA5253">
        <w:t>Handle</w:t>
      </w:r>
      <w:r w:rsidR="000700A0" w:rsidRPr="00BA5253">
        <w:t xml:space="preserve"> the </w:t>
      </w:r>
      <w:r w:rsidR="00BC37A8" w:rsidRPr="00BA5253">
        <w:t>Government Data</w:t>
      </w:r>
      <w:r w:rsidR="000700A0" w:rsidRPr="00BA5253">
        <w:t xml:space="preserve"> as required by this </w:t>
      </w:r>
      <w:r w:rsidR="00BA5253" w:rsidRPr="00BA5253">
        <w:t>Schedule</w:t>
      </w:r>
      <w:r w:rsidR="000700A0" w:rsidRPr="00BA5253">
        <w:t>;</w:t>
      </w:r>
    </w:p>
    <w:p w14:paraId="65087F91" w14:textId="3232AC78" w:rsidR="001B3A23" w:rsidRPr="00BA5253" w:rsidRDefault="001B3A23" w:rsidP="005C5B5E">
      <w:pPr>
        <w:pStyle w:val="Heading3"/>
        <w:spacing w:before="120" w:after="120"/>
      </w:pPr>
      <w:r w:rsidRPr="00BA5253">
        <w:t xml:space="preserve">the </w:t>
      </w:r>
      <w:r w:rsidR="00A52257" w:rsidRPr="00BA5253">
        <w:t>Buyer</w:t>
      </w:r>
      <w:r w:rsidRPr="00BA5253">
        <w:t xml:space="preserve"> has not given the Supplier a Prohibition Notice under </w:t>
      </w:r>
      <w:r w:rsidR="00C221C6" w:rsidRPr="00BA5253">
        <w:t>P</w:t>
      </w:r>
      <w:r w:rsidRPr="00BA5253">
        <w:t>aragraph </w:t>
      </w:r>
      <w:r w:rsidR="00C221C6" w:rsidRPr="00BA5253">
        <w:fldChar w:fldCharType="begin"/>
      </w:r>
      <w:r w:rsidR="00C221C6" w:rsidRPr="00BA5253">
        <w:instrText xml:space="preserve"> REF _Ref114494714 \w \h </w:instrText>
      </w:r>
      <w:r w:rsidR="00BA5253" w:rsidRPr="00BA5253">
        <w:instrText xml:space="preserve"> \* MERGEFORMAT </w:instrText>
      </w:r>
      <w:r w:rsidR="00C221C6" w:rsidRPr="00BA5253">
        <w:fldChar w:fldCharType="separate"/>
      </w:r>
      <w:r w:rsidR="005C5B5E">
        <w:t>5.4</w:t>
      </w:r>
      <w:r w:rsidR="00C221C6" w:rsidRPr="00BA5253">
        <w:fldChar w:fldCharType="end"/>
      </w:r>
      <w:r w:rsidRPr="00BA5253">
        <w:t>.</w:t>
      </w:r>
    </w:p>
    <w:p w14:paraId="36452486" w14:textId="35954C75" w:rsidR="001B3A23" w:rsidRPr="00BA5253" w:rsidRDefault="001B3A23" w:rsidP="005C5B5E">
      <w:pPr>
        <w:pStyle w:val="Heading2"/>
        <w:tabs>
          <w:tab w:val="clear" w:pos="720"/>
        </w:tabs>
        <w:spacing w:before="120" w:after="120"/>
      </w:pPr>
      <w:bookmarkStart w:id="16" w:name="_Ref91597331"/>
      <w:bookmarkStart w:id="17" w:name="_Ref114494714"/>
      <w:r w:rsidRPr="00BA5253">
        <w:t xml:space="preserve">The </w:t>
      </w:r>
      <w:r w:rsidR="00A52257" w:rsidRPr="00BA5253">
        <w:t>Buyer</w:t>
      </w:r>
      <w:r w:rsidRPr="00BA5253">
        <w:t xml:space="preserve"> may by notice in writing at any time give notice to the Supplier that it and its </w:t>
      </w:r>
      <w:r w:rsidR="00F515B7">
        <w:t>Sub-contractor</w:t>
      </w:r>
      <w:r w:rsidRPr="00BA5253">
        <w:t xml:space="preserve">s must not undertake or permit to be undertaken the storage, accessing or </w:t>
      </w:r>
      <w:r w:rsidR="005551EB" w:rsidRPr="00BA5253">
        <w:t>Handling</w:t>
      </w:r>
      <w:r w:rsidRPr="00BA5253">
        <w:t xml:space="preserve"> of </w:t>
      </w:r>
      <w:r w:rsidR="00BC37A8" w:rsidRPr="00BA5253">
        <w:t>Government Data</w:t>
      </w:r>
      <w:r w:rsidRPr="00BA5253">
        <w:t xml:space="preserve"> in one or more countries or territories </w:t>
      </w:r>
      <w:bookmarkEnd w:id="16"/>
      <w:r w:rsidRPr="00BA5253">
        <w:t>(a “</w:t>
      </w:r>
      <w:r w:rsidRPr="00BA5253">
        <w:rPr>
          <w:b/>
          <w:bCs/>
        </w:rPr>
        <w:t>Prohibition Notice</w:t>
      </w:r>
      <w:r w:rsidRPr="00BA5253">
        <w:t>”).</w:t>
      </w:r>
      <w:bookmarkEnd w:id="17"/>
    </w:p>
    <w:p w14:paraId="1596FDA7" w14:textId="3257E170" w:rsidR="001B3A23" w:rsidRPr="00BA5253" w:rsidRDefault="001B3A23" w:rsidP="005C5B5E">
      <w:pPr>
        <w:pStyle w:val="Heading2"/>
        <w:tabs>
          <w:tab w:val="clear" w:pos="720"/>
        </w:tabs>
        <w:spacing w:before="120" w:after="120"/>
      </w:pPr>
      <w:r w:rsidRPr="00BA5253">
        <w:t xml:space="preserve">Where the Supplier must and must ensure </w:t>
      </w:r>
      <w:r w:rsidR="00F515B7">
        <w:t>Sub-contractor</w:t>
      </w:r>
      <w:r w:rsidR="009E209B" w:rsidRPr="00BA5253">
        <w:t>s</w:t>
      </w:r>
      <w:r w:rsidRPr="00BA5253">
        <w:t xml:space="preserve"> comply with the requirements of a Prohibition Notice within 40 Working Days of the date of the notice.</w:t>
      </w:r>
    </w:p>
    <w:p w14:paraId="68F8E862" w14:textId="77777777" w:rsidR="0068748B" w:rsidRPr="00BA5253" w:rsidRDefault="0068748B" w:rsidP="005C5B5E">
      <w:pPr>
        <w:pStyle w:val="Heading1"/>
        <w:spacing w:before="120" w:after="120"/>
      </w:pPr>
      <w:bookmarkStart w:id="18" w:name="_Ref115262049"/>
      <w:r w:rsidRPr="00BA5253">
        <w:t>Staff vetting</w:t>
      </w:r>
      <w:bookmarkEnd w:id="18"/>
    </w:p>
    <w:p w14:paraId="3233C006" w14:textId="0E16BFC9" w:rsidR="006405F2" w:rsidRDefault="0068748B" w:rsidP="005C5B5E">
      <w:pPr>
        <w:pStyle w:val="Heading2"/>
        <w:tabs>
          <w:tab w:val="clear" w:pos="720"/>
        </w:tabs>
        <w:spacing w:before="120" w:after="120"/>
      </w:pPr>
      <w:bookmarkStart w:id="19" w:name="_Ref83844395"/>
      <w:r w:rsidRPr="00BA5253">
        <w:t xml:space="preserve">The Supplier must not allow, and must ensure that </w:t>
      </w:r>
      <w:r w:rsidR="00F515B7">
        <w:t>Sub-contractor</w:t>
      </w:r>
      <w:r w:rsidRPr="00BA5253">
        <w:t>s do not allow</w:t>
      </w:r>
      <w:r w:rsidR="00132D42">
        <w:t>,</w:t>
      </w:r>
      <w:r w:rsidRPr="00BA5253">
        <w:t xml:space="preserve"> </w:t>
      </w:r>
      <w:r w:rsidR="00F515B7">
        <w:t>Supplier</w:t>
      </w:r>
      <w:r w:rsidRPr="00BA5253">
        <w:t xml:space="preserve"> </w:t>
      </w:r>
      <w:r w:rsidR="00AA36A5" w:rsidRPr="00BA5253">
        <w:t>Staff</w:t>
      </w:r>
      <w:r w:rsidRPr="00BA5253">
        <w:t xml:space="preserve">, to access or </w:t>
      </w:r>
      <w:r w:rsidR="002D0410" w:rsidRPr="00BA5253">
        <w:t>Handle</w:t>
      </w:r>
      <w:r w:rsidRPr="00BA5253">
        <w:t xml:space="preserve"> </w:t>
      </w:r>
      <w:r w:rsidR="00BC37A8" w:rsidRPr="00BA5253">
        <w:t>Government Data</w:t>
      </w:r>
      <w:r w:rsidR="00731E05" w:rsidRPr="00BA5253">
        <w:t>, if</w:t>
      </w:r>
      <w:r w:rsidR="006405F2" w:rsidRPr="00BA5253">
        <w:t xml:space="preserve"> that person</w:t>
      </w:r>
      <w:r w:rsidR="00132D42">
        <w:t xml:space="preserve"> has not undergone</w:t>
      </w:r>
      <w:r w:rsidR="006405F2" w:rsidRPr="00BA5253">
        <w:t>:</w:t>
      </w:r>
    </w:p>
    <w:bookmarkEnd w:id="19"/>
    <w:p w14:paraId="3A798CB3" w14:textId="2FB0E558" w:rsidR="00731E05" w:rsidRPr="00BA5253" w:rsidRDefault="00731E05" w:rsidP="005C5B5E">
      <w:pPr>
        <w:pStyle w:val="Heading3"/>
      </w:pPr>
      <w:r w:rsidRPr="00BA5253">
        <w:t xml:space="preserve">the checks required for the BPSS to verify: </w:t>
      </w:r>
    </w:p>
    <w:p w14:paraId="64179467" w14:textId="77777777" w:rsidR="00731E05" w:rsidRPr="00BA5253" w:rsidRDefault="00731E05" w:rsidP="005C5B5E">
      <w:pPr>
        <w:pStyle w:val="Heading4"/>
      </w:pPr>
      <w:r w:rsidRPr="00BA5253">
        <w:t>the individual’s identity;</w:t>
      </w:r>
    </w:p>
    <w:p w14:paraId="77A52A67" w14:textId="3E43E247" w:rsidR="00731E05" w:rsidRPr="00BA5253" w:rsidRDefault="00731E05" w:rsidP="005C5B5E">
      <w:pPr>
        <w:pStyle w:val="Heading4"/>
      </w:pPr>
      <w:r w:rsidRPr="00BA5253">
        <w:t xml:space="preserve">where that individual will work in the United Kingdom, the individual’s nationality and immigration status so as to demonstrate that they have a right to work in the United Kingdom; </w:t>
      </w:r>
    </w:p>
    <w:p w14:paraId="16589C58" w14:textId="4462229D" w:rsidR="00731E05" w:rsidRPr="00BA5253" w:rsidRDefault="00731E05" w:rsidP="005C5B5E">
      <w:pPr>
        <w:pStyle w:val="Heading4"/>
      </w:pPr>
      <w:r w:rsidRPr="00BA5253">
        <w:lastRenderedPageBreak/>
        <w:t xml:space="preserve">the individual’s previous employment history; </w:t>
      </w:r>
    </w:p>
    <w:p w14:paraId="6072973C" w14:textId="61DD6A1B" w:rsidR="00731E05" w:rsidRPr="00BA5253" w:rsidRDefault="00731E05" w:rsidP="005C5B5E">
      <w:pPr>
        <w:pStyle w:val="Heading4"/>
      </w:pPr>
      <w:r w:rsidRPr="00BA5253">
        <w:t>that the individual has no Relevant Convictions; and</w:t>
      </w:r>
    </w:p>
    <w:p w14:paraId="628CD7AE" w14:textId="77777777" w:rsidR="00132D42" w:rsidRDefault="00731E05" w:rsidP="005C5B5E">
      <w:pPr>
        <w:pStyle w:val="Heading3"/>
      </w:pPr>
      <w:r w:rsidRPr="00BA5253">
        <w:t xml:space="preserve">national security vetting clearance to the level specified by the </w:t>
      </w:r>
      <w:r w:rsidR="006D5B7B" w:rsidRPr="00BA5253">
        <w:t>Buyer</w:t>
      </w:r>
      <w:r w:rsidRPr="00BA5253">
        <w:t xml:space="preserve"> for such individuals or such roles as the </w:t>
      </w:r>
      <w:r w:rsidR="006D5B7B" w:rsidRPr="00BA5253">
        <w:t>Buyer</w:t>
      </w:r>
      <w:r w:rsidRPr="00BA5253">
        <w:t xml:space="preserve"> may specify</w:t>
      </w:r>
      <w:r w:rsidR="00132D42">
        <w:t>; or</w:t>
      </w:r>
    </w:p>
    <w:p w14:paraId="6AA8E6BE" w14:textId="21942F94" w:rsidR="00731E05" w:rsidRPr="00BA5253" w:rsidRDefault="00132D42" w:rsidP="005C5B5E">
      <w:pPr>
        <w:pStyle w:val="Heading3"/>
      </w:pPr>
      <w:r w:rsidRPr="00132D42">
        <w:t>such other checks for the Supplier Staff as the Buyer may specify</w:t>
      </w:r>
      <w:r w:rsidR="005D0DA4" w:rsidRPr="00BA5253">
        <w:t>.</w:t>
      </w:r>
    </w:p>
    <w:p w14:paraId="2ECA8049" w14:textId="16A83B83" w:rsidR="005D0DA4" w:rsidRPr="00BA5253" w:rsidRDefault="005D0DA4" w:rsidP="005C5B5E">
      <w:pPr>
        <w:pStyle w:val="Heading2"/>
        <w:spacing w:before="120" w:after="120"/>
      </w:pPr>
      <w:r w:rsidRPr="00BA5253">
        <w:t xml:space="preserve">Where the Supplier considers it cannot ensure that a </w:t>
      </w:r>
      <w:r w:rsidR="00F515B7">
        <w:t>Sub-contractor</w:t>
      </w:r>
      <w:r w:rsidRPr="00BA5253">
        <w:t xml:space="preserve">s will undertake the relevant security checks on any </w:t>
      </w:r>
      <w:r w:rsidR="00F515B7">
        <w:t>Supplier</w:t>
      </w:r>
      <w:r w:rsidRPr="00BA5253">
        <w:t xml:space="preserve"> Staff, it must:</w:t>
      </w:r>
    </w:p>
    <w:p w14:paraId="29A83BD3" w14:textId="77777777" w:rsidR="005D0DA4" w:rsidRPr="00BA5253" w:rsidRDefault="005D0DA4" w:rsidP="005C5B5E">
      <w:pPr>
        <w:pStyle w:val="Heading3"/>
        <w:spacing w:before="120" w:after="120"/>
      </w:pPr>
      <w:r w:rsidRPr="00BA5253">
        <w:t>as soon as practicable, and in any event within 20 Working Days of becoming aware of the issue, notify the Buyer;</w:t>
      </w:r>
    </w:p>
    <w:p w14:paraId="360BD62F" w14:textId="4898293D" w:rsidR="005D0DA4" w:rsidRPr="00BA5253" w:rsidRDefault="005D0DA4" w:rsidP="005C5B5E">
      <w:pPr>
        <w:pStyle w:val="Heading3"/>
        <w:spacing w:before="120" w:after="120"/>
      </w:pPr>
      <w:r w:rsidRPr="00BA5253">
        <w:t xml:space="preserve">provide such information relating to the </w:t>
      </w:r>
      <w:r w:rsidR="00F515B7">
        <w:t>Sub-contractor</w:t>
      </w:r>
      <w:r w:rsidRPr="00BA5253">
        <w:t xml:space="preserve">, its vetting processes and the roles the affected </w:t>
      </w:r>
      <w:r w:rsidR="00F515B7">
        <w:t>Supplier</w:t>
      </w:r>
      <w:r w:rsidRPr="00BA5253">
        <w:t xml:space="preserve"> Staff will perform as the Buyer reasonably requires; and</w:t>
      </w:r>
    </w:p>
    <w:p w14:paraId="7F249C51" w14:textId="23F6B79A" w:rsidR="005D0DA4" w:rsidRPr="00BA5253" w:rsidRDefault="005D0DA4" w:rsidP="005C5B5E">
      <w:pPr>
        <w:pStyle w:val="Heading3"/>
        <w:spacing w:before="120" w:after="120"/>
      </w:pPr>
      <w:r w:rsidRPr="00BA5253">
        <w:t xml:space="preserve">comply, at the Supplier’s cost, with all directions the Buyer may provide concerning the vetting of the affected </w:t>
      </w:r>
      <w:r w:rsidR="00F515B7">
        <w:t>Supplier</w:t>
      </w:r>
      <w:r w:rsidRPr="00BA5253">
        <w:t xml:space="preserve"> Staff and the management of the </w:t>
      </w:r>
      <w:r w:rsidR="00F515B7">
        <w:t>Sub-contractor</w:t>
      </w:r>
      <w:r w:rsidRPr="00BA5253">
        <w:t>.</w:t>
      </w:r>
    </w:p>
    <w:p w14:paraId="3E931B5C" w14:textId="77777777" w:rsidR="00D74489" w:rsidRPr="00BA5253" w:rsidRDefault="00D74489" w:rsidP="005C5B5E">
      <w:pPr>
        <w:pStyle w:val="Heading1"/>
        <w:spacing w:before="120" w:after="120"/>
      </w:pPr>
      <w:bookmarkStart w:id="20" w:name="_Ref114495950"/>
      <w:r w:rsidRPr="00BA5253">
        <w:t>Supplier assurance letter</w:t>
      </w:r>
    </w:p>
    <w:p w14:paraId="2C8D6B5E" w14:textId="361D055E" w:rsidR="00D74489" w:rsidRPr="00BA5253" w:rsidRDefault="00D74489" w:rsidP="005C5B5E">
      <w:pPr>
        <w:pStyle w:val="Heading2"/>
        <w:spacing w:before="120" w:after="120"/>
      </w:pPr>
      <w:bookmarkStart w:id="21" w:name="_Ref106712331"/>
      <w:r w:rsidRPr="00BA5253">
        <w:t xml:space="preserve">The Supplier must, no later than the last day of each Contract Year, provide to the </w:t>
      </w:r>
      <w:r w:rsidR="00A52257" w:rsidRPr="00BA5253">
        <w:t>Buyer</w:t>
      </w:r>
      <w:r w:rsidRPr="00BA5253">
        <w:t xml:space="preserve"> a </w:t>
      </w:r>
      <w:r w:rsidRPr="00CB3C7A">
        <w:t>letter from its chief technology officer (</w:t>
      </w:r>
      <w:r w:rsidRPr="00BA5253">
        <w:t>or equivalent officer) confirming that, having made due and careful enquiry:</w:t>
      </w:r>
      <w:bookmarkEnd w:id="21"/>
    </w:p>
    <w:p w14:paraId="485CD1E9" w14:textId="1263AE69" w:rsidR="00D74489" w:rsidRPr="00BA5253" w:rsidRDefault="00D74489" w:rsidP="005C5B5E">
      <w:pPr>
        <w:pStyle w:val="Heading3"/>
        <w:spacing w:before="120" w:after="120"/>
      </w:pPr>
      <w:r w:rsidRPr="00BA5253">
        <w:t>the Supplier has in the previous year carried out all tests and has in place all procedures required in relation to security matters required by th</w:t>
      </w:r>
      <w:r w:rsidR="00586A00">
        <w:t>e</w:t>
      </w:r>
      <w:r w:rsidRPr="00BA5253">
        <w:t xml:space="preserve"> </w:t>
      </w:r>
      <w:r w:rsidR="00895B30" w:rsidRPr="00BA5253">
        <w:t>Contract</w:t>
      </w:r>
      <w:r w:rsidRPr="00BA5253">
        <w:t>;</w:t>
      </w:r>
    </w:p>
    <w:p w14:paraId="2BEDAC8A" w14:textId="30BA04BD" w:rsidR="00D74489" w:rsidRPr="00BA5253" w:rsidRDefault="00D74489" w:rsidP="005C5B5E">
      <w:pPr>
        <w:pStyle w:val="Heading3"/>
        <w:spacing w:before="120" w:after="120"/>
      </w:pPr>
      <w:r w:rsidRPr="00BA5253">
        <w:t xml:space="preserve">it has fully complied with all requirements of this </w:t>
      </w:r>
      <w:r w:rsidR="00BA5253" w:rsidRPr="00BA5253">
        <w:t>Schedule</w:t>
      </w:r>
      <w:r w:rsidRPr="00BA5253">
        <w:t xml:space="preserve">; </w:t>
      </w:r>
    </w:p>
    <w:p w14:paraId="5800FC41" w14:textId="4A95DD8C" w:rsidR="00D74489" w:rsidRPr="00BA5253" w:rsidRDefault="00D74489" w:rsidP="005C5B5E">
      <w:pPr>
        <w:pStyle w:val="Heading3"/>
        <w:spacing w:before="120" w:after="120"/>
      </w:pPr>
      <w:r w:rsidRPr="00BA5253">
        <w:t xml:space="preserve">all </w:t>
      </w:r>
      <w:r w:rsidR="00F515B7">
        <w:t>Sub-contractor</w:t>
      </w:r>
      <w:r w:rsidRPr="00BA5253">
        <w:t xml:space="preserve">s have complied with the requirements of this </w:t>
      </w:r>
      <w:r w:rsidR="00BA5253" w:rsidRPr="00BA5253">
        <w:t>Schedule</w:t>
      </w:r>
      <w:r w:rsidRPr="00BA5253">
        <w:t xml:space="preserve"> with which the Supplier is required to ensure they comply;</w:t>
      </w:r>
      <w:r w:rsidR="004B1C33">
        <w:t xml:space="preserve"> and</w:t>
      </w:r>
    </w:p>
    <w:p w14:paraId="38DA2673" w14:textId="77777777" w:rsidR="00D74489" w:rsidRPr="00BA5253" w:rsidRDefault="00D74489" w:rsidP="005C5B5E">
      <w:pPr>
        <w:pStyle w:val="Heading3"/>
        <w:spacing w:before="120" w:after="120"/>
      </w:pPr>
      <w:r w:rsidRPr="00BA5253">
        <w:t>the Supplier considers that its security and risk mitigation procedures remain effective.</w:t>
      </w:r>
    </w:p>
    <w:p w14:paraId="2401E5A4" w14:textId="77777777" w:rsidR="00D74489" w:rsidRPr="00BA5253" w:rsidRDefault="00D74489" w:rsidP="005C5B5E">
      <w:pPr>
        <w:pStyle w:val="Heading1"/>
        <w:spacing w:before="120" w:after="120"/>
      </w:pPr>
      <w:r w:rsidRPr="00BA5253">
        <w:t>Assurance</w:t>
      </w:r>
    </w:p>
    <w:p w14:paraId="77D39293" w14:textId="0DDF23C9" w:rsidR="00D74489" w:rsidRPr="00BA5253" w:rsidRDefault="00D74489" w:rsidP="005C5B5E">
      <w:pPr>
        <w:pStyle w:val="Heading2"/>
        <w:spacing w:before="120" w:after="120"/>
      </w:pPr>
      <w:r w:rsidRPr="00BA5253">
        <w:t xml:space="preserve">The Supplier must provide such information and documents as the </w:t>
      </w:r>
      <w:r w:rsidR="00A52257" w:rsidRPr="00BA5253">
        <w:t>Buyer</w:t>
      </w:r>
      <w:r w:rsidRPr="00BA5253">
        <w:t xml:space="preserve"> may request in order to demonstrate the Supplier’s and any </w:t>
      </w:r>
      <w:r w:rsidR="00F515B7">
        <w:t>Sub-contractor</w:t>
      </w:r>
      <w:r w:rsidRPr="00BA5253">
        <w:t xml:space="preserve">s’ compliance with this </w:t>
      </w:r>
      <w:r w:rsidR="00BA5253" w:rsidRPr="00BA5253">
        <w:t>Schedule</w:t>
      </w:r>
      <w:r w:rsidRPr="00BA5253">
        <w:t>.</w:t>
      </w:r>
    </w:p>
    <w:p w14:paraId="0AAB14FB" w14:textId="56B34476" w:rsidR="00D74489" w:rsidRPr="00BA5253" w:rsidRDefault="00D74489" w:rsidP="005C5B5E">
      <w:pPr>
        <w:pStyle w:val="Heading2"/>
        <w:spacing w:before="120" w:after="120"/>
      </w:pPr>
      <w:r w:rsidRPr="00BA5253">
        <w:t>The Supplier must provide that information and those documents:</w:t>
      </w:r>
    </w:p>
    <w:p w14:paraId="25BCD96B" w14:textId="465831F0" w:rsidR="0014060C" w:rsidRPr="00BA5253" w:rsidRDefault="0014060C" w:rsidP="005C5B5E">
      <w:pPr>
        <w:pStyle w:val="Heading3"/>
        <w:spacing w:before="120" w:after="120"/>
      </w:pPr>
      <w:r w:rsidRPr="00BA5253">
        <w:t>at no cost to the Buyer;</w:t>
      </w:r>
    </w:p>
    <w:p w14:paraId="60509329" w14:textId="4315F074" w:rsidR="00D74489" w:rsidRPr="00BA5253" w:rsidRDefault="00D74489" w:rsidP="005C5B5E">
      <w:pPr>
        <w:pStyle w:val="Heading3"/>
        <w:spacing w:before="120" w:after="120"/>
      </w:pPr>
      <w:r w:rsidRPr="00BA5253">
        <w:t xml:space="preserve">within 10 Working Days of a request by the </w:t>
      </w:r>
      <w:r w:rsidR="00A52257" w:rsidRPr="00BA5253">
        <w:t>Buyer</w:t>
      </w:r>
      <w:r w:rsidRPr="00BA5253">
        <w:t>;</w:t>
      </w:r>
    </w:p>
    <w:p w14:paraId="0E2A6BA8" w14:textId="61A0FF1C" w:rsidR="00D74489" w:rsidRPr="00BA5253" w:rsidRDefault="00D74489" w:rsidP="005C5B5E">
      <w:pPr>
        <w:pStyle w:val="Heading3"/>
        <w:spacing w:before="120" w:after="120"/>
      </w:pPr>
      <w:r w:rsidRPr="00BA5253">
        <w:t xml:space="preserve">except in the case of original document, in the format and with the content and information required by the </w:t>
      </w:r>
      <w:r w:rsidR="00A52257" w:rsidRPr="00BA5253">
        <w:t>Buyer</w:t>
      </w:r>
      <w:r w:rsidRPr="00BA5253">
        <w:t>; and</w:t>
      </w:r>
    </w:p>
    <w:p w14:paraId="0C70C4C1" w14:textId="77777777" w:rsidR="00D74489" w:rsidRPr="00BA5253" w:rsidRDefault="00D74489" w:rsidP="005C5B5E">
      <w:pPr>
        <w:pStyle w:val="Heading3"/>
        <w:spacing w:before="120" w:after="120"/>
      </w:pPr>
      <w:r w:rsidRPr="00BA5253">
        <w:lastRenderedPageBreak/>
        <w:t>in the case of original document, as a full, unedited and unredacted copy.</w:t>
      </w:r>
    </w:p>
    <w:p w14:paraId="5D38E6D8" w14:textId="446C933C" w:rsidR="00D74489" w:rsidRPr="00BA5253" w:rsidRDefault="00D74489" w:rsidP="005C5B5E">
      <w:pPr>
        <w:pStyle w:val="Heading1"/>
        <w:spacing w:before="120" w:after="120"/>
      </w:pPr>
      <w:bookmarkStart w:id="22" w:name="_Ref115347132"/>
      <w:r w:rsidRPr="00BA5253">
        <w:t xml:space="preserve">Use of </w:t>
      </w:r>
      <w:r w:rsidR="00F515B7">
        <w:t>Sub-contractor</w:t>
      </w:r>
      <w:r w:rsidRPr="00BA5253">
        <w:t>s and third parties</w:t>
      </w:r>
      <w:bookmarkEnd w:id="22"/>
    </w:p>
    <w:p w14:paraId="6AFCD84A" w14:textId="5D500659" w:rsidR="00D74489" w:rsidRPr="00BA5253" w:rsidRDefault="00D74489" w:rsidP="005C5B5E">
      <w:pPr>
        <w:pStyle w:val="Heading2"/>
        <w:spacing w:before="120" w:after="120"/>
      </w:pPr>
      <w:r w:rsidRPr="00BA5253">
        <w:t xml:space="preserve">The Supplier must ensure that </w:t>
      </w:r>
      <w:r w:rsidR="00F515B7">
        <w:t>Sub-contractor</w:t>
      </w:r>
      <w:r w:rsidRPr="00BA5253">
        <w:t xml:space="preserve">s and any other third parties that store, have access to or </w:t>
      </w:r>
      <w:r w:rsidR="002D0410" w:rsidRPr="00BA5253">
        <w:t>Handle</w:t>
      </w:r>
      <w:r w:rsidRPr="00BA5253">
        <w:t xml:space="preserve"> </w:t>
      </w:r>
      <w:r w:rsidR="00BC37A8" w:rsidRPr="00BA5253">
        <w:t>Government Data</w:t>
      </w:r>
      <w:r w:rsidRPr="00BA5253">
        <w:t xml:space="preserve"> comply with the requirements of this </w:t>
      </w:r>
      <w:r w:rsidR="00BA5253" w:rsidRPr="00BA5253">
        <w:t>Schedule</w:t>
      </w:r>
      <w:r w:rsidRPr="00BA5253">
        <w:t>.</w:t>
      </w:r>
    </w:p>
    <w:p w14:paraId="56A8D9CF" w14:textId="3FEEAE63" w:rsidR="00D74489" w:rsidRPr="00BA5253" w:rsidRDefault="00D74489" w:rsidP="005C5B5E">
      <w:pPr>
        <w:pStyle w:val="Heading1"/>
        <w:pageBreakBefore/>
        <w:numPr>
          <w:ilvl w:val="0"/>
          <w:numId w:val="0"/>
        </w:numPr>
        <w:spacing w:before="120" w:after="120"/>
        <w:jc w:val="center"/>
      </w:pPr>
      <w:r w:rsidRPr="00BA5253">
        <w:lastRenderedPageBreak/>
        <w:t>Part Two: Additional Requirements</w:t>
      </w:r>
    </w:p>
    <w:p w14:paraId="3736566A" w14:textId="77777777" w:rsidR="00CC233B" w:rsidRPr="00BA5253" w:rsidRDefault="00CC233B" w:rsidP="005C5B5E">
      <w:pPr>
        <w:pStyle w:val="Heading1"/>
        <w:spacing w:before="120" w:after="120"/>
      </w:pPr>
      <w:bookmarkStart w:id="23" w:name="_Ref174115508"/>
      <w:r w:rsidRPr="00BA5253">
        <w:t>Security Management Plan</w:t>
      </w:r>
      <w:bookmarkEnd w:id="23"/>
    </w:p>
    <w:p w14:paraId="3A9E02AA" w14:textId="3B658E06" w:rsidR="00CC233B" w:rsidRPr="00BA5253" w:rsidRDefault="00CC233B" w:rsidP="005C5B5E">
      <w:pPr>
        <w:pStyle w:val="Heading2"/>
        <w:spacing w:before="120" w:after="120"/>
      </w:pPr>
      <w:r w:rsidRPr="00BA5253">
        <w:t>This Paragraph </w:t>
      </w:r>
      <w:r w:rsidR="008D2B9E" w:rsidRPr="00BA5253">
        <w:fldChar w:fldCharType="begin"/>
      </w:r>
      <w:r w:rsidR="008D2B9E" w:rsidRPr="00BA5253">
        <w:instrText xml:space="preserve"> REF _Ref174115508 \r \h </w:instrText>
      </w:r>
      <w:r w:rsidR="00BA5253" w:rsidRPr="00BA5253">
        <w:instrText xml:space="preserve"> \* MERGEFORMAT </w:instrText>
      </w:r>
      <w:r w:rsidR="008D2B9E" w:rsidRPr="00BA5253">
        <w:fldChar w:fldCharType="separate"/>
      </w:r>
      <w:r w:rsidR="005C5B5E">
        <w:t>10</w:t>
      </w:r>
      <w:r w:rsidR="008D2B9E" w:rsidRPr="00BA5253">
        <w:fldChar w:fldCharType="end"/>
      </w:r>
      <w:r w:rsidRPr="00BA5253">
        <w:t xml:space="preserve"> applies only where the Buyer has selected this option in </w:t>
      </w:r>
      <w:r w:rsidR="00895B30" w:rsidRPr="00BA5253">
        <w:t>Paragraph</w:t>
      </w:r>
      <w:r w:rsidRPr="00BA5253">
        <w:t xml:space="preserve"> 1.3.</w:t>
      </w:r>
    </w:p>
    <w:p w14:paraId="5AD90BA6" w14:textId="77777777" w:rsidR="00CC233B" w:rsidRPr="00BA5253" w:rsidRDefault="00CC233B" w:rsidP="005C5B5E">
      <w:pPr>
        <w:pStyle w:val="Heading2A"/>
        <w:spacing w:before="120" w:after="120"/>
      </w:pPr>
      <w:r w:rsidRPr="00BA5253">
        <w:t>Preparation of Security Management Plan</w:t>
      </w:r>
    </w:p>
    <w:p w14:paraId="53A0BB9E" w14:textId="1AF06738" w:rsidR="00CC233B" w:rsidRPr="00BA5253" w:rsidRDefault="00CC233B" w:rsidP="005C5B5E">
      <w:pPr>
        <w:pStyle w:val="Heading2"/>
        <w:spacing w:before="120" w:after="120"/>
      </w:pPr>
      <w:r w:rsidRPr="00BA5253">
        <w:t xml:space="preserve">The Supplier shall document in the Security Management Plan how the Supplier and its </w:t>
      </w:r>
      <w:r w:rsidR="00F515B7">
        <w:t>Sub-contractor</w:t>
      </w:r>
      <w:r w:rsidRPr="00BA5253">
        <w:t xml:space="preserve">s shall comply with the requirements set out in this </w:t>
      </w:r>
      <w:r w:rsidR="00BA5253" w:rsidRPr="00BA5253">
        <w:t>Schedule</w:t>
      </w:r>
      <w:r w:rsidRPr="00BA5253">
        <w:t xml:space="preserve"> and the </w:t>
      </w:r>
      <w:r w:rsidR="00895B30" w:rsidRPr="00BA5253">
        <w:t>Contract</w:t>
      </w:r>
      <w:r w:rsidRPr="00BA5253">
        <w:t xml:space="preserve"> in order to ensure the security of the Supplier solution and the Buyer data. </w:t>
      </w:r>
    </w:p>
    <w:p w14:paraId="584A6DD8" w14:textId="4DCE5A62" w:rsidR="00CC233B" w:rsidRPr="00BA5253" w:rsidRDefault="00CC233B" w:rsidP="005C5B5E">
      <w:pPr>
        <w:pStyle w:val="Heading2"/>
        <w:spacing w:before="120" w:after="120"/>
      </w:pPr>
      <w:r w:rsidRPr="00BA5253">
        <w:t xml:space="preserve">The Supplier shall prepare and submit to the Buyer within 20 Working Days of the </w:t>
      </w:r>
      <w:r w:rsidR="00132D42">
        <w:t>Effective Date</w:t>
      </w:r>
      <w:r w:rsidRPr="00BA5253">
        <w:t xml:space="preserve">, the Security Management Plan, which must include a description of how all the options selected in this </w:t>
      </w:r>
      <w:r w:rsidR="00586A00">
        <w:t>S</w:t>
      </w:r>
      <w:r w:rsidRPr="00BA5253">
        <w:t xml:space="preserve">chedule are being met along with evidence of the required certifications for the Supplier and any </w:t>
      </w:r>
      <w:r w:rsidR="00F515B7">
        <w:t>Sub-contractor</w:t>
      </w:r>
      <w:r w:rsidRPr="00BA5253">
        <w:t>s specified in Paragraph 3.</w:t>
      </w:r>
    </w:p>
    <w:p w14:paraId="3A64E251" w14:textId="77777777" w:rsidR="00CC233B" w:rsidRPr="00BA5253" w:rsidRDefault="00CC233B" w:rsidP="005C5B5E">
      <w:pPr>
        <w:pStyle w:val="Heading2A"/>
        <w:spacing w:before="120" w:after="120"/>
      </w:pPr>
      <w:r w:rsidRPr="00BA5253">
        <w:t>Approval of Security Management Plan</w:t>
      </w:r>
    </w:p>
    <w:p w14:paraId="4B4B1804" w14:textId="77777777" w:rsidR="00CC233B" w:rsidRPr="00BA5253" w:rsidRDefault="00CC233B" w:rsidP="005C5B5E">
      <w:pPr>
        <w:pStyle w:val="Heading2"/>
        <w:spacing w:before="120" w:after="120"/>
      </w:pPr>
      <w:r w:rsidRPr="00BA5253">
        <w:t>The Buyer shall review the Supplier's proposed Security Management Plan as soon as possible and must issue the Supplier with either:</w:t>
      </w:r>
    </w:p>
    <w:p w14:paraId="1AE51C16" w14:textId="77777777" w:rsidR="00CC233B" w:rsidRPr="00BA5253" w:rsidRDefault="00CC233B" w:rsidP="005C5B5E">
      <w:pPr>
        <w:pStyle w:val="Heading3"/>
        <w:spacing w:before="120" w:after="120"/>
      </w:pPr>
      <w:r w:rsidRPr="00BA5253">
        <w:t>an information security approval statement, which shall confirm that the Supplier may operate the service and process Buyer data; or</w:t>
      </w:r>
    </w:p>
    <w:p w14:paraId="6273282B" w14:textId="77777777" w:rsidR="00CC233B" w:rsidRPr="00BA5253" w:rsidRDefault="00CC233B" w:rsidP="005C5B5E">
      <w:pPr>
        <w:pStyle w:val="Heading3"/>
        <w:spacing w:before="120" w:after="120"/>
      </w:pPr>
      <w:r w:rsidRPr="00BA5253">
        <w:t xml:space="preserve">a rejection notice, which shall set out the Buyer's reasons for rejecting the Security Management Plan. </w:t>
      </w:r>
    </w:p>
    <w:p w14:paraId="76D8F1F4" w14:textId="77777777" w:rsidR="00CC233B" w:rsidRPr="00BA5253" w:rsidRDefault="00CC233B" w:rsidP="005C5B5E">
      <w:pPr>
        <w:pStyle w:val="Heading2"/>
        <w:spacing w:before="120" w:after="120"/>
      </w:pPr>
      <w:bookmarkStart w:id="24" w:name="_Ref174961976"/>
      <w:r w:rsidRPr="00BA5253">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bookmarkEnd w:id="24"/>
    </w:p>
    <w:p w14:paraId="27EE23E1" w14:textId="04BAB68C" w:rsidR="00856273" w:rsidRPr="00BA5253" w:rsidRDefault="00856273" w:rsidP="005C5B5E">
      <w:pPr>
        <w:pStyle w:val="Heading2"/>
        <w:spacing w:before="120" w:after="120"/>
      </w:pPr>
      <w:r w:rsidRPr="00BA5253">
        <w:t xml:space="preserve">The process set out in Paragraph </w:t>
      </w:r>
      <w:r w:rsidRPr="00BA5253">
        <w:fldChar w:fldCharType="begin"/>
      </w:r>
      <w:r w:rsidRPr="00BA5253">
        <w:instrText xml:space="preserve"> REF _Ref174961976 \r \h </w:instrText>
      </w:r>
      <w:r w:rsidR="00BA5253" w:rsidRPr="00BA5253">
        <w:instrText xml:space="preserve"> \* MERGEFORMAT </w:instrText>
      </w:r>
      <w:r w:rsidRPr="00BA5253">
        <w:fldChar w:fldCharType="separate"/>
      </w:r>
      <w:r w:rsidR="005C5B5E">
        <w:t>10.5</w:t>
      </w:r>
      <w:r w:rsidRPr="00BA5253">
        <w:fldChar w:fldCharType="end"/>
      </w:r>
      <w:r w:rsidRPr="00BA5253">
        <w:t xml:space="preserve"> shall be repeated until such time as the </w:t>
      </w:r>
      <w:r w:rsidR="00F515B7">
        <w:t>Buyer</w:t>
      </w:r>
      <w:r w:rsidR="00F515B7" w:rsidRPr="00BA5253">
        <w:t xml:space="preserve"> </w:t>
      </w:r>
      <w:r w:rsidRPr="00BA5253">
        <w:t>issues a Risk Management Approval Statement to the Supplier or terminates th</w:t>
      </w:r>
      <w:r w:rsidR="00586A00">
        <w:t>e</w:t>
      </w:r>
      <w:r w:rsidRPr="00BA5253">
        <w:t xml:space="preserve"> Contract.</w:t>
      </w:r>
    </w:p>
    <w:p w14:paraId="7BC712E6" w14:textId="4DB36595" w:rsidR="00CC233B" w:rsidRPr="00BA5253" w:rsidRDefault="00CC233B" w:rsidP="005C5B5E">
      <w:pPr>
        <w:pStyle w:val="Heading2"/>
        <w:spacing w:before="120" w:after="120"/>
      </w:pPr>
      <w:r w:rsidRPr="00BA5253">
        <w:t xml:space="preserve">The rejection by the Buyer of a </w:t>
      </w:r>
      <w:r w:rsidR="00856273" w:rsidRPr="00BA5253">
        <w:t xml:space="preserve">second </w:t>
      </w:r>
      <w:r w:rsidRPr="00BA5253">
        <w:t>revised Security Management Plan is a material Default of th</w:t>
      </w:r>
      <w:r w:rsidR="00586A00">
        <w:t>e</w:t>
      </w:r>
      <w:r w:rsidRPr="00BA5253">
        <w:t xml:space="preserve"> </w:t>
      </w:r>
      <w:r w:rsidR="00895B30" w:rsidRPr="00BA5253">
        <w:t>Contract</w:t>
      </w:r>
      <w:r w:rsidRPr="00BA5253">
        <w:t>.</w:t>
      </w:r>
    </w:p>
    <w:p w14:paraId="1F2D0C19" w14:textId="77777777" w:rsidR="00CC233B" w:rsidRPr="00BA5253" w:rsidRDefault="00CC233B" w:rsidP="005C5B5E">
      <w:pPr>
        <w:pStyle w:val="Heading2A"/>
        <w:spacing w:before="120" w:after="120"/>
      </w:pPr>
      <w:r w:rsidRPr="00BA5253">
        <w:t>Updating Security Management Plan</w:t>
      </w:r>
    </w:p>
    <w:p w14:paraId="1E35EF61" w14:textId="77777777" w:rsidR="00CC233B" w:rsidRPr="00BA5253" w:rsidRDefault="00CC233B" w:rsidP="005C5B5E">
      <w:pPr>
        <w:pStyle w:val="Heading2"/>
        <w:spacing w:before="120" w:after="120"/>
      </w:pPr>
      <w:r w:rsidRPr="00BA5253">
        <w:t>The Supplier shall regularly review and update the Security Management Plan, and provide such to the Buyer, at least once each year and as required by this Paragraph.</w:t>
      </w:r>
    </w:p>
    <w:p w14:paraId="162D1CFB" w14:textId="77777777" w:rsidR="00CC233B" w:rsidRPr="00BA5253" w:rsidRDefault="00CC233B" w:rsidP="005C5B5E">
      <w:pPr>
        <w:pStyle w:val="Heading2A"/>
        <w:spacing w:before="120" w:after="120"/>
      </w:pPr>
      <w:r w:rsidRPr="00BA5253">
        <w:t>Monitoring</w:t>
      </w:r>
    </w:p>
    <w:p w14:paraId="5BBD7A43" w14:textId="77777777" w:rsidR="00CC233B" w:rsidRPr="00BA5253" w:rsidRDefault="00CC233B" w:rsidP="005C5B5E">
      <w:pPr>
        <w:pStyle w:val="Heading2"/>
        <w:spacing w:before="120" w:after="120"/>
      </w:pPr>
      <w:r w:rsidRPr="00BA5253">
        <w:t>The Supplier shall notify the Buyer within 2 Working Days after becoming aware of:</w:t>
      </w:r>
    </w:p>
    <w:p w14:paraId="0F083535" w14:textId="24C4643A" w:rsidR="00CC233B" w:rsidRPr="00BA5253" w:rsidRDefault="00CC233B" w:rsidP="005C5B5E">
      <w:pPr>
        <w:pStyle w:val="Heading3"/>
        <w:spacing w:before="120" w:after="120"/>
      </w:pPr>
      <w:r w:rsidRPr="00BA5253">
        <w:t>a significant change to the components or architecture of the Supplier System;</w:t>
      </w:r>
    </w:p>
    <w:p w14:paraId="48EDF610" w14:textId="1D45DDB7" w:rsidR="00CC233B" w:rsidRPr="00BA5253" w:rsidRDefault="00CC233B" w:rsidP="005C5B5E">
      <w:pPr>
        <w:pStyle w:val="Heading3"/>
        <w:spacing w:before="120" w:after="120"/>
      </w:pPr>
      <w:r w:rsidRPr="00BA5253">
        <w:t>a new risk to the components or architecture of the Supplier System;</w:t>
      </w:r>
    </w:p>
    <w:p w14:paraId="6C05AC69" w14:textId="1C576463" w:rsidR="00CC233B" w:rsidRPr="00BA5253" w:rsidRDefault="00CC233B" w:rsidP="005C5B5E">
      <w:pPr>
        <w:pStyle w:val="Heading3"/>
        <w:spacing w:before="120" w:after="120"/>
      </w:pPr>
      <w:r w:rsidRPr="00BA5253">
        <w:lastRenderedPageBreak/>
        <w:t>a vulnerability to the components or architecture of the Supplier System using an industry standard vulnerability scoring mechanism;</w:t>
      </w:r>
    </w:p>
    <w:p w14:paraId="30B427DD" w14:textId="77777777" w:rsidR="00CC233B" w:rsidRPr="00BA5253" w:rsidRDefault="00CC233B" w:rsidP="005C5B5E">
      <w:pPr>
        <w:pStyle w:val="Heading3"/>
        <w:spacing w:before="120" w:after="120"/>
      </w:pPr>
      <w:r w:rsidRPr="00BA5253">
        <w:t>a change in the threat profile;</w:t>
      </w:r>
    </w:p>
    <w:p w14:paraId="0A6A1C89" w14:textId="77777777" w:rsidR="00CC233B" w:rsidRPr="00BA5253" w:rsidRDefault="00CC233B" w:rsidP="005C5B5E">
      <w:pPr>
        <w:pStyle w:val="Heading3"/>
        <w:spacing w:before="120" w:after="120"/>
      </w:pPr>
      <w:r w:rsidRPr="00BA5253">
        <w:t>a significant change to any risk component;</w:t>
      </w:r>
    </w:p>
    <w:p w14:paraId="23D55FAE" w14:textId="77777777" w:rsidR="00CC233B" w:rsidRPr="00BA5253" w:rsidRDefault="00CC233B" w:rsidP="005C5B5E">
      <w:pPr>
        <w:pStyle w:val="Heading3"/>
        <w:spacing w:before="120" w:after="120"/>
      </w:pPr>
      <w:r w:rsidRPr="00BA5253">
        <w:t>a significant change in the quantity of Personal Data held within the Service;</w:t>
      </w:r>
    </w:p>
    <w:p w14:paraId="4BC45A9F" w14:textId="77777777" w:rsidR="00CC233B" w:rsidRPr="00BA5253" w:rsidRDefault="00CC233B" w:rsidP="005C5B5E">
      <w:pPr>
        <w:pStyle w:val="Heading3"/>
        <w:spacing w:before="120" w:after="120"/>
      </w:pPr>
      <w:r w:rsidRPr="00BA5253">
        <w:t>a proposal to change any of the Sites from which any part of the Services are provided; and/or</w:t>
      </w:r>
    </w:p>
    <w:p w14:paraId="46D55962" w14:textId="5FB2F890" w:rsidR="00CC233B" w:rsidRPr="00BA5253" w:rsidRDefault="00CC233B" w:rsidP="005C5B5E">
      <w:pPr>
        <w:pStyle w:val="Heading3"/>
        <w:spacing w:before="120" w:after="120"/>
      </w:pPr>
      <w:r w:rsidRPr="00BA5253">
        <w:t>an ISO27001 audit report produced in connection with the Certification indicates significant concerns.</w:t>
      </w:r>
    </w:p>
    <w:p w14:paraId="6D3F4836" w14:textId="01D2D35B" w:rsidR="00CC233B" w:rsidRPr="00BA5253" w:rsidRDefault="00CC233B" w:rsidP="005C5B5E">
      <w:pPr>
        <w:pStyle w:val="Heading2"/>
        <w:spacing w:before="120" w:after="120"/>
      </w:pPr>
      <w:r w:rsidRPr="00BA5253">
        <w:t>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25524691" w14:textId="75179248" w:rsidR="00CF4322" w:rsidRPr="00BA5253" w:rsidRDefault="00CF4322" w:rsidP="005C5B5E">
      <w:pPr>
        <w:pStyle w:val="Heading1"/>
        <w:spacing w:before="120" w:after="120"/>
      </w:pPr>
      <w:bookmarkStart w:id="25" w:name="_Ref164067793"/>
      <w:r w:rsidRPr="00BA5253">
        <w:t>Buyer Security Policies</w:t>
      </w:r>
      <w:bookmarkEnd w:id="25"/>
    </w:p>
    <w:p w14:paraId="1BBDD16B" w14:textId="51993476" w:rsidR="002A1857" w:rsidRPr="00BA5253" w:rsidRDefault="002A1857" w:rsidP="005C5B5E">
      <w:pPr>
        <w:pStyle w:val="Heading2"/>
        <w:spacing w:before="120" w:after="120"/>
      </w:pPr>
      <w:r w:rsidRPr="00BA5253">
        <w:t>The Supplier must comply</w:t>
      </w:r>
      <w:r w:rsidR="0014060C" w:rsidRPr="00BA5253">
        <w:t>, when it provides the Services and operates and manages the Supplier System,</w:t>
      </w:r>
      <w:r w:rsidRPr="00BA5253">
        <w:t xml:space="preserve"> with all Buyer Security Policies identified in the relevant option in </w:t>
      </w:r>
      <w:r w:rsidR="00895B30" w:rsidRPr="00BA5253">
        <w:t>Paragraph</w:t>
      </w:r>
      <w:r w:rsidRPr="00BA5253">
        <w:t> </w:t>
      </w:r>
      <w:r w:rsidRPr="00BA5253">
        <w:fldChar w:fldCharType="begin"/>
      </w:r>
      <w:r w:rsidRPr="00BA5253">
        <w:instrText xml:space="preserve"> REF _Ref164068001 \r \h </w:instrText>
      </w:r>
      <w:r w:rsidR="00BA5253" w:rsidRPr="00BA5253">
        <w:instrText xml:space="preserve"> \* MERGEFORMAT </w:instrText>
      </w:r>
      <w:r w:rsidRPr="00BA5253">
        <w:fldChar w:fldCharType="separate"/>
      </w:r>
      <w:r w:rsidR="005C5B5E">
        <w:t>1.3</w:t>
      </w:r>
      <w:r w:rsidRPr="00BA5253">
        <w:fldChar w:fldCharType="end"/>
      </w:r>
      <w:r w:rsidR="00CC233B" w:rsidRPr="00BA5253">
        <w:t>.</w:t>
      </w:r>
    </w:p>
    <w:p w14:paraId="4839DB54" w14:textId="7C1046C5" w:rsidR="002A1857" w:rsidRPr="00BA5253" w:rsidRDefault="002A1857" w:rsidP="005C5B5E">
      <w:pPr>
        <w:pStyle w:val="Heading2"/>
        <w:spacing w:before="120" w:after="120"/>
      </w:pPr>
      <w:r w:rsidRPr="00BA5253">
        <w:t xml:space="preserve">If there is an inconsistency between the Buyer Security Policies and the requirement of this </w:t>
      </w:r>
      <w:r w:rsidR="00BA5253" w:rsidRPr="00BA5253">
        <w:t>Schedule</w:t>
      </w:r>
      <w:r w:rsidRPr="00BA5253">
        <w:t>, then the requirements of this Schedule will prevail to the extent of that inconsistency.</w:t>
      </w:r>
    </w:p>
    <w:p w14:paraId="7B18176F" w14:textId="77777777" w:rsidR="00F0325C" w:rsidRPr="00BA5253" w:rsidRDefault="00F0325C" w:rsidP="005C5B5E">
      <w:pPr>
        <w:pStyle w:val="Heading1"/>
        <w:spacing w:before="120" w:after="120"/>
      </w:pPr>
      <w:bookmarkStart w:id="26" w:name="_Ref115347292"/>
      <w:r w:rsidRPr="00BA5253">
        <w:t>Security testing</w:t>
      </w:r>
      <w:bookmarkEnd w:id="20"/>
      <w:bookmarkEnd w:id="26"/>
    </w:p>
    <w:p w14:paraId="1DD60781" w14:textId="77777777" w:rsidR="00F0325C" w:rsidRPr="00BA5253" w:rsidRDefault="00F0325C" w:rsidP="005C5B5E">
      <w:pPr>
        <w:pStyle w:val="Heading2"/>
        <w:tabs>
          <w:tab w:val="clear" w:pos="720"/>
        </w:tabs>
        <w:spacing w:before="120" w:after="120"/>
      </w:pPr>
      <w:bookmarkStart w:id="27" w:name="_Ref106029408"/>
      <w:r w:rsidRPr="00BA5253">
        <w:t>The Supplier must:</w:t>
      </w:r>
      <w:bookmarkEnd w:id="27"/>
    </w:p>
    <w:p w14:paraId="36EAB043" w14:textId="13B9C7EE" w:rsidR="00F0325C" w:rsidRPr="00BA5253" w:rsidRDefault="00F0325C" w:rsidP="005C5B5E">
      <w:pPr>
        <w:pStyle w:val="Heading3"/>
        <w:spacing w:before="120" w:after="120"/>
      </w:pPr>
      <w:r w:rsidRPr="00BA5253">
        <w:t xml:space="preserve">before </w:t>
      </w:r>
      <w:r w:rsidR="005551EB" w:rsidRPr="00BA5253">
        <w:t>Handling</w:t>
      </w:r>
      <w:r w:rsidRPr="00BA5253">
        <w:t xml:space="preserve"> </w:t>
      </w:r>
      <w:r w:rsidR="00BC37A8" w:rsidRPr="00BA5253">
        <w:t>Government Data</w:t>
      </w:r>
      <w:r w:rsidRPr="00BA5253">
        <w:t>;</w:t>
      </w:r>
    </w:p>
    <w:p w14:paraId="6478D05B" w14:textId="10A259FC" w:rsidR="00F0325C" w:rsidRPr="00BA5253" w:rsidRDefault="00F0325C" w:rsidP="005C5B5E">
      <w:pPr>
        <w:pStyle w:val="Heading3"/>
        <w:spacing w:before="120" w:after="120"/>
      </w:pPr>
      <w:r w:rsidRPr="00BA5253">
        <w:t>at least once during each Contract Year; and</w:t>
      </w:r>
    </w:p>
    <w:p w14:paraId="29A40292" w14:textId="77777777" w:rsidR="00F0325C" w:rsidRPr="00BA5253" w:rsidRDefault="00F0325C" w:rsidP="005C5B5E">
      <w:pPr>
        <w:pStyle w:val="Heading2"/>
        <w:numPr>
          <w:ilvl w:val="0"/>
          <w:numId w:val="0"/>
        </w:numPr>
        <w:spacing w:before="120" w:after="120"/>
        <w:ind w:left="720"/>
      </w:pPr>
      <w:r w:rsidRPr="00BA5253">
        <w:t>undertake the following activities:</w:t>
      </w:r>
    </w:p>
    <w:p w14:paraId="14035629" w14:textId="2F0488E3" w:rsidR="00F0325C" w:rsidRPr="00BA5253" w:rsidRDefault="00F0325C" w:rsidP="005C5B5E">
      <w:pPr>
        <w:pStyle w:val="Heading3"/>
        <w:spacing w:before="120" w:after="120"/>
      </w:pPr>
      <w:bookmarkStart w:id="28" w:name="_Ref91676367"/>
      <w:r w:rsidRPr="00BA5253">
        <w:t>conduct security testing of the Supplier System (an “</w:t>
      </w:r>
      <w:r w:rsidRPr="00BA5253">
        <w:rPr>
          <w:b/>
          <w:bCs/>
        </w:rPr>
        <w:t>IT Health Check</w:t>
      </w:r>
      <w:r w:rsidRPr="00BA5253">
        <w:t>”) in accordance with Paragraph </w:t>
      </w:r>
      <w:r w:rsidR="00E819D2" w:rsidRPr="00BA5253">
        <w:fldChar w:fldCharType="begin"/>
      </w:r>
      <w:r w:rsidR="00E819D2" w:rsidRPr="00BA5253">
        <w:instrText xml:space="preserve"> REF _Ref115256438 \r \h </w:instrText>
      </w:r>
      <w:r w:rsidR="00BA5253" w:rsidRPr="00BA5253">
        <w:instrText xml:space="preserve"> \* MERGEFORMAT </w:instrText>
      </w:r>
      <w:r w:rsidR="00E819D2" w:rsidRPr="00BA5253">
        <w:fldChar w:fldCharType="separate"/>
      </w:r>
      <w:r w:rsidR="005C5B5E">
        <w:t>12.2</w:t>
      </w:r>
      <w:r w:rsidR="00E819D2" w:rsidRPr="00BA5253">
        <w:fldChar w:fldCharType="end"/>
      </w:r>
      <w:r w:rsidRPr="00BA5253">
        <w:t>; and</w:t>
      </w:r>
      <w:bookmarkEnd w:id="28"/>
    </w:p>
    <w:p w14:paraId="5F0D226F" w14:textId="28666E67" w:rsidR="00F0325C" w:rsidRPr="00BA5253" w:rsidRDefault="00F0325C" w:rsidP="005C5B5E">
      <w:pPr>
        <w:pStyle w:val="Heading3"/>
        <w:spacing w:before="120" w:after="120"/>
      </w:pPr>
      <w:r w:rsidRPr="00BA5253">
        <w:t>implement any findings, and remedy any vulnerabilities identified by the IT Health Check in accordance with Paragraph</w:t>
      </w:r>
      <w:r w:rsidR="00E819D2" w:rsidRPr="00BA5253">
        <w:t> </w:t>
      </w:r>
      <w:r w:rsidR="00E819D2" w:rsidRPr="00BA5253">
        <w:fldChar w:fldCharType="begin"/>
      </w:r>
      <w:r w:rsidR="00E819D2" w:rsidRPr="00BA5253">
        <w:instrText xml:space="preserve"> REF _Ref80777648 \r \h </w:instrText>
      </w:r>
      <w:r w:rsidR="00BA5253" w:rsidRPr="00BA5253">
        <w:instrText xml:space="preserve"> \* MERGEFORMAT </w:instrText>
      </w:r>
      <w:r w:rsidR="00E819D2" w:rsidRPr="00BA5253">
        <w:fldChar w:fldCharType="separate"/>
      </w:r>
      <w:r w:rsidR="005C5B5E">
        <w:t>12.3</w:t>
      </w:r>
      <w:r w:rsidR="00E819D2" w:rsidRPr="00BA5253">
        <w:fldChar w:fldCharType="end"/>
      </w:r>
      <w:r w:rsidRPr="00BA5253">
        <w:t>.</w:t>
      </w:r>
    </w:p>
    <w:p w14:paraId="53F04F9A" w14:textId="77777777" w:rsidR="00E819D2" w:rsidRPr="00BA5253" w:rsidRDefault="00E819D2" w:rsidP="005C5B5E">
      <w:pPr>
        <w:pStyle w:val="Heading2"/>
        <w:tabs>
          <w:tab w:val="clear" w:pos="720"/>
        </w:tabs>
        <w:spacing w:before="120" w:after="120"/>
      </w:pPr>
      <w:bookmarkStart w:id="29" w:name="_Ref115256438"/>
      <w:r w:rsidRPr="00BA5253">
        <w:t>In arranging an IT Health Check, the Supplier must:</w:t>
      </w:r>
      <w:bookmarkEnd w:id="29"/>
    </w:p>
    <w:p w14:paraId="452A9B8A" w14:textId="67AC695D" w:rsidR="00E819D2" w:rsidRPr="00BA5253" w:rsidRDefault="00E819D2" w:rsidP="005C5B5E">
      <w:pPr>
        <w:pStyle w:val="Heading3"/>
        <w:spacing w:before="120" w:after="120"/>
      </w:pPr>
      <w:r w:rsidRPr="00BA5253">
        <w:t xml:space="preserve">use only a CHECK Service Provider </w:t>
      </w:r>
      <w:r w:rsidR="002D175A" w:rsidRPr="00BA5253">
        <w:t xml:space="preserve">or CREST Service Provider </w:t>
      </w:r>
      <w:r w:rsidRPr="00BA5253">
        <w:t xml:space="preserve">to perform the IT Health Check; </w:t>
      </w:r>
    </w:p>
    <w:p w14:paraId="0E9DD9BF" w14:textId="0EB355F9" w:rsidR="00E819D2" w:rsidRPr="00BA5253" w:rsidRDefault="00E819D2" w:rsidP="005C5B5E">
      <w:pPr>
        <w:pStyle w:val="Heading3"/>
        <w:spacing w:before="120" w:after="120"/>
      </w:pPr>
      <w:r w:rsidRPr="00BA5253">
        <w:t>design and plan for the IT Health Check so as to minimise the impact of the IT Health Check on the Supplier System and the delivery of the Services;</w:t>
      </w:r>
    </w:p>
    <w:p w14:paraId="3B8D317E" w14:textId="2152159E" w:rsidR="00E819D2" w:rsidRPr="00BA5253" w:rsidRDefault="00E819D2" w:rsidP="005C5B5E">
      <w:pPr>
        <w:pStyle w:val="Heading3"/>
        <w:spacing w:before="120" w:after="120"/>
      </w:pPr>
      <w:r w:rsidRPr="00BA5253">
        <w:t xml:space="preserve">ensure that the scope of the IT Health Check encompasses the </w:t>
      </w:r>
      <w:r w:rsidR="002D175A" w:rsidRPr="00BA5253">
        <w:t xml:space="preserve">components of the </w:t>
      </w:r>
      <w:r w:rsidRPr="00BA5253">
        <w:t>Supplier System</w:t>
      </w:r>
      <w:r w:rsidR="002D175A" w:rsidRPr="00BA5253">
        <w:t xml:space="preserve"> used to access, store, </w:t>
      </w:r>
      <w:r w:rsidR="002D0410" w:rsidRPr="00BA5253">
        <w:t>Handle</w:t>
      </w:r>
      <w:r w:rsidR="002D175A" w:rsidRPr="00BA5253">
        <w:t xml:space="preserve"> or manage </w:t>
      </w:r>
      <w:r w:rsidR="00BC37A8" w:rsidRPr="00BA5253">
        <w:t>Government Data</w:t>
      </w:r>
      <w:r w:rsidRPr="00BA5253">
        <w:t>; and</w:t>
      </w:r>
    </w:p>
    <w:p w14:paraId="32228491" w14:textId="3493370A" w:rsidR="00E819D2" w:rsidRPr="00BA5253" w:rsidRDefault="00E819D2" w:rsidP="005C5B5E">
      <w:pPr>
        <w:pStyle w:val="Heading3"/>
        <w:spacing w:before="120" w:after="120"/>
      </w:pPr>
      <w:r w:rsidRPr="00BA5253">
        <w:lastRenderedPageBreak/>
        <w:t>ensure that the IT Health Check provides for effective penetration testing of the Supplier System.</w:t>
      </w:r>
    </w:p>
    <w:p w14:paraId="3CFFC9FA" w14:textId="5C434AE0" w:rsidR="00F0325C" w:rsidRPr="00BA5253" w:rsidRDefault="00F0325C" w:rsidP="005C5B5E">
      <w:pPr>
        <w:pStyle w:val="Heading2"/>
        <w:tabs>
          <w:tab w:val="clear" w:pos="720"/>
        </w:tabs>
        <w:spacing w:before="120" w:after="120"/>
      </w:pPr>
      <w:bookmarkStart w:id="30" w:name="_Ref80777648"/>
      <w:r w:rsidRPr="00BA5253">
        <w:t xml:space="preserve">The Supplier </w:t>
      </w:r>
      <w:r w:rsidR="000700A0" w:rsidRPr="00BA5253">
        <w:t>treat any vulnerabilities as follows</w:t>
      </w:r>
      <w:r w:rsidRPr="00BA5253">
        <w:t>:</w:t>
      </w:r>
      <w:bookmarkEnd w:id="30"/>
    </w:p>
    <w:p w14:paraId="7BDDE740" w14:textId="589CD610" w:rsidR="000700A0" w:rsidRPr="00BA5253" w:rsidRDefault="000700A0" w:rsidP="005C5B5E">
      <w:pPr>
        <w:pStyle w:val="Heading3"/>
        <w:spacing w:before="120" w:after="120"/>
      </w:pPr>
      <w:r w:rsidRPr="00BA5253">
        <w:t xml:space="preserve">the Supplier must remedy </w:t>
      </w:r>
      <w:r w:rsidR="00F0325C" w:rsidRPr="00BA5253">
        <w:t xml:space="preserve">any vulnerabilities classified as </w:t>
      </w:r>
      <w:r w:rsidR="00D97590" w:rsidRPr="00BA5253">
        <w:t xml:space="preserve">high </w:t>
      </w:r>
      <w:r w:rsidR="00F0325C" w:rsidRPr="00BA5253">
        <w:t>in the IT Health Check report</w:t>
      </w:r>
      <w:r w:rsidRPr="00BA5253">
        <w:t>:</w:t>
      </w:r>
    </w:p>
    <w:p w14:paraId="3BF4537D" w14:textId="07BCF9B8" w:rsidR="00F0325C" w:rsidRPr="00BA5253" w:rsidRDefault="000700A0" w:rsidP="005C5B5E">
      <w:pPr>
        <w:pStyle w:val="Heading4"/>
        <w:spacing w:before="120" w:after="120"/>
      </w:pPr>
      <w:bookmarkStart w:id="31" w:name="_Ref115260577"/>
      <w:bookmarkStart w:id="32" w:name="_Ref115260683"/>
      <w:r w:rsidRPr="00BA5253">
        <w:t xml:space="preserve">if it is technically feasible to do so, </w:t>
      </w:r>
      <w:r w:rsidR="00F0325C" w:rsidRPr="00BA5253">
        <w:t>within 5 Working Days of becoming aware of the vulnerability and its classification;</w:t>
      </w:r>
      <w:bookmarkEnd w:id="31"/>
      <w:r w:rsidRPr="00BA5253">
        <w:t xml:space="preserve"> or</w:t>
      </w:r>
      <w:bookmarkEnd w:id="32"/>
    </w:p>
    <w:p w14:paraId="72B08A58" w14:textId="0C6BEB7A" w:rsidR="000700A0" w:rsidRPr="00BA5253" w:rsidRDefault="000700A0" w:rsidP="005C5B5E">
      <w:pPr>
        <w:pStyle w:val="Heading4"/>
        <w:spacing w:before="120" w:after="120"/>
      </w:pPr>
      <w:r w:rsidRPr="00BA5253">
        <w:t>if it is technical</w:t>
      </w:r>
      <w:r w:rsidR="004B1C33">
        <w:t>ly</w:t>
      </w:r>
      <w:r w:rsidRPr="00BA5253">
        <w:t xml:space="preserve"> feasible to remedy the vulnerability but not technically feasible to do so as required by Paragraph </w:t>
      </w:r>
      <w:r w:rsidRPr="00BA5253">
        <w:fldChar w:fldCharType="begin"/>
      </w:r>
      <w:r w:rsidRPr="00BA5253">
        <w:instrText xml:space="preserve"> REF _Ref115260683 \w \h </w:instrText>
      </w:r>
      <w:r w:rsidR="00BA5253" w:rsidRPr="00BA5253">
        <w:instrText xml:space="preserve"> \* MERGEFORMAT </w:instrText>
      </w:r>
      <w:r w:rsidRPr="00BA5253">
        <w:fldChar w:fldCharType="separate"/>
      </w:r>
      <w:r w:rsidR="005C5B5E">
        <w:t>12.3.1(a)</w:t>
      </w:r>
      <w:r w:rsidRPr="00BA5253">
        <w:fldChar w:fldCharType="end"/>
      </w:r>
      <w:r w:rsidRPr="00BA5253">
        <w:t>, then as soon as reasonably practicable after becoming aware of the vulnerability and its classification;</w:t>
      </w:r>
    </w:p>
    <w:p w14:paraId="44339863" w14:textId="5508DAF7" w:rsidR="000700A0" w:rsidRPr="00BA5253" w:rsidRDefault="000700A0" w:rsidP="005C5B5E">
      <w:pPr>
        <w:pStyle w:val="Heading3"/>
        <w:spacing w:before="120" w:after="120"/>
      </w:pPr>
      <w:r w:rsidRPr="00BA5253">
        <w:t xml:space="preserve">the Supplier must remedy </w:t>
      </w:r>
      <w:r w:rsidR="00F0325C" w:rsidRPr="00BA5253">
        <w:t>any vulnerabilities classified as high in the IT Health Check report</w:t>
      </w:r>
      <w:r w:rsidRPr="00BA5253">
        <w:t>:</w:t>
      </w:r>
    </w:p>
    <w:p w14:paraId="2733A9D2" w14:textId="6EA599D5" w:rsidR="00F0325C" w:rsidRPr="00BA5253" w:rsidRDefault="000700A0" w:rsidP="005C5B5E">
      <w:pPr>
        <w:pStyle w:val="Heading4"/>
        <w:spacing w:before="120" w:after="120"/>
      </w:pPr>
      <w:bookmarkStart w:id="33" w:name="_Ref115260704"/>
      <w:r w:rsidRPr="00BA5253">
        <w:t xml:space="preserve">if it is technically feasible to do so, </w:t>
      </w:r>
      <w:r w:rsidR="00F0325C" w:rsidRPr="00BA5253">
        <w:t xml:space="preserve">within 1 month of becoming aware of the vulnerability and its classification; </w:t>
      </w:r>
      <w:r w:rsidRPr="00BA5253">
        <w:t>or</w:t>
      </w:r>
      <w:bookmarkEnd w:id="33"/>
    </w:p>
    <w:p w14:paraId="137D5B7C" w14:textId="5219C812" w:rsidR="000700A0" w:rsidRPr="00BA5253" w:rsidRDefault="000700A0" w:rsidP="005C5B5E">
      <w:pPr>
        <w:pStyle w:val="Heading4"/>
        <w:spacing w:before="120" w:after="120"/>
      </w:pPr>
      <w:r w:rsidRPr="00BA5253">
        <w:t>if it is technical feasible to remedy the vulnerability but not technically feasible to do so as required by Paragraph </w:t>
      </w:r>
      <w:r w:rsidRPr="00BA5253">
        <w:fldChar w:fldCharType="begin"/>
      </w:r>
      <w:r w:rsidRPr="00BA5253">
        <w:instrText xml:space="preserve"> REF _Ref115260704 \w \h </w:instrText>
      </w:r>
      <w:r w:rsidR="00BA5253" w:rsidRPr="00BA5253">
        <w:instrText xml:space="preserve"> \* MERGEFORMAT </w:instrText>
      </w:r>
      <w:r w:rsidRPr="00BA5253">
        <w:fldChar w:fldCharType="separate"/>
      </w:r>
      <w:r w:rsidR="005C5B5E">
        <w:t>12.3.2(a)</w:t>
      </w:r>
      <w:r w:rsidRPr="00BA5253">
        <w:fldChar w:fldCharType="end"/>
      </w:r>
      <w:r w:rsidRPr="00BA5253">
        <w:t>, then as soon as reasonably practicable after becoming aware of the vulnerability and its classification;</w:t>
      </w:r>
    </w:p>
    <w:p w14:paraId="1D814CA4" w14:textId="5C0C2EFE" w:rsidR="000700A0" w:rsidRPr="00BA5253" w:rsidRDefault="000700A0" w:rsidP="005C5B5E">
      <w:pPr>
        <w:pStyle w:val="Heading3"/>
        <w:spacing w:before="120" w:after="120"/>
      </w:pPr>
      <w:r w:rsidRPr="00BA5253">
        <w:t xml:space="preserve">the Supplier must remedy </w:t>
      </w:r>
      <w:r w:rsidR="00F0325C" w:rsidRPr="00BA5253">
        <w:t>any vulnerabilities classified as medium in the IT Heath Check report</w:t>
      </w:r>
      <w:r w:rsidRPr="00BA5253">
        <w:t>:</w:t>
      </w:r>
    </w:p>
    <w:p w14:paraId="64A3CDB9" w14:textId="4BB76AA1" w:rsidR="00F0325C" w:rsidRPr="00BA5253" w:rsidRDefault="000700A0" w:rsidP="005C5B5E">
      <w:pPr>
        <w:pStyle w:val="Heading4"/>
        <w:spacing w:before="120" w:after="120"/>
      </w:pPr>
      <w:bookmarkStart w:id="34" w:name="_Ref115260833"/>
      <w:r w:rsidRPr="00BA5253">
        <w:t xml:space="preserve">if it is technically feasible to do so, </w:t>
      </w:r>
      <w:r w:rsidR="00F0325C" w:rsidRPr="00BA5253">
        <w:t>within 3 months of becoming aware of the vulnerability and its classification</w:t>
      </w:r>
      <w:r w:rsidRPr="00BA5253">
        <w:t>; or</w:t>
      </w:r>
      <w:bookmarkEnd w:id="34"/>
    </w:p>
    <w:p w14:paraId="678D6DA4" w14:textId="78E49713" w:rsidR="000700A0" w:rsidRPr="00BA5253" w:rsidRDefault="000700A0" w:rsidP="005C5B5E">
      <w:pPr>
        <w:pStyle w:val="Heading4"/>
        <w:spacing w:before="120" w:after="120"/>
      </w:pPr>
      <w:r w:rsidRPr="00BA5253">
        <w:t>if it is technical feasible to remedy the vulnerability but not technically feasible to do so as required by Paragraph </w:t>
      </w:r>
      <w:r w:rsidRPr="00BA5253">
        <w:fldChar w:fldCharType="begin"/>
      </w:r>
      <w:r w:rsidRPr="00BA5253">
        <w:instrText xml:space="preserve"> REF _Ref115260833 \w \h </w:instrText>
      </w:r>
      <w:r w:rsidR="00BA5253" w:rsidRPr="00BA5253">
        <w:instrText xml:space="preserve"> \* MERGEFORMAT </w:instrText>
      </w:r>
      <w:r w:rsidRPr="00BA5253">
        <w:fldChar w:fldCharType="separate"/>
      </w:r>
      <w:r w:rsidR="005C5B5E">
        <w:t>12.3.3(a)</w:t>
      </w:r>
      <w:r w:rsidRPr="00BA5253">
        <w:fldChar w:fldCharType="end"/>
      </w:r>
      <w:r w:rsidRPr="00BA5253">
        <w:t>, then as soon as reasonably practicable after becoming aware of the vulnerability and its classification;</w:t>
      </w:r>
      <w:r w:rsidR="00586A00">
        <w:t xml:space="preserve"> </w:t>
      </w:r>
      <w:r w:rsidR="004B1C33">
        <w:t>or</w:t>
      </w:r>
    </w:p>
    <w:p w14:paraId="727B93C5" w14:textId="446EAA53" w:rsidR="000700A0" w:rsidRPr="00BA5253" w:rsidRDefault="000700A0" w:rsidP="005C5B5E">
      <w:pPr>
        <w:pStyle w:val="Heading3"/>
        <w:spacing w:before="120" w:after="120"/>
      </w:pPr>
      <w:r w:rsidRPr="00BA5253">
        <w:t>where it is not technically feasible to remedy the vulnerability, the Supplier must implement appropriate technical and organisational measures to mitigate the risk posed by the vulnerability.</w:t>
      </w:r>
    </w:p>
    <w:p w14:paraId="281902B3" w14:textId="69B382F0" w:rsidR="008C27E1" w:rsidRPr="00BA5253" w:rsidRDefault="008C27E1" w:rsidP="005C5B5E">
      <w:pPr>
        <w:pStyle w:val="Heading1"/>
        <w:spacing w:before="120" w:after="120"/>
      </w:pPr>
      <w:bookmarkStart w:id="35" w:name="_Ref114499486"/>
      <w:r w:rsidRPr="00BA5253">
        <w:t>Cloud Security Principles</w:t>
      </w:r>
      <w:bookmarkEnd w:id="35"/>
    </w:p>
    <w:p w14:paraId="327038BA" w14:textId="085494EC" w:rsidR="008C27E1" w:rsidRPr="00BA5253" w:rsidRDefault="008C27E1" w:rsidP="005C5B5E">
      <w:pPr>
        <w:pStyle w:val="Heading2"/>
        <w:spacing w:before="120" w:after="120"/>
      </w:pPr>
      <w:bookmarkStart w:id="36" w:name="_Ref114499236"/>
      <w:r w:rsidRPr="00BA5253">
        <w:t>The Supplier must ensure that the Supplier S</w:t>
      </w:r>
      <w:r w:rsidR="00E73237" w:rsidRPr="00BA5253">
        <w:t xml:space="preserve">ystem </w:t>
      </w:r>
      <w:r w:rsidRPr="00BA5253">
        <w:t>complies with the Cloud Security Principles.</w:t>
      </w:r>
      <w:bookmarkEnd w:id="36"/>
    </w:p>
    <w:p w14:paraId="14F9A6E7" w14:textId="216E8806" w:rsidR="008C27E1" w:rsidRPr="00BA5253" w:rsidRDefault="008C27E1" w:rsidP="005C5B5E">
      <w:pPr>
        <w:pStyle w:val="Heading2"/>
        <w:spacing w:before="120" w:after="120"/>
      </w:pPr>
      <w:bookmarkStart w:id="37" w:name="_Ref114499332"/>
      <w:r w:rsidRPr="00BA5253">
        <w:t>The Supplier must assess the Supplier S</w:t>
      </w:r>
      <w:r w:rsidR="00E73237" w:rsidRPr="00BA5253">
        <w:t>ystem</w:t>
      </w:r>
      <w:r w:rsidRPr="00BA5253">
        <w:t xml:space="preserve"> against the Cloud Security Principles to assure itself that it complies with Paragraph </w:t>
      </w:r>
      <w:r w:rsidRPr="00BA5253">
        <w:fldChar w:fldCharType="begin"/>
      </w:r>
      <w:r w:rsidRPr="00BA5253">
        <w:instrText xml:space="preserve"> REF _Ref114499236 \r \h </w:instrText>
      </w:r>
      <w:r w:rsidR="00BA5253" w:rsidRPr="00BA5253">
        <w:instrText xml:space="preserve"> \* MERGEFORMAT </w:instrText>
      </w:r>
      <w:r w:rsidRPr="00BA5253">
        <w:fldChar w:fldCharType="separate"/>
      </w:r>
      <w:r w:rsidR="005C5B5E">
        <w:t>13.1</w:t>
      </w:r>
      <w:r w:rsidRPr="00BA5253">
        <w:fldChar w:fldCharType="end"/>
      </w:r>
      <w:r w:rsidRPr="00BA5253">
        <w:t>:</w:t>
      </w:r>
      <w:bookmarkEnd w:id="37"/>
    </w:p>
    <w:p w14:paraId="13598D65" w14:textId="4B04C692" w:rsidR="008C27E1" w:rsidRPr="00BA5253" w:rsidRDefault="008C27E1" w:rsidP="005C5B5E">
      <w:pPr>
        <w:pStyle w:val="Heading3"/>
        <w:spacing w:before="120" w:after="120"/>
      </w:pPr>
      <w:r w:rsidRPr="00BA5253">
        <w:t xml:space="preserve">before </w:t>
      </w:r>
      <w:r w:rsidR="005551EB" w:rsidRPr="00BA5253">
        <w:t>Handling</w:t>
      </w:r>
      <w:r w:rsidRPr="00BA5253">
        <w:t xml:space="preserve"> </w:t>
      </w:r>
      <w:r w:rsidR="00BC37A8" w:rsidRPr="00BA5253">
        <w:t>Government Data</w:t>
      </w:r>
      <w:r w:rsidRPr="00BA5253">
        <w:t>;</w:t>
      </w:r>
    </w:p>
    <w:p w14:paraId="5C3CD23E" w14:textId="75CA5E69" w:rsidR="008C27E1" w:rsidRPr="00BA5253" w:rsidRDefault="008C27E1" w:rsidP="005C5B5E">
      <w:pPr>
        <w:pStyle w:val="Heading3"/>
        <w:spacing w:before="120" w:after="120"/>
      </w:pPr>
      <w:r w:rsidRPr="00BA5253">
        <w:t>at least once each Contract Year; and</w:t>
      </w:r>
    </w:p>
    <w:p w14:paraId="6F94C7E5" w14:textId="71473529" w:rsidR="008C27E1" w:rsidRPr="00BA5253" w:rsidRDefault="008C27E1" w:rsidP="005C5B5E">
      <w:pPr>
        <w:pStyle w:val="Heading3"/>
        <w:spacing w:before="120" w:after="120"/>
      </w:pPr>
      <w:r w:rsidRPr="00BA5253">
        <w:t xml:space="preserve">when required by the </w:t>
      </w:r>
      <w:r w:rsidR="00A52257" w:rsidRPr="00BA5253">
        <w:t>Buyer</w:t>
      </w:r>
      <w:r w:rsidRPr="00BA5253">
        <w:t>.</w:t>
      </w:r>
    </w:p>
    <w:p w14:paraId="56E39287" w14:textId="2A56511E" w:rsidR="00CF23C3" w:rsidRPr="00BA5253" w:rsidRDefault="00CF23C3" w:rsidP="005C5B5E">
      <w:pPr>
        <w:pStyle w:val="Heading2"/>
        <w:spacing w:before="120" w:after="120"/>
      </w:pPr>
      <w:r w:rsidRPr="00BA5253">
        <w:t>Where the Cloud Security Principles provide for various options, the Supplier must document the option it has chosen to implement and its reasons for doing so.</w:t>
      </w:r>
    </w:p>
    <w:p w14:paraId="6CEF937E" w14:textId="456B55CC" w:rsidR="008C27E1" w:rsidRPr="00BA5253" w:rsidRDefault="008C27E1" w:rsidP="005C5B5E">
      <w:pPr>
        <w:pStyle w:val="Heading2"/>
        <w:spacing w:before="120" w:after="120"/>
      </w:pPr>
      <w:r w:rsidRPr="00BA5253">
        <w:lastRenderedPageBreak/>
        <w:t>The Supplier must:</w:t>
      </w:r>
    </w:p>
    <w:p w14:paraId="5D03D65A" w14:textId="491C77C0" w:rsidR="008C27E1" w:rsidRPr="00BA5253" w:rsidRDefault="008C27E1" w:rsidP="005C5B5E">
      <w:pPr>
        <w:pStyle w:val="Heading3"/>
        <w:spacing w:before="120" w:after="120"/>
      </w:pPr>
      <w:r w:rsidRPr="00BA5253">
        <w:t>keep records of any assessment that it makes under Paragraph </w:t>
      </w:r>
      <w:r w:rsidRPr="00BA5253">
        <w:fldChar w:fldCharType="begin"/>
      </w:r>
      <w:r w:rsidRPr="00BA5253">
        <w:instrText xml:space="preserve"> REF _Ref114499332 \r \h </w:instrText>
      </w:r>
      <w:r w:rsidR="00BA5253" w:rsidRPr="00BA5253">
        <w:instrText xml:space="preserve"> \* MERGEFORMAT </w:instrText>
      </w:r>
      <w:r w:rsidRPr="00BA5253">
        <w:fldChar w:fldCharType="separate"/>
      </w:r>
      <w:r w:rsidR="005C5B5E">
        <w:t>13.2</w:t>
      </w:r>
      <w:r w:rsidRPr="00BA5253">
        <w:fldChar w:fldCharType="end"/>
      </w:r>
      <w:r w:rsidRPr="00BA5253">
        <w:t>; and</w:t>
      </w:r>
    </w:p>
    <w:p w14:paraId="3A5C0661" w14:textId="13B2C925" w:rsidR="008C27E1" w:rsidRPr="00BA5253" w:rsidRDefault="008C27E1" w:rsidP="005C5B5E">
      <w:pPr>
        <w:pStyle w:val="Heading3"/>
        <w:spacing w:before="120" w:after="120"/>
      </w:pPr>
      <w:r w:rsidRPr="00BA5253">
        <w:t xml:space="preserve">provide copies of those records to the </w:t>
      </w:r>
      <w:r w:rsidR="00A52257" w:rsidRPr="00BA5253">
        <w:t>Buyer</w:t>
      </w:r>
      <w:r w:rsidRPr="00BA5253">
        <w:t xml:space="preserve"> within 10 Working Days of any request by the </w:t>
      </w:r>
      <w:r w:rsidR="00A52257" w:rsidRPr="00BA5253">
        <w:t>Buyer</w:t>
      </w:r>
      <w:r w:rsidRPr="00BA5253">
        <w:t>.</w:t>
      </w:r>
    </w:p>
    <w:p w14:paraId="4FFC276B" w14:textId="78FB7979" w:rsidR="00F633BF" w:rsidRPr="00BA5253" w:rsidRDefault="00F633BF" w:rsidP="005C5B5E">
      <w:pPr>
        <w:pStyle w:val="Heading1"/>
        <w:spacing w:before="120" w:after="120"/>
      </w:pPr>
      <w:bookmarkStart w:id="38" w:name="_Ref115347766"/>
      <w:r w:rsidRPr="00BA5253">
        <w:t xml:space="preserve">Information about </w:t>
      </w:r>
      <w:r w:rsidR="00F515B7">
        <w:t>Sub-contractor</w:t>
      </w:r>
      <w:r w:rsidRPr="00BA5253">
        <w:t>s, Sites</w:t>
      </w:r>
      <w:r w:rsidR="00A2675A" w:rsidRPr="00BA5253">
        <w:t xml:space="preserve"> and</w:t>
      </w:r>
      <w:r w:rsidRPr="00BA5253">
        <w:t xml:space="preserve"> </w:t>
      </w:r>
      <w:r w:rsidR="004E2394" w:rsidRPr="00BA5253">
        <w:t>Third-party Tool</w:t>
      </w:r>
      <w:r w:rsidRPr="00BA5253">
        <w:t>s</w:t>
      </w:r>
      <w:bookmarkEnd w:id="38"/>
    </w:p>
    <w:p w14:paraId="3C6F8B17" w14:textId="4C6776A2" w:rsidR="00F633BF" w:rsidRPr="00BA5253" w:rsidRDefault="00F633BF" w:rsidP="005C5B5E">
      <w:pPr>
        <w:pStyle w:val="Heading2"/>
        <w:spacing w:before="120" w:after="120"/>
      </w:pPr>
      <w:bookmarkStart w:id="39" w:name="_Ref114501799"/>
      <w:r w:rsidRPr="00BA5253">
        <w:t>The Supplier must keep the following records:</w:t>
      </w:r>
      <w:bookmarkEnd w:id="39"/>
    </w:p>
    <w:p w14:paraId="33DFA59B" w14:textId="12BE2874" w:rsidR="00F633BF" w:rsidRPr="00BA5253" w:rsidRDefault="00F633BF" w:rsidP="005C5B5E">
      <w:pPr>
        <w:pStyle w:val="Heading3"/>
        <w:spacing w:before="120" w:after="120"/>
      </w:pPr>
      <w:r w:rsidRPr="00BA5253">
        <w:t xml:space="preserve">for </w:t>
      </w:r>
      <w:r w:rsidR="00F515B7">
        <w:t>Sub-contractor</w:t>
      </w:r>
      <w:r w:rsidRPr="00BA5253">
        <w:t xml:space="preserve">s or third parties that </w:t>
      </w:r>
      <w:r w:rsidR="00B04DF3" w:rsidRPr="00BA5253">
        <w:t xml:space="preserve">store, </w:t>
      </w:r>
      <w:r w:rsidRPr="00BA5253">
        <w:t xml:space="preserve">have access to or </w:t>
      </w:r>
      <w:r w:rsidR="002D0410" w:rsidRPr="00BA5253">
        <w:t>Handle</w:t>
      </w:r>
      <w:r w:rsidRPr="00BA5253">
        <w:t xml:space="preserve"> </w:t>
      </w:r>
      <w:r w:rsidR="00BC37A8" w:rsidRPr="00BA5253">
        <w:t>Government Data</w:t>
      </w:r>
      <w:r w:rsidRPr="00BA5253">
        <w:t>:</w:t>
      </w:r>
    </w:p>
    <w:p w14:paraId="25596A81" w14:textId="24229F1E" w:rsidR="00F633BF" w:rsidRPr="00BA5253" w:rsidRDefault="00F633BF" w:rsidP="005C5B5E">
      <w:pPr>
        <w:pStyle w:val="Heading4"/>
        <w:spacing w:before="120" w:after="120"/>
      </w:pPr>
      <w:r w:rsidRPr="00BA5253">
        <w:t xml:space="preserve">the </w:t>
      </w:r>
      <w:r w:rsidR="00F515B7">
        <w:t>Sub-contractor</w:t>
      </w:r>
      <w:r w:rsidRPr="00BA5253">
        <w:t xml:space="preserve"> or third</w:t>
      </w:r>
      <w:r w:rsidR="007B4F0F" w:rsidRPr="00BA5253">
        <w:t>-</w:t>
      </w:r>
      <w:r w:rsidRPr="00BA5253">
        <w:t>party’s name:</w:t>
      </w:r>
    </w:p>
    <w:p w14:paraId="7257A9CE" w14:textId="77777777" w:rsidR="00F633BF" w:rsidRPr="00BA5253" w:rsidRDefault="00F633BF" w:rsidP="005C5B5E">
      <w:pPr>
        <w:pStyle w:val="Heading5"/>
        <w:spacing w:before="120" w:after="120"/>
      </w:pPr>
      <w:r w:rsidRPr="00BA5253">
        <w:t>legal name;</w:t>
      </w:r>
    </w:p>
    <w:p w14:paraId="281A46F6" w14:textId="77777777" w:rsidR="00F633BF" w:rsidRPr="00BA5253" w:rsidRDefault="00F633BF" w:rsidP="005C5B5E">
      <w:pPr>
        <w:pStyle w:val="Heading5"/>
        <w:spacing w:before="120" w:after="120"/>
      </w:pPr>
      <w:r w:rsidRPr="00BA5253">
        <w:t xml:space="preserve">trading name (if any); and </w:t>
      </w:r>
    </w:p>
    <w:p w14:paraId="1321206A" w14:textId="5F3F10FC" w:rsidR="00F633BF" w:rsidRPr="00BA5253" w:rsidRDefault="00F633BF" w:rsidP="005C5B5E">
      <w:pPr>
        <w:pStyle w:val="Heading5"/>
        <w:spacing w:before="120" w:after="120"/>
      </w:pPr>
      <w:r w:rsidRPr="00BA5253">
        <w:t xml:space="preserve">registration details (where the </w:t>
      </w:r>
      <w:r w:rsidR="00F515B7">
        <w:t>Sub-contractor</w:t>
      </w:r>
      <w:r w:rsidRPr="00BA5253">
        <w:t xml:space="preserve"> is not an individual), including:</w:t>
      </w:r>
    </w:p>
    <w:p w14:paraId="27929A54" w14:textId="77777777" w:rsidR="00F633BF" w:rsidRPr="00BA5253" w:rsidRDefault="00F633BF" w:rsidP="005C5B5E">
      <w:pPr>
        <w:pStyle w:val="Heading6"/>
        <w:spacing w:before="120" w:after="120"/>
      </w:pPr>
      <w:r w:rsidRPr="00BA5253">
        <w:t>country of registration;</w:t>
      </w:r>
    </w:p>
    <w:p w14:paraId="3E376068" w14:textId="77777777" w:rsidR="00F633BF" w:rsidRPr="00BA5253" w:rsidRDefault="00F633BF" w:rsidP="005C5B5E">
      <w:pPr>
        <w:pStyle w:val="Heading6"/>
        <w:spacing w:before="120" w:after="120"/>
      </w:pPr>
      <w:r w:rsidRPr="00BA5253">
        <w:t xml:space="preserve">registration number (if applicable); and </w:t>
      </w:r>
    </w:p>
    <w:p w14:paraId="6D7A5217" w14:textId="774D0935" w:rsidR="00F633BF" w:rsidRPr="00BA5253" w:rsidRDefault="00F633BF" w:rsidP="005C5B5E">
      <w:pPr>
        <w:pStyle w:val="Heading6"/>
        <w:spacing w:before="120" w:after="120"/>
      </w:pPr>
      <w:r w:rsidRPr="00BA5253">
        <w:t>registered address;</w:t>
      </w:r>
    </w:p>
    <w:p w14:paraId="78E53C33" w14:textId="117B75E5" w:rsidR="00F633BF" w:rsidRPr="00BA5253" w:rsidRDefault="00F633BF" w:rsidP="005C5B5E">
      <w:pPr>
        <w:pStyle w:val="Heading4"/>
        <w:spacing w:before="120" w:after="120"/>
      </w:pPr>
      <w:r w:rsidRPr="00BA5253">
        <w:t xml:space="preserve">the Certifications held by the </w:t>
      </w:r>
      <w:r w:rsidR="00F515B7">
        <w:t>Sub-contractor</w:t>
      </w:r>
      <w:r w:rsidRPr="00BA5253">
        <w:t xml:space="preserve"> or third party;</w:t>
      </w:r>
    </w:p>
    <w:p w14:paraId="0D436B7D" w14:textId="486681FF" w:rsidR="00F633BF" w:rsidRPr="00BA5253" w:rsidRDefault="00F633BF" w:rsidP="005C5B5E">
      <w:pPr>
        <w:pStyle w:val="Heading4"/>
        <w:spacing w:before="120" w:after="120"/>
      </w:pPr>
      <w:r w:rsidRPr="00BA5253">
        <w:t xml:space="preserve">the Sites used by the </w:t>
      </w:r>
      <w:r w:rsidR="00F515B7">
        <w:t>Sub-contractor</w:t>
      </w:r>
      <w:r w:rsidRPr="00BA5253">
        <w:t xml:space="preserve"> or third party;</w:t>
      </w:r>
    </w:p>
    <w:p w14:paraId="6E7F50BB" w14:textId="1F95E922" w:rsidR="00F633BF" w:rsidRPr="00BA5253" w:rsidRDefault="00F633BF" w:rsidP="005C5B5E">
      <w:pPr>
        <w:pStyle w:val="Heading4"/>
        <w:spacing w:before="120" w:after="120"/>
      </w:pPr>
      <w:r w:rsidRPr="00BA5253">
        <w:t xml:space="preserve">the Services provided or activities undertaken by the </w:t>
      </w:r>
      <w:r w:rsidR="00F515B7">
        <w:t>Sub-contractor</w:t>
      </w:r>
      <w:r w:rsidRPr="00BA5253">
        <w:t xml:space="preserve"> or third party;</w:t>
      </w:r>
    </w:p>
    <w:p w14:paraId="25490A39" w14:textId="551D7A7E" w:rsidR="00F633BF" w:rsidRPr="00BA5253" w:rsidRDefault="00F633BF" w:rsidP="005C5B5E">
      <w:pPr>
        <w:pStyle w:val="Heading4"/>
        <w:spacing w:before="120" w:after="120"/>
      </w:pPr>
      <w:r w:rsidRPr="00BA5253">
        <w:t xml:space="preserve">the access the </w:t>
      </w:r>
      <w:r w:rsidR="00F515B7">
        <w:t>Sub-contractor</w:t>
      </w:r>
      <w:r w:rsidRPr="00BA5253">
        <w:t xml:space="preserve"> or third party has to the Supplier System;</w:t>
      </w:r>
    </w:p>
    <w:p w14:paraId="7E1A02F2" w14:textId="66F11601" w:rsidR="00F633BF" w:rsidRPr="00BA5253" w:rsidRDefault="00F633BF" w:rsidP="005C5B5E">
      <w:pPr>
        <w:pStyle w:val="Heading4"/>
        <w:spacing w:before="120" w:after="120"/>
      </w:pPr>
      <w:r w:rsidRPr="00BA5253">
        <w:t xml:space="preserve">the </w:t>
      </w:r>
      <w:r w:rsidR="00BC37A8" w:rsidRPr="00BA5253">
        <w:t>Government Data</w:t>
      </w:r>
      <w:r w:rsidRPr="00BA5253">
        <w:t xml:space="preserve"> </w:t>
      </w:r>
      <w:r w:rsidR="005551EB" w:rsidRPr="00BA5253">
        <w:t>Handled</w:t>
      </w:r>
      <w:r w:rsidRPr="00BA5253">
        <w:t xml:space="preserve"> by the </w:t>
      </w:r>
      <w:r w:rsidR="00F515B7">
        <w:t>Sub-contractor</w:t>
      </w:r>
      <w:r w:rsidRPr="00BA5253">
        <w:t xml:space="preserve"> or third party; and</w:t>
      </w:r>
    </w:p>
    <w:p w14:paraId="00593233" w14:textId="4818D033" w:rsidR="00F633BF" w:rsidRPr="00BA5253" w:rsidRDefault="00F633BF" w:rsidP="005C5B5E">
      <w:pPr>
        <w:pStyle w:val="Heading4"/>
        <w:spacing w:before="120" w:after="120"/>
      </w:pPr>
      <w:r w:rsidRPr="00BA5253">
        <w:t xml:space="preserve">the measures the </w:t>
      </w:r>
      <w:r w:rsidR="00F515B7">
        <w:t>Sub-contractor</w:t>
      </w:r>
      <w:r w:rsidRPr="00BA5253">
        <w:t xml:space="preserve"> or third party has in place to comply with the requirements of this </w:t>
      </w:r>
      <w:r w:rsidR="00BA5253" w:rsidRPr="00BA5253">
        <w:t>Schedule</w:t>
      </w:r>
      <w:r w:rsidRPr="00BA5253">
        <w:t>;</w:t>
      </w:r>
    </w:p>
    <w:p w14:paraId="383F09A2" w14:textId="3ED27098" w:rsidR="00F633BF" w:rsidRPr="00BA5253" w:rsidRDefault="00F633BF" w:rsidP="005C5B5E">
      <w:pPr>
        <w:pStyle w:val="Heading3"/>
        <w:spacing w:before="120" w:after="120"/>
      </w:pPr>
      <w:r w:rsidRPr="00BA5253">
        <w:t xml:space="preserve">for Sites from or at which </w:t>
      </w:r>
      <w:r w:rsidR="00BC37A8" w:rsidRPr="00BA5253">
        <w:t>Government Data</w:t>
      </w:r>
      <w:r w:rsidRPr="00BA5253">
        <w:t xml:space="preserve"> is accessed or </w:t>
      </w:r>
      <w:r w:rsidR="005551EB" w:rsidRPr="00BA5253">
        <w:t>Handled</w:t>
      </w:r>
      <w:r w:rsidRPr="00BA5253">
        <w:t>:</w:t>
      </w:r>
    </w:p>
    <w:p w14:paraId="0D87E867" w14:textId="31FCE441" w:rsidR="00F633BF" w:rsidRPr="00BA5253" w:rsidRDefault="00F633BF" w:rsidP="005C5B5E">
      <w:pPr>
        <w:pStyle w:val="Heading4"/>
        <w:spacing w:before="120" w:after="120"/>
      </w:pPr>
      <w:r w:rsidRPr="00BA5253">
        <w:t>the location of the Site;</w:t>
      </w:r>
    </w:p>
    <w:p w14:paraId="4DCD4F81" w14:textId="64770272" w:rsidR="00F633BF" w:rsidRPr="00BA5253" w:rsidRDefault="00F633BF" w:rsidP="005C5B5E">
      <w:pPr>
        <w:pStyle w:val="Heading4"/>
        <w:spacing w:before="120" w:after="120"/>
      </w:pPr>
      <w:r w:rsidRPr="00BA5253">
        <w:t>the operator of the Site, including the operator’s:</w:t>
      </w:r>
    </w:p>
    <w:p w14:paraId="0009166C" w14:textId="77777777" w:rsidR="00F633BF" w:rsidRPr="00BA5253" w:rsidRDefault="00F633BF" w:rsidP="005C5B5E">
      <w:pPr>
        <w:pStyle w:val="Heading5"/>
        <w:spacing w:before="120" w:after="120"/>
      </w:pPr>
      <w:r w:rsidRPr="00BA5253">
        <w:t>legal name;</w:t>
      </w:r>
    </w:p>
    <w:p w14:paraId="77ADED38" w14:textId="77777777" w:rsidR="00F633BF" w:rsidRPr="00BA5253" w:rsidRDefault="00F633BF" w:rsidP="005C5B5E">
      <w:pPr>
        <w:pStyle w:val="Heading5"/>
        <w:spacing w:before="120" w:after="120"/>
      </w:pPr>
      <w:r w:rsidRPr="00BA5253">
        <w:t xml:space="preserve">trading name (if any); and </w:t>
      </w:r>
    </w:p>
    <w:p w14:paraId="66728231" w14:textId="7AF820DF" w:rsidR="00F633BF" w:rsidRPr="00BA5253" w:rsidRDefault="00F633BF" w:rsidP="005C5B5E">
      <w:pPr>
        <w:pStyle w:val="Heading5"/>
        <w:spacing w:before="120" w:after="120"/>
      </w:pPr>
      <w:r w:rsidRPr="00BA5253">
        <w:t xml:space="preserve">registration details (where the </w:t>
      </w:r>
      <w:r w:rsidR="00F515B7">
        <w:t>Sub-contractor</w:t>
      </w:r>
      <w:r w:rsidRPr="00BA5253">
        <w:t xml:space="preserve"> is not an individual);</w:t>
      </w:r>
    </w:p>
    <w:p w14:paraId="44A5BA09" w14:textId="198A64F7" w:rsidR="00F633BF" w:rsidRPr="00BA5253" w:rsidRDefault="00F633BF" w:rsidP="005C5B5E">
      <w:pPr>
        <w:pStyle w:val="Heading4"/>
        <w:spacing w:before="120" w:after="120"/>
      </w:pPr>
      <w:r w:rsidRPr="00BA5253">
        <w:t>the Certifications that apply to the Site;</w:t>
      </w:r>
      <w:r w:rsidR="00586A00">
        <w:t xml:space="preserve"> and</w:t>
      </w:r>
    </w:p>
    <w:p w14:paraId="264E49E1" w14:textId="7EF35396" w:rsidR="00F633BF" w:rsidRPr="00BA5253" w:rsidRDefault="00F633BF" w:rsidP="005C5B5E">
      <w:pPr>
        <w:pStyle w:val="Heading4"/>
        <w:spacing w:before="120" w:after="120"/>
      </w:pPr>
      <w:r w:rsidRPr="00BA5253">
        <w:t xml:space="preserve">the </w:t>
      </w:r>
      <w:r w:rsidR="00BC37A8" w:rsidRPr="00BA5253">
        <w:t>Government Data</w:t>
      </w:r>
      <w:r w:rsidRPr="00BA5253">
        <w:t xml:space="preserve"> stored at, or </w:t>
      </w:r>
      <w:r w:rsidR="005551EB" w:rsidRPr="00BA5253">
        <w:t>Handled</w:t>
      </w:r>
      <w:r w:rsidRPr="00BA5253">
        <w:t xml:space="preserve"> from, the site; and</w:t>
      </w:r>
    </w:p>
    <w:p w14:paraId="64BE8DF0" w14:textId="0B64607D" w:rsidR="00F633BF" w:rsidRPr="00BA5253" w:rsidRDefault="00F633BF" w:rsidP="005C5B5E">
      <w:pPr>
        <w:pStyle w:val="Heading3"/>
        <w:spacing w:before="120" w:after="120"/>
      </w:pPr>
      <w:r w:rsidRPr="00BA5253">
        <w:t xml:space="preserve">for </w:t>
      </w:r>
      <w:r w:rsidR="004E2394" w:rsidRPr="00BA5253">
        <w:t>Third-party Tool</w:t>
      </w:r>
      <w:r w:rsidRPr="00BA5253">
        <w:t>s:</w:t>
      </w:r>
    </w:p>
    <w:p w14:paraId="7EE2CBB2" w14:textId="4FC207ED" w:rsidR="00F633BF" w:rsidRPr="00BA5253" w:rsidRDefault="00F633BF" w:rsidP="005C5B5E">
      <w:pPr>
        <w:pStyle w:val="Heading4"/>
        <w:spacing w:before="120" w:after="120"/>
      </w:pPr>
      <w:r w:rsidRPr="00BA5253">
        <w:lastRenderedPageBreak/>
        <w:t xml:space="preserve">the name of the </w:t>
      </w:r>
      <w:r w:rsidR="004E2394" w:rsidRPr="00BA5253">
        <w:t>Third-party Tool</w:t>
      </w:r>
      <w:r w:rsidRPr="00BA5253">
        <w:t>;</w:t>
      </w:r>
    </w:p>
    <w:p w14:paraId="38771E6E" w14:textId="49C9C95A" w:rsidR="00F633BF" w:rsidRPr="00BA5253" w:rsidRDefault="00F633BF" w:rsidP="005C5B5E">
      <w:pPr>
        <w:pStyle w:val="Heading4"/>
        <w:spacing w:before="120" w:after="120"/>
      </w:pPr>
      <w:r w:rsidRPr="00BA5253">
        <w:t xml:space="preserve">the nature of the activity or operation performed by the Third-Party Tool on the </w:t>
      </w:r>
      <w:r w:rsidR="00BC37A8" w:rsidRPr="00BA5253">
        <w:t>Government Data</w:t>
      </w:r>
      <w:r w:rsidRPr="00BA5253">
        <w:t>; and</w:t>
      </w:r>
    </w:p>
    <w:p w14:paraId="77DEBBFD" w14:textId="1332364E" w:rsidR="00F633BF" w:rsidRPr="00BA5253" w:rsidRDefault="00F633BF" w:rsidP="005C5B5E">
      <w:pPr>
        <w:pStyle w:val="Heading4"/>
        <w:spacing w:before="120" w:after="120"/>
      </w:pPr>
      <w:r w:rsidRPr="00BA5253">
        <w:t>in respect of the entity providing the Third-Party Tool, its:</w:t>
      </w:r>
    </w:p>
    <w:p w14:paraId="36DEC03D" w14:textId="77777777" w:rsidR="00F633BF" w:rsidRPr="00BA5253" w:rsidRDefault="00F633BF" w:rsidP="005C5B5E">
      <w:pPr>
        <w:pStyle w:val="Heading5"/>
        <w:spacing w:before="120" w:after="120"/>
      </w:pPr>
      <w:r w:rsidRPr="00BA5253">
        <w:t>full legal name;</w:t>
      </w:r>
    </w:p>
    <w:p w14:paraId="1A81AA39" w14:textId="77777777" w:rsidR="00F633BF" w:rsidRPr="00BA5253" w:rsidRDefault="00F633BF" w:rsidP="005C5B5E">
      <w:pPr>
        <w:pStyle w:val="Heading5"/>
        <w:spacing w:before="120" w:after="120"/>
      </w:pPr>
      <w:r w:rsidRPr="00BA5253">
        <w:t>trading name (if any)</w:t>
      </w:r>
    </w:p>
    <w:p w14:paraId="7B6BF9D0" w14:textId="77777777" w:rsidR="00F633BF" w:rsidRPr="00BA5253" w:rsidRDefault="00F633BF" w:rsidP="005C5B5E">
      <w:pPr>
        <w:pStyle w:val="Heading5"/>
        <w:spacing w:before="120" w:after="120"/>
      </w:pPr>
      <w:r w:rsidRPr="00BA5253">
        <w:t>country of registration;</w:t>
      </w:r>
    </w:p>
    <w:p w14:paraId="785B87BC" w14:textId="77777777" w:rsidR="00F633BF" w:rsidRPr="00BA5253" w:rsidRDefault="00F633BF" w:rsidP="005C5B5E">
      <w:pPr>
        <w:pStyle w:val="Heading5"/>
        <w:spacing w:before="120" w:after="120"/>
      </w:pPr>
      <w:r w:rsidRPr="00BA5253">
        <w:t xml:space="preserve">registration number (if applicable); and </w:t>
      </w:r>
    </w:p>
    <w:p w14:paraId="04E9D92C" w14:textId="3CDE9429" w:rsidR="00F633BF" w:rsidRPr="00BA5253" w:rsidRDefault="00F633BF" w:rsidP="005C5B5E">
      <w:pPr>
        <w:pStyle w:val="Heading5"/>
        <w:spacing w:before="120" w:after="120"/>
      </w:pPr>
      <w:r w:rsidRPr="00BA5253">
        <w:t>registered address.</w:t>
      </w:r>
    </w:p>
    <w:p w14:paraId="41E6D05F" w14:textId="5BC89C40" w:rsidR="00F633BF" w:rsidRPr="00BA5253" w:rsidRDefault="00F633BF" w:rsidP="005C5B5E">
      <w:pPr>
        <w:pStyle w:val="Heading2"/>
        <w:spacing w:before="120" w:after="120"/>
      </w:pPr>
      <w:r w:rsidRPr="00BA5253">
        <w:t>The Supplier must update the records it keeps in accordance with Paragraph </w:t>
      </w:r>
      <w:r w:rsidRPr="00BA5253">
        <w:fldChar w:fldCharType="begin"/>
      </w:r>
      <w:r w:rsidRPr="00BA5253">
        <w:instrText xml:space="preserve"> REF _Ref114501799 \r \h </w:instrText>
      </w:r>
      <w:r w:rsidR="00BA5253" w:rsidRPr="00BA5253">
        <w:instrText xml:space="preserve"> \* MERGEFORMAT </w:instrText>
      </w:r>
      <w:r w:rsidRPr="00BA5253">
        <w:fldChar w:fldCharType="separate"/>
      </w:r>
      <w:r w:rsidR="005C5B5E">
        <w:t>14.1</w:t>
      </w:r>
      <w:r w:rsidRPr="00BA5253">
        <w:fldChar w:fldCharType="end"/>
      </w:r>
      <w:r w:rsidRPr="00BA5253">
        <w:t>:</w:t>
      </w:r>
    </w:p>
    <w:p w14:paraId="2BEC2925" w14:textId="23CB24D3" w:rsidR="00F633BF" w:rsidRPr="00BA5253" w:rsidRDefault="00F633BF" w:rsidP="005C5B5E">
      <w:pPr>
        <w:pStyle w:val="Heading3"/>
        <w:spacing w:before="120" w:after="120"/>
      </w:pPr>
      <w:r w:rsidRPr="00BA5253">
        <w:t>at least four times each Contract Year;</w:t>
      </w:r>
    </w:p>
    <w:p w14:paraId="43506CA6" w14:textId="1C11FDE1" w:rsidR="00F633BF" w:rsidRPr="00BA5253" w:rsidRDefault="00F633BF" w:rsidP="005C5B5E">
      <w:pPr>
        <w:pStyle w:val="Heading3"/>
        <w:spacing w:before="120" w:after="120"/>
      </w:pPr>
      <w:r w:rsidRPr="00BA5253">
        <w:t xml:space="preserve">whenever a </w:t>
      </w:r>
      <w:r w:rsidR="00F515B7">
        <w:t>Sub-contractor</w:t>
      </w:r>
      <w:r w:rsidRPr="00BA5253">
        <w:t xml:space="preserve">, third party that accesses or </w:t>
      </w:r>
      <w:r w:rsidR="005551EB" w:rsidRPr="00BA5253">
        <w:t>Handles</w:t>
      </w:r>
      <w:r w:rsidRPr="00BA5253">
        <w:t xml:space="preserve"> </w:t>
      </w:r>
      <w:r w:rsidR="00BC37A8" w:rsidRPr="00BA5253">
        <w:t>Government Data</w:t>
      </w:r>
      <w:r w:rsidRPr="00BA5253">
        <w:t xml:space="preserve">, </w:t>
      </w:r>
      <w:r w:rsidR="004E2394" w:rsidRPr="00BA5253">
        <w:t>Third-party Tool</w:t>
      </w:r>
      <w:r w:rsidRPr="00BA5253">
        <w:t xml:space="preserve"> or Site changes; or</w:t>
      </w:r>
    </w:p>
    <w:p w14:paraId="10BA79DA" w14:textId="3401E52D" w:rsidR="00F633BF" w:rsidRPr="00BA5253" w:rsidRDefault="00F633BF" w:rsidP="005C5B5E">
      <w:pPr>
        <w:pStyle w:val="Heading3"/>
        <w:spacing w:before="120" w:after="120"/>
      </w:pPr>
      <w:r w:rsidRPr="00BA5253">
        <w:t>whenever required to go so by the Buyer.</w:t>
      </w:r>
    </w:p>
    <w:p w14:paraId="61B61A81" w14:textId="57528586" w:rsidR="00F633BF" w:rsidRPr="00BA5253" w:rsidRDefault="00F633BF" w:rsidP="005C5B5E">
      <w:pPr>
        <w:pStyle w:val="Heading2"/>
        <w:spacing w:before="120" w:after="120"/>
      </w:pPr>
      <w:r w:rsidRPr="00BA5253">
        <w:t>The Supplier must provide copies of the records it keeps in accordance with Paragraph </w:t>
      </w:r>
      <w:r w:rsidRPr="00BA5253">
        <w:fldChar w:fldCharType="begin"/>
      </w:r>
      <w:r w:rsidRPr="00BA5253">
        <w:instrText xml:space="preserve"> REF _Ref114501799 \r \h </w:instrText>
      </w:r>
      <w:r w:rsidR="00BA5253" w:rsidRPr="00BA5253">
        <w:instrText xml:space="preserve"> \* MERGEFORMAT </w:instrText>
      </w:r>
      <w:r w:rsidRPr="00BA5253">
        <w:fldChar w:fldCharType="separate"/>
      </w:r>
      <w:r w:rsidR="005C5B5E">
        <w:t>14.1</w:t>
      </w:r>
      <w:r w:rsidRPr="00BA5253">
        <w:fldChar w:fldCharType="end"/>
      </w:r>
      <w:r w:rsidRPr="00BA5253">
        <w:t xml:space="preserve"> to the </w:t>
      </w:r>
      <w:r w:rsidR="00A52257" w:rsidRPr="00BA5253">
        <w:t>Buyer</w:t>
      </w:r>
      <w:r w:rsidRPr="00BA5253">
        <w:t xml:space="preserve"> within 10 Working Days of any request by the </w:t>
      </w:r>
      <w:r w:rsidR="00A52257" w:rsidRPr="00BA5253">
        <w:t>Buyer</w:t>
      </w:r>
      <w:r w:rsidRPr="00BA5253">
        <w:t>.</w:t>
      </w:r>
    </w:p>
    <w:p w14:paraId="6E32EB6D" w14:textId="619B68F6" w:rsidR="00816850" w:rsidRPr="00BA5253" w:rsidRDefault="00816850" w:rsidP="005C5B5E">
      <w:pPr>
        <w:pStyle w:val="Heading1"/>
        <w:spacing w:before="120" w:after="120"/>
        <w:rPr>
          <w:b w:val="0"/>
          <w:bCs/>
        </w:rPr>
      </w:pPr>
      <w:bookmarkStart w:id="40" w:name="_Ref115016732"/>
      <w:r w:rsidRPr="00BA5253">
        <w:t>Encryption</w:t>
      </w:r>
      <w:bookmarkEnd w:id="40"/>
    </w:p>
    <w:p w14:paraId="28178A39" w14:textId="794565BE" w:rsidR="00816850" w:rsidRPr="00BA5253" w:rsidRDefault="00816850" w:rsidP="005C5B5E">
      <w:pPr>
        <w:pStyle w:val="Heading2"/>
        <w:spacing w:before="120" w:after="120"/>
      </w:pPr>
      <w:r w:rsidRPr="00BA5253">
        <w:t xml:space="preserve">The Supplier must, and must ensure that all </w:t>
      </w:r>
      <w:r w:rsidR="00F515B7">
        <w:t>Sub-contractor</w:t>
      </w:r>
      <w:r w:rsidRPr="00BA5253">
        <w:t xml:space="preserve">s, encrypt </w:t>
      </w:r>
      <w:r w:rsidR="00BC37A8" w:rsidRPr="00BA5253">
        <w:t>Government Data</w:t>
      </w:r>
      <w:r w:rsidRPr="00BA5253">
        <w:t>:</w:t>
      </w:r>
    </w:p>
    <w:p w14:paraId="2A1E7D68" w14:textId="77777777" w:rsidR="00816850" w:rsidRPr="00BA5253" w:rsidRDefault="00816850" w:rsidP="005C5B5E">
      <w:pPr>
        <w:pStyle w:val="Heading3"/>
        <w:spacing w:before="120" w:after="120"/>
      </w:pPr>
      <w:r w:rsidRPr="00BA5253">
        <w:t>when stored at any time when no operation is being performed on it, including when stored on any portable storage media; and</w:t>
      </w:r>
    </w:p>
    <w:p w14:paraId="10D09EB8" w14:textId="1A8672AF" w:rsidR="00816850" w:rsidRPr="00BA5253" w:rsidRDefault="00816850" w:rsidP="005C5B5E">
      <w:pPr>
        <w:pStyle w:val="Heading3"/>
        <w:spacing w:before="120" w:after="120"/>
      </w:pPr>
      <w:r w:rsidRPr="00BA5253">
        <w:t>when transmitted.</w:t>
      </w:r>
    </w:p>
    <w:p w14:paraId="32EA6AD5" w14:textId="4B34E524" w:rsidR="00816850" w:rsidRPr="00BA5253" w:rsidRDefault="006B1C83" w:rsidP="005C5B5E">
      <w:pPr>
        <w:pStyle w:val="Heading1"/>
        <w:spacing w:before="120" w:after="120"/>
      </w:pPr>
      <w:bookmarkStart w:id="41" w:name="_Ref167089662"/>
      <w:r w:rsidRPr="00BA5253">
        <w:t>Protective Monitoring System</w:t>
      </w:r>
      <w:bookmarkEnd w:id="41"/>
    </w:p>
    <w:p w14:paraId="4E41C4B0" w14:textId="70D61178" w:rsidR="00816850" w:rsidRPr="00BA5253" w:rsidRDefault="00816850" w:rsidP="005C5B5E">
      <w:pPr>
        <w:pStyle w:val="Heading2"/>
        <w:spacing w:before="120" w:after="120"/>
      </w:pPr>
      <w:bookmarkStart w:id="42" w:name="_Ref101778507"/>
      <w:r w:rsidRPr="00BA5253">
        <w:t xml:space="preserve">The Supplier must, and must ensure that </w:t>
      </w:r>
      <w:r w:rsidR="00F515B7">
        <w:t>Sub-contractor</w:t>
      </w:r>
      <w:r w:rsidRPr="00BA5253">
        <w:t xml:space="preserve">s, implement an effective system of monitoring and reports, analysing access to and use of the Supplier System and the </w:t>
      </w:r>
      <w:r w:rsidR="00BC37A8" w:rsidRPr="00BA5253">
        <w:t>Government Data</w:t>
      </w:r>
      <w:r w:rsidRPr="00BA5253">
        <w:t xml:space="preserve"> to:</w:t>
      </w:r>
      <w:bookmarkEnd w:id="42"/>
    </w:p>
    <w:p w14:paraId="4C237305" w14:textId="0F1B6D7F" w:rsidR="00816850" w:rsidRPr="00BA5253" w:rsidRDefault="00816850" w:rsidP="005C5B5E">
      <w:pPr>
        <w:pStyle w:val="Heading3"/>
        <w:spacing w:before="120" w:after="120"/>
      </w:pPr>
      <w:r w:rsidRPr="00BA5253">
        <w:t xml:space="preserve">identify and prevent </w:t>
      </w:r>
      <w:r w:rsidR="000B7EF9" w:rsidRPr="00BA5253">
        <w:t xml:space="preserve">any </w:t>
      </w:r>
      <w:r w:rsidRPr="00BA5253">
        <w:t>potential Breach of Security;</w:t>
      </w:r>
    </w:p>
    <w:p w14:paraId="070073EA" w14:textId="2FB5B83E" w:rsidR="00816850" w:rsidRPr="00BA5253" w:rsidRDefault="00816850" w:rsidP="005C5B5E">
      <w:pPr>
        <w:pStyle w:val="Heading3"/>
        <w:spacing w:before="120" w:after="120"/>
      </w:pPr>
      <w:r w:rsidRPr="00BA5253">
        <w:t>respond effectively and in a timely manner to</w:t>
      </w:r>
      <w:r w:rsidR="000B7EF9" w:rsidRPr="00BA5253">
        <w:t xml:space="preserve"> any</w:t>
      </w:r>
      <w:r w:rsidRPr="00BA5253">
        <w:t xml:space="preserve"> Breach of Security that do</w:t>
      </w:r>
      <w:r w:rsidR="000B7EF9" w:rsidRPr="00BA5253">
        <w:t>es</w:t>
      </w:r>
      <w:r w:rsidRPr="00BA5253">
        <w:t>;</w:t>
      </w:r>
    </w:p>
    <w:p w14:paraId="376B9D78" w14:textId="590F0167" w:rsidR="00816850" w:rsidRPr="00BA5253" w:rsidRDefault="00816850" w:rsidP="005C5B5E">
      <w:pPr>
        <w:pStyle w:val="Heading3"/>
        <w:spacing w:before="120" w:after="120"/>
      </w:pPr>
      <w:r w:rsidRPr="00BA5253">
        <w:t xml:space="preserve">identify and implement changes to the Supplier System to prevent future </w:t>
      </w:r>
      <w:r w:rsidR="000B7EF9" w:rsidRPr="00BA5253">
        <w:t xml:space="preserve">any </w:t>
      </w:r>
      <w:r w:rsidRPr="00BA5253">
        <w:t>Breach of Security; and</w:t>
      </w:r>
    </w:p>
    <w:p w14:paraId="3684C6AE" w14:textId="115A11A8" w:rsidR="00816850" w:rsidRPr="00BA5253" w:rsidRDefault="00816850" w:rsidP="005C5B5E">
      <w:pPr>
        <w:pStyle w:val="Heading3"/>
        <w:spacing w:before="120" w:after="120"/>
      </w:pPr>
      <w:r w:rsidRPr="00BA5253">
        <w:t>help detect and prevent any potential criminal offence relating to fraud, bribery or corruption using the Supplier System</w:t>
      </w:r>
      <w:r w:rsidR="000B7EF9" w:rsidRPr="00BA5253">
        <w:t>,</w:t>
      </w:r>
    </w:p>
    <w:p w14:paraId="1EC6E2FF" w14:textId="77777777" w:rsidR="00816850" w:rsidRPr="00BA5253" w:rsidRDefault="00816850" w:rsidP="005C5B5E">
      <w:pPr>
        <w:pStyle w:val="Heading2"/>
        <w:numPr>
          <w:ilvl w:val="0"/>
          <w:numId w:val="0"/>
        </w:numPr>
        <w:spacing w:before="120" w:after="120"/>
        <w:ind w:left="720"/>
      </w:pPr>
      <w:r w:rsidRPr="00BA5253">
        <w:t>(the “</w:t>
      </w:r>
      <w:r w:rsidRPr="00BA5253">
        <w:rPr>
          <w:b/>
          <w:bCs/>
        </w:rPr>
        <w:t>Protective Monitoring System</w:t>
      </w:r>
      <w:r w:rsidRPr="00BA5253">
        <w:t>”).</w:t>
      </w:r>
    </w:p>
    <w:p w14:paraId="4EFF05AF" w14:textId="77777777" w:rsidR="00816850" w:rsidRPr="00BA5253" w:rsidRDefault="00816850" w:rsidP="005C5B5E">
      <w:pPr>
        <w:pStyle w:val="Heading2"/>
        <w:spacing w:before="120" w:after="120"/>
      </w:pPr>
      <w:r w:rsidRPr="00BA5253">
        <w:t>The Protective Monitoring System must provide for:</w:t>
      </w:r>
    </w:p>
    <w:p w14:paraId="2889FB7E" w14:textId="7A745D70" w:rsidR="00816850" w:rsidRPr="00BA5253" w:rsidRDefault="00816850" w:rsidP="005C5B5E">
      <w:pPr>
        <w:pStyle w:val="Heading3"/>
        <w:spacing w:before="120" w:after="120"/>
      </w:pPr>
      <w:r w:rsidRPr="00BA5253">
        <w:t xml:space="preserve">event logs and audit records of access to the Supplier </w:t>
      </w:r>
      <w:r w:rsidR="000B7EF9" w:rsidRPr="00BA5253">
        <w:t>S</w:t>
      </w:r>
      <w:r w:rsidRPr="00BA5253">
        <w:t>ystem; and</w:t>
      </w:r>
    </w:p>
    <w:p w14:paraId="5081E059" w14:textId="77777777" w:rsidR="00816850" w:rsidRPr="00BA5253" w:rsidRDefault="00816850" w:rsidP="005C5B5E">
      <w:pPr>
        <w:pStyle w:val="Heading3"/>
        <w:spacing w:before="120" w:after="120"/>
      </w:pPr>
      <w:r w:rsidRPr="00BA5253">
        <w:lastRenderedPageBreak/>
        <w:t>regular reports and alerts to identify:</w:t>
      </w:r>
    </w:p>
    <w:p w14:paraId="21888C6D" w14:textId="77777777" w:rsidR="00816850" w:rsidRPr="00BA5253" w:rsidRDefault="00816850" w:rsidP="005C5B5E">
      <w:pPr>
        <w:pStyle w:val="Heading4"/>
        <w:spacing w:before="120" w:after="120"/>
      </w:pPr>
      <w:r w:rsidRPr="00BA5253">
        <w:t>changing access trends;</w:t>
      </w:r>
    </w:p>
    <w:p w14:paraId="0E800020" w14:textId="77777777" w:rsidR="00816850" w:rsidRPr="00BA5253" w:rsidRDefault="00816850" w:rsidP="005C5B5E">
      <w:pPr>
        <w:pStyle w:val="Heading4"/>
        <w:spacing w:before="120" w:after="120"/>
      </w:pPr>
      <w:r w:rsidRPr="00BA5253">
        <w:t>unusual usage patterns; or</w:t>
      </w:r>
    </w:p>
    <w:p w14:paraId="5F918CE3" w14:textId="399EFC6C" w:rsidR="00816850" w:rsidRPr="00BA5253" w:rsidRDefault="00816850" w:rsidP="005C5B5E">
      <w:pPr>
        <w:pStyle w:val="Heading4"/>
        <w:spacing w:before="120" w:after="120"/>
      </w:pPr>
      <w:r w:rsidRPr="00BA5253">
        <w:t xml:space="preserve">the access of greater than usual volumes of </w:t>
      </w:r>
      <w:r w:rsidR="00BC37A8" w:rsidRPr="00BA5253">
        <w:t>Government Data</w:t>
      </w:r>
      <w:r w:rsidRPr="00BA5253">
        <w:t>; and</w:t>
      </w:r>
    </w:p>
    <w:p w14:paraId="0A6E8DC7" w14:textId="4DDF95CE" w:rsidR="00816850" w:rsidRPr="00BA5253" w:rsidRDefault="00816850" w:rsidP="005C5B5E">
      <w:pPr>
        <w:pStyle w:val="Heading3"/>
        <w:spacing w:before="120" w:after="120"/>
      </w:pPr>
      <w:r w:rsidRPr="00BA5253">
        <w:t>the detection and prevention of any attack on the Supplier System using common cyber-attack techniques.</w:t>
      </w:r>
    </w:p>
    <w:p w14:paraId="728E3ABC" w14:textId="39F04D0E" w:rsidR="00250F8C" w:rsidRPr="00BA5253" w:rsidRDefault="00250F8C" w:rsidP="005C5B5E">
      <w:pPr>
        <w:pStyle w:val="Heading1"/>
        <w:spacing w:before="120" w:after="120"/>
        <w:rPr>
          <w:b w:val="0"/>
          <w:bCs/>
        </w:rPr>
      </w:pPr>
      <w:bookmarkStart w:id="43" w:name="_Ref115017464"/>
      <w:r w:rsidRPr="00BA5253">
        <w:t>Patching</w:t>
      </w:r>
      <w:bookmarkEnd w:id="43"/>
    </w:p>
    <w:p w14:paraId="07176A2F" w14:textId="35C349FC" w:rsidR="000700A0" w:rsidRPr="00BA5253" w:rsidRDefault="003E48EA" w:rsidP="005C5B5E">
      <w:pPr>
        <w:pStyle w:val="Heading2"/>
        <w:spacing w:before="120" w:after="120"/>
      </w:pPr>
      <w:r w:rsidRPr="00BA5253">
        <w:t xml:space="preserve">The Supplier must, and must ensure that </w:t>
      </w:r>
      <w:r w:rsidR="00F515B7">
        <w:t>Sub-contractor</w:t>
      </w:r>
      <w:r w:rsidRPr="00BA5253">
        <w:t xml:space="preserve">s, </w:t>
      </w:r>
      <w:r w:rsidR="000700A0" w:rsidRPr="00BA5253">
        <w:t xml:space="preserve">treat any public releases of </w:t>
      </w:r>
      <w:r w:rsidRPr="00BA5253">
        <w:t>pat</w:t>
      </w:r>
      <w:r w:rsidR="000700A0" w:rsidRPr="00BA5253">
        <w:t>ches for vulnerabilities as follows:</w:t>
      </w:r>
    </w:p>
    <w:p w14:paraId="17CC92BF" w14:textId="091159DA" w:rsidR="000700A0" w:rsidRPr="00BA5253" w:rsidRDefault="000700A0" w:rsidP="005C5B5E">
      <w:pPr>
        <w:pStyle w:val="Heading3"/>
        <w:spacing w:before="120" w:after="120"/>
      </w:pPr>
      <w:r w:rsidRPr="00BA5253">
        <w:t>the Supplier must patch any vulnerabilities classified as “critical”:</w:t>
      </w:r>
    </w:p>
    <w:p w14:paraId="1E265D50" w14:textId="16635CAD" w:rsidR="000700A0" w:rsidRPr="00BA5253" w:rsidRDefault="000700A0" w:rsidP="005C5B5E">
      <w:pPr>
        <w:pStyle w:val="Heading4"/>
        <w:spacing w:before="120" w:after="120"/>
      </w:pPr>
      <w:bookmarkStart w:id="44" w:name="_Ref115261365"/>
      <w:r w:rsidRPr="00BA5253">
        <w:t>if it is technically feasible to do so, within 5 Working Days of the public release; or</w:t>
      </w:r>
      <w:bookmarkEnd w:id="44"/>
    </w:p>
    <w:p w14:paraId="40D69B2E" w14:textId="14C1F0D0" w:rsidR="000700A0" w:rsidRPr="00BA5253" w:rsidRDefault="000700A0" w:rsidP="005C5B5E">
      <w:pPr>
        <w:pStyle w:val="Heading4"/>
        <w:spacing w:before="120" w:after="120"/>
      </w:pPr>
      <w:r w:rsidRPr="00BA5253">
        <w:t>if it is technical feasible to patch the vulnerability but not technically feasible to do so as required by Paragraph </w:t>
      </w:r>
      <w:r w:rsidRPr="00BA5253">
        <w:fldChar w:fldCharType="begin"/>
      </w:r>
      <w:r w:rsidRPr="00BA5253">
        <w:instrText xml:space="preserve"> REF _Ref115261365 \w \h </w:instrText>
      </w:r>
      <w:r w:rsidR="00BA5253" w:rsidRPr="00BA5253">
        <w:instrText xml:space="preserve"> \* MERGEFORMAT </w:instrText>
      </w:r>
      <w:r w:rsidRPr="00BA5253">
        <w:fldChar w:fldCharType="separate"/>
      </w:r>
      <w:r w:rsidR="005C5B5E">
        <w:t>17.1.1(a)</w:t>
      </w:r>
      <w:r w:rsidRPr="00BA5253">
        <w:fldChar w:fldCharType="end"/>
      </w:r>
      <w:r w:rsidRPr="00BA5253">
        <w:t>, then as soon as reasonably practicable after the public release;</w:t>
      </w:r>
    </w:p>
    <w:p w14:paraId="040C1ABE" w14:textId="6A084D4D" w:rsidR="000700A0" w:rsidRPr="00BA5253" w:rsidRDefault="000700A0" w:rsidP="005C5B5E">
      <w:pPr>
        <w:pStyle w:val="Heading3"/>
        <w:spacing w:before="120" w:after="120"/>
      </w:pPr>
      <w:r w:rsidRPr="00BA5253">
        <w:t>the Supplier must patch any vulnerabilities classified as “important”:</w:t>
      </w:r>
    </w:p>
    <w:p w14:paraId="5F6A9522" w14:textId="2AD6AE00" w:rsidR="000700A0" w:rsidRPr="00BA5253" w:rsidRDefault="000700A0" w:rsidP="005C5B5E">
      <w:pPr>
        <w:pStyle w:val="Heading4"/>
        <w:spacing w:before="120" w:after="120"/>
      </w:pPr>
      <w:bookmarkStart w:id="45" w:name="_Ref115261463"/>
      <w:r w:rsidRPr="00BA5253">
        <w:t>if it is technically feasible to do so, within 1 month of the public release; or</w:t>
      </w:r>
      <w:bookmarkEnd w:id="45"/>
    </w:p>
    <w:p w14:paraId="16E81657" w14:textId="0953EFE0" w:rsidR="000700A0" w:rsidRPr="00BA5253" w:rsidRDefault="000700A0" w:rsidP="005C5B5E">
      <w:pPr>
        <w:pStyle w:val="Heading4"/>
        <w:spacing w:before="120" w:after="120"/>
      </w:pPr>
      <w:r w:rsidRPr="00BA5253">
        <w:t>if it is technical feasible to patch the vulnerability but not technically feasible to do so as required by Paragraph </w:t>
      </w:r>
      <w:r w:rsidRPr="00BA5253">
        <w:fldChar w:fldCharType="begin"/>
      </w:r>
      <w:r w:rsidRPr="00BA5253">
        <w:instrText xml:space="preserve"> REF _Ref115261463 \w \h </w:instrText>
      </w:r>
      <w:r w:rsidR="00BA5253" w:rsidRPr="00BA5253">
        <w:instrText xml:space="preserve"> \* MERGEFORMAT </w:instrText>
      </w:r>
      <w:r w:rsidRPr="00BA5253">
        <w:fldChar w:fldCharType="separate"/>
      </w:r>
      <w:r w:rsidR="005C5B5E">
        <w:t>17.1.2(a)</w:t>
      </w:r>
      <w:r w:rsidRPr="00BA5253">
        <w:fldChar w:fldCharType="end"/>
      </w:r>
      <w:r w:rsidRPr="00BA5253">
        <w:t>, then as soon as reasonably practicable after the public release;</w:t>
      </w:r>
    </w:p>
    <w:p w14:paraId="60ADCB0A" w14:textId="70911007" w:rsidR="000700A0" w:rsidRPr="00BA5253" w:rsidRDefault="000700A0" w:rsidP="005C5B5E">
      <w:pPr>
        <w:pStyle w:val="Heading3"/>
        <w:spacing w:before="120" w:after="120"/>
      </w:pPr>
      <w:r w:rsidRPr="00BA5253">
        <w:t>the Supplier must remedy any vulnerabilities classified as “other” in the public release:</w:t>
      </w:r>
    </w:p>
    <w:p w14:paraId="06532AC2" w14:textId="670A6BE5" w:rsidR="000700A0" w:rsidRPr="00BA5253" w:rsidRDefault="000700A0" w:rsidP="005C5B5E">
      <w:pPr>
        <w:pStyle w:val="Heading4"/>
        <w:spacing w:before="120" w:after="120"/>
      </w:pPr>
      <w:bookmarkStart w:id="46" w:name="_Ref115261533"/>
      <w:r w:rsidRPr="00BA5253">
        <w:t>if it is technically feasible to do so, within 2 months of the public release; or</w:t>
      </w:r>
      <w:bookmarkEnd w:id="46"/>
    </w:p>
    <w:p w14:paraId="3F9C0C13" w14:textId="7484D6D4" w:rsidR="000700A0" w:rsidRPr="00BA5253" w:rsidRDefault="000700A0" w:rsidP="005C5B5E">
      <w:pPr>
        <w:pStyle w:val="Heading4"/>
        <w:spacing w:before="120" w:after="120"/>
      </w:pPr>
      <w:r w:rsidRPr="00BA5253">
        <w:t>if it is technical feasible to remedy the vulnerability but not technically feasible to do so as required by Paragraph </w:t>
      </w:r>
      <w:r w:rsidRPr="00BA5253">
        <w:fldChar w:fldCharType="begin"/>
      </w:r>
      <w:r w:rsidRPr="00BA5253">
        <w:instrText xml:space="preserve"> REF _Ref115261533 \w \h </w:instrText>
      </w:r>
      <w:r w:rsidR="00BA5253" w:rsidRPr="00BA5253">
        <w:instrText xml:space="preserve"> \* MERGEFORMAT </w:instrText>
      </w:r>
      <w:r w:rsidRPr="00BA5253">
        <w:fldChar w:fldCharType="separate"/>
      </w:r>
      <w:r w:rsidR="005C5B5E">
        <w:t>17.1.3(a)</w:t>
      </w:r>
      <w:r w:rsidRPr="00BA5253">
        <w:fldChar w:fldCharType="end"/>
      </w:r>
      <w:r w:rsidRPr="00BA5253">
        <w:t>, then as soon as reasonably practicable after the public release;</w:t>
      </w:r>
      <w:r w:rsidR="00586A00">
        <w:t xml:space="preserve"> </w:t>
      </w:r>
      <w:r w:rsidR="004B1C33">
        <w:t>or</w:t>
      </w:r>
    </w:p>
    <w:p w14:paraId="60880633" w14:textId="324368E8" w:rsidR="000700A0" w:rsidRPr="00BA5253" w:rsidRDefault="000700A0" w:rsidP="005C5B5E">
      <w:pPr>
        <w:pStyle w:val="Heading3"/>
        <w:spacing w:before="120" w:after="120"/>
      </w:pPr>
      <w:r w:rsidRPr="00BA5253">
        <w:t>where it is not technically feasible to patch the vulnerability, the Supplier must implement appropriate technical and organisational measures to mitigate the risk posed by the vulnerability.</w:t>
      </w:r>
    </w:p>
    <w:p w14:paraId="0DE1C194" w14:textId="2B6BE0F0" w:rsidR="003E48EA" w:rsidRPr="00BA5253" w:rsidRDefault="003E48EA" w:rsidP="005C5B5E">
      <w:pPr>
        <w:pStyle w:val="Heading1"/>
        <w:spacing w:before="120" w:after="120"/>
      </w:pPr>
      <w:bookmarkStart w:id="47" w:name="_Ref115017453"/>
      <w:r w:rsidRPr="00BA5253">
        <w:t>Malware protection</w:t>
      </w:r>
      <w:bookmarkEnd w:id="47"/>
    </w:p>
    <w:p w14:paraId="3CC279CC" w14:textId="1582D628" w:rsidR="003865F7" w:rsidRPr="00BA5253" w:rsidRDefault="003865F7" w:rsidP="005C5B5E">
      <w:pPr>
        <w:pStyle w:val="Heading2"/>
        <w:spacing w:before="120" w:after="120"/>
      </w:pPr>
      <w:r w:rsidRPr="00BA5253">
        <w:t>The Supplier shall install and maintain Anti-virus Software or procure that Anti-virus Software is installed and maintained on the Supplier System.</w:t>
      </w:r>
    </w:p>
    <w:p w14:paraId="0BC763E0" w14:textId="77777777" w:rsidR="003865F7" w:rsidRPr="00BA5253" w:rsidRDefault="003865F7" w:rsidP="005C5B5E">
      <w:pPr>
        <w:pStyle w:val="Heading2"/>
        <w:spacing w:before="120" w:after="120"/>
      </w:pPr>
      <w:r w:rsidRPr="00BA5253">
        <w:t>The Supplier must ensure that such Anti-virus Software:</w:t>
      </w:r>
    </w:p>
    <w:p w14:paraId="7B4F36E7" w14:textId="58D4E637" w:rsidR="003865F7" w:rsidRPr="00BA5253" w:rsidRDefault="003865F7" w:rsidP="005C5B5E">
      <w:pPr>
        <w:pStyle w:val="Heading3"/>
        <w:spacing w:before="120" w:after="120"/>
      </w:pPr>
      <w:r w:rsidRPr="00BA5253">
        <w:t>prevents the installation of the most common forms of Malicious Software in the Supplier System;</w:t>
      </w:r>
    </w:p>
    <w:p w14:paraId="587D0979" w14:textId="46145C42" w:rsidR="003865F7" w:rsidRPr="00BA5253" w:rsidRDefault="003865F7" w:rsidP="005C5B5E">
      <w:pPr>
        <w:pStyle w:val="Heading3"/>
        <w:spacing w:before="120" w:after="120"/>
      </w:pPr>
      <w:r w:rsidRPr="00BA5253">
        <w:lastRenderedPageBreak/>
        <w:t>performs regular scans of the Supplier System to check for Malicious Software; and</w:t>
      </w:r>
    </w:p>
    <w:p w14:paraId="49BC83E2" w14:textId="012BD790" w:rsidR="003865F7" w:rsidRPr="00BA5253" w:rsidRDefault="003865F7" w:rsidP="005C5B5E">
      <w:pPr>
        <w:pStyle w:val="Heading3"/>
        <w:spacing w:before="120" w:after="120"/>
      </w:pPr>
      <w:r w:rsidRPr="00BA5253">
        <w:t>where Malicious Software has been introduced into the Supplier System, so far as practicable</w:t>
      </w:r>
      <w:r w:rsidR="004B1C33">
        <w:t>:</w:t>
      </w:r>
    </w:p>
    <w:p w14:paraId="3673A275" w14:textId="77777777" w:rsidR="003865F7" w:rsidRPr="00BA5253" w:rsidRDefault="003865F7" w:rsidP="005C5B5E">
      <w:pPr>
        <w:pStyle w:val="Heading4"/>
        <w:spacing w:before="120" w:after="120"/>
      </w:pPr>
      <w:r w:rsidRPr="00BA5253">
        <w:t>prevents the harmful effects from the Malicious Software; and</w:t>
      </w:r>
    </w:p>
    <w:p w14:paraId="4FE15B52" w14:textId="7BA57904" w:rsidR="003865F7" w:rsidRPr="00BA5253" w:rsidRDefault="003865F7" w:rsidP="005C5B5E">
      <w:pPr>
        <w:pStyle w:val="Heading4"/>
        <w:spacing w:before="120" w:after="120"/>
      </w:pPr>
      <w:r w:rsidRPr="00BA5253">
        <w:t>removes the Malicious Software from the Supplier Sys</w:t>
      </w:r>
      <w:r w:rsidR="007C6FB7" w:rsidRPr="00BA5253">
        <w:t>t</w:t>
      </w:r>
      <w:r w:rsidRPr="00BA5253">
        <w:t>em.</w:t>
      </w:r>
    </w:p>
    <w:p w14:paraId="364863C3" w14:textId="4FED0F3C" w:rsidR="003E48EA" w:rsidRPr="00BA5253" w:rsidRDefault="007C6FB7" w:rsidP="005C5B5E">
      <w:pPr>
        <w:pStyle w:val="Heading1"/>
        <w:spacing w:before="120" w:after="120"/>
      </w:pPr>
      <w:bookmarkStart w:id="48" w:name="_Ref115019449"/>
      <w:r w:rsidRPr="00BA5253">
        <w:t>End-user Devices</w:t>
      </w:r>
      <w:bookmarkEnd w:id="48"/>
    </w:p>
    <w:p w14:paraId="745367C5" w14:textId="1FFA05D7" w:rsidR="00C74B2F" w:rsidRPr="00BA5253" w:rsidRDefault="00C74B2F" w:rsidP="005C5B5E">
      <w:pPr>
        <w:pStyle w:val="Heading2"/>
        <w:spacing w:before="120" w:after="120"/>
      </w:pPr>
      <w:bookmarkStart w:id="49" w:name="_Ref115019442"/>
      <w:r w:rsidRPr="00BA5253">
        <w:t xml:space="preserve">The Supplier must, and must ensure that all </w:t>
      </w:r>
      <w:r w:rsidR="00F515B7">
        <w:t>Sub-contractor</w:t>
      </w:r>
      <w:r w:rsidRPr="00BA5253">
        <w:t xml:space="preserve">s, manage all End-user Devices on which </w:t>
      </w:r>
      <w:r w:rsidR="00BC37A8" w:rsidRPr="00BA5253">
        <w:t>Government Data</w:t>
      </w:r>
      <w:r w:rsidRPr="00BA5253">
        <w:t xml:space="preserve"> is stored or </w:t>
      </w:r>
      <w:r w:rsidR="005551EB" w:rsidRPr="00BA5253">
        <w:t>Handled</w:t>
      </w:r>
      <w:r w:rsidRPr="00BA5253">
        <w:t xml:space="preserve"> in accordance </w:t>
      </w:r>
      <w:r w:rsidR="002D175A" w:rsidRPr="00BA5253">
        <w:t xml:space="preserve">with </w:t>
      </w:r>
      <w:r w:rsidRPr="00BA5253">
        <w:t>the following requirements:</w:t>
      </w:r>
      <w:bookmarkEnd w:id="49"/>
    </w:p>
    <w:p w14:paraId="3EC0F51D" w14:textId="6CCAEBDE" w:rsidR="00C74B2F" w:rsidRPr="00BA5253" w:rsidRDefault="00C74B2F" w:rsidP="005C5B5E">
      <w:pPr>
        <w:pStyle w:val="Heading3"/>
        <w:spacing w:before="120" w:after="120"/>
      </w:pPr>
      <w:r w:rsidRPr="00BA5253">
        <w:t xml:space="preserve">the operating system and any applications that store, </w:t>
      </w:r>
      <w:r w:rsidR="002D0410" w:rsidRPr="00BA5253">
        <w:t>Handle</w:t>
      </w:r>
      <w:r w:rsidRPr="00BA5253">
        <w:t xml:space="preserve"> or have access to </w:t>
      </w:r>
      <w:r w:rsidR="00BC37A8" w:rsidRPr="00BA5253">
        <w:t>Government Data</w:t>
      </w:r>
      <w:r w:rsidRPr="00BA5253">
        <w:t xml:space="preserve"> must be in current support by the vendor, or the relevant community in the case of open source operating systems or applications;</w:t>
      </w:r>
    </w:p>
    <w:p w14:paraId="0B883FD1" w14:textId="77777777" w:rsidR="00C74B2F" w:rsidRPr="00BA5253" w:rsidRDefault="00C74B2F" w:rsidP="005C5B5E">
      <w:pPr>
        <w:pStyle w:val="Heading3"/>
        <w:spacing w:before="120" w:after="120"/>
      </w:pPr>
      <w:r w:rsidRPr="00BA5253">
        <w:t>users must authenticate before gaining access;</w:t>
      </w:r>
    </w:p>
    <w:p w14:paraId="0504E615" w14:textId="551F09A4" w:rsidR="00C74B2F" w:rsidRPr="00BA5253" w:rsidRDefault="00C74B2F" w:rsidP="005C5B5E">
      <w:pPr>
        <w:pStyle w:val="Heading3"/>
        <w:spacing w:before="120" w:after="120"/>
      </w:pPr>
      <w:r w:rsidRPr="00BA5253">
        <w:t xml:space="preserve">all </w:t>
      </w:r>
      <w:r w:rsidR="00BC37A8" w:rsidRPr="00BA5253">
        <w:t>Government Data</w:t>
      </w:r>
      <w:r w:rsidRPr="00BA5253">
        <w:t xml:space="preserve"> must be encrypted using a</w:t>
      </w:r>
      <w:r w:rsidR="000B7EF9" w:rsidRPr="00BA5253">
        <w:t xml:space="preserve"> suitable</w:t>
      </w:r>
      <w:r w:rsidRPr="00BA5253">
        <w:t xml:space="preserve"> encryption tool;</w:t>
      </w:r>
    </w:p>
    <w:p w14:paraId="27FB6D1A" w14:textId="61979E6F" w:rsidR="00C74B2F" w:rsidRPr="00BA5253" w:rsidRDefault="00C74B2F" w:rsidP="005C5B5E">
      <w:pPr>
        <w:pStyle w:val="Heading3"/>
        <w:spacing w:before="120" w:after="120"/>
      </w:pPr>
      <w:r w:rsidRPr="00BA5253">
        <w:t>the End-u</w:t>
      </w:r>
      <w:r w:rsidR="006B1C83" w:rsidRPr="00BA5253">
        <w:t>s</w:t>
      </w:r>
      <w:r w:rsidRPr="00BA5253">
        <w:t>er Device must lock and require any user to re-authenticate after a period of time that is proportionate to the risk environment, during which the End-user Device is inactive;</w:t>
      </w:r>
    </w:p>
    <w:p w14:paraId="73953E22" w14:textId="1AC398CF" w:rsidR="00C74B2F" w:rsidRPr="00BA5253" w:rsidRDefault="00C74B2F" w:rsidP="005C5B5E">
      <w:pPr>
        <w:pStyle w:val="Heading3"/>
        <w:spacing w:before="120" w:after="120"/>
      </w:pPr>
      <w:r w:rsidRPr="00BA5253">
        <w:t>the End-</w:t>
      </w:r>
      <w:r w:rsidR="00132D42">
        <w:t>u</w:t>
      </w:r>
      <w:r w:rsidRPr="00BA5253">
        <w:t xml:space="preserve">ser Device must be managed in a way that allows for the application of technical policies and controls over applications that have access to </w:t>
      </w:r>
      <w:r w:rsidR="00BC37A8" w:rsidRPr="00BA5253">
        <w:t>Government Data</w:t>
      </w:r>
      <w:r w:rsidRPr="00BA5253">
        <w:t xml:space="preserve"> to ensure the security of that </w:t>
      </w:r>
      <w:r w:rsidR="00BC37A8" w:rsidRPr="00BA5253">
        <w:t>Government Data</w:t>
      </w:r>
      <w:r w:rsidRPr="00BA5253">
        <w:t>;</w:t>
      </w:r>
    </w:p>
    <w:p w14:paraId="3F7D8754" w14:textId="5CCA04C1" w:rsidR="00C74B2F" w:rsidRPr="00BA5253" w:rsidRDefault="00C74B2F" w:rsidP="005C5B5E">
      <w:pPr>
        <w:pStyle w:val="Heading3"/>
        <w:spacing w:before="120" w:after="120"/>
      </w:pPr>
      <w:r w:rsidRPr="00BA5253">
        <w:t>the Suppl</w:t>
      </w:r>
      <w:r w:rsidR="00FE3962" w:rsidRPr="00BA5253">
        <w:t>i</w:t>
      </w:r>
      <w:r w:rsidRPr="00BA5253">
        <w:t xml:space="preserve">er or </w:t>
      </w:r>
      <w:r w:rsidR="00F515B7">
        <w:t>Sub-contractor</w:t>
      </w:r>
      <w:r w:rsidRPr="00BA5253">
        <w:t xml:space="preserve">, as applicable, can, without physical access to the End-user Device, remove or make inaccessible all </w:t>
      </w:r>
      <w:r w:rsidR="00BC37A8" w:rsidRPr="00BA5253">
        <w:t>Government Data</w:t>
      </w:r>
      <w:r w:rsidRPr="00BA5253">
        <w:t xml:space="preserve"> stored on the device and prevent any user or group of users from accessing the device;</w:t>
      </w:r>
      <w:r w:rsidR="00586A00">
        <w:t xml:space="preserve"> and</w:t>
      </w:r>
    </w:p>
    <w:p w14:paraId="4DBD676C" w14:textId="4A4FDAE4" w:rsidR="00C74B2F" w:rsidRPr="00BA5253" w:rsidRDefault="00C74B2F" w:rsidP="005C5B5E">
      <w:pPr>
        <w:pStyle w:val="Heading3"/>
        <w:spacing w:before="120" w:after="120"/>
      </w:pPr>
      <w:r w:rsidRPr="00BA5253">
        <w:t xml:space="preserve">all End-user Devices are within the scope of any </w:t>
      </w:r>
      <w:r w:rsidR="000B7EF9" w:rsidRPr="00BA5253">
        <w:t xml:space="preserve">required </w:t>
      </w:r>
      <w:r w:rsidRPr="00BA5253">
        <w:t>Certification.</w:t>
      </w:r>
    </w:p>
    <w:p w14:paraId="76358621" w14:textId="2ADC1868" w:rsidR="00C74B2F" w:rsidRPr="00BA5253" w:rsidRDefault="00C74B2F" w:rsidP="005C5B5E">
      <w:pPr>
        <w:pStyle w:val="Heading2"/>
        <w:spacing w:before="120" w:after="120"/>
      </w:pPr>
      <w:r w:rsidRPr="00BA5253">
        <w:t xml:space="preserve">The Supplier must comply, and ensure that all </w:t>
      </w:r>
      <w:r w:rsidR="00F515B7">
        <w:t>Sub-contractor</w:t>
      </w:r>
      <w:r w:rsidRPr="00BA5253">
        <w:t>s comply, with the recommendations in NCSC Device Guidance as if those recommendations were incorporated as specific obligations under th</w:t>
      </w:r>
      <w:r w:rsidR="00586A00">
        <w:t>e</w:t>
      </w:r>
      <w:r w:rsidRPr="00BA5253">
        <w:t xml:space="preserve"> </w:t>
      </w:r>
      <w:r w:rsidR="00895B30" w:rsidRPr="00BA5253">
        <w:t>Contract</w:t>
      </w:r>
      <w:r w:rsidRPr="00BA5253">
        <w:t>.</w:t>
      </w:r>
    </w:p>
    <w:p w14:paraId="54971E72" w14:textId="1B85E539" w:rsidR="007C6FB7" w:rsidRPr="00BA5253" w:rsidRDefault="00A32715" w:rsidP="005C5B5E">
      <w:pPr>
        <w:pStyle w:val="Heading1"/>
        <w:spacing w:before="120" w:after="120"/>
      </w:pPr>
      <w:bookmarkStart w:id="50" w:name="_Ref115020875"/>
      <w:r w:rsidRPr="00BA5253">
        <w:t>Vulnerability scanning</w:t>
      </w:r>
    </w:p>
    <w:p w14:paraId="1726E282" w14:textId="77777777" w:rsidR="00A32715" w:rsidRPr="00BA5253" w:rsidRDefault="00A32715" w:rsidP="005C5B5E">
      <w:pPr>
        <w:pStyle w:val="Heading2"/>
        <w:spacing w:before="120" w:after="120"/>
      </w:pPr>
      <w:r w:rsidRPr="00BA5253">
        <w:t>The Supplier must:</w:t>
      </w:r>
    </w:p>
    <w:p w14:paraId="49CC46C1" w14:textId="5FF9101B" w:rsidR="00A32715" w:rsidRPr="00BA5253" w:rsidRDefault="00A32715" w:rsidP="005C5B5E">
      <w:pPr>
        <w:pStyle w:val="Heading3"/>
        <w:spacing w:before="120" w:after="120"/>
      </w:pPr>
      <w:r w:rsidRPr="00BA5253">
        <w:t>scan the Supplier System at least once every month to identify any unpatched vulnerabilities; and</w:t>
      </w:r>
    </w:p>
    <w:p w14:paraId="3CC3366D" w14:textId="06C58AFD" w:rsidR="00A32715" w:rsidRPr="00BA5253" w:rsidRDefault="00A32715" w:rsidP="005C5B5E">
      <w:pPr>
        <w:pStyle w:val="Heading3"/>
        <w:spacing w:before="120" w:after="120"/>
      </w:pPr>
      <w:r w:rsidRPr="00BA5253">
        <w:t>if the scan identifies any unpatched vulnerabilities, ensure they are patched in accordance with Paragraph </w:t>
      </w:r>
      <w:r w:rsidRPr="00BA5253">
        <w:fldChar w:fldCharType="begin"/>
      </w:r>
      <w:r w:rsidRPr="00BA5253">
        <w:instrText xml:space="preserve"> REF _Ref115017464 \r \h </w:instrText>
      </w:r>
      <w:r w:rsidR="00BA5253" w:rsidRPr="00BA5253">
        <w:instrText xml:space="preserve"> \* MERGEFORMAT </w:instrText>
      </w:r>
      <w:r w:rsidRPr="00BA5253">
        <w:fldChar w:fldCharType="separate"/>
      </w:r>
      <w:r w:rsidR="005C5B5E">
        <w:t>17</w:t>
      </w:r>
      <w:r w:rsidRPr="00BA5253">
        <w:fldChar w:fldCharType="end"/>
      </w:r>
      <w:r w:rsidRPr="00BA5253">
        <w:t>.</w:t>
      </w:r>
    </w:p>
    <w:p w14:paraId="60682A2D" w14:textId="7EDB7D6E" w:rsidR="00A32715" w:rsidRPr="00BA5253" w:rsidRDefault="00A32715" w:rsidP="005C5B5E">
      <w:pPr>
        <w:pStyle w:val="Heading1"/>
        <w:spacing w:before="120" w:after="120"/>
      </w:pPr>
      <w:bookmarkStart w:id="51" w:name="_Ref115347841"/>
      <w:r w:rsidRPr="00BA5253">
        <w:lastRenderedPageBreak/>
        <w:t>Access control</w:t>
      </w:r>
      <w:bookmarkEnd w:id="51"/>
    </w:p>
    <w:p w14:paraId="76252FDA" w14:textId="3588DDD4" w:rsidR="00A32715" w:rsidRPr="00BA5253" w:rsidRDefault="00A32715" w:rsidP="005C5B5E">
      <w:pPr>
        <w:pStyle w:val="Heading2"/>
        <w:spacing w:before="120" w:after="120"/>
      </w:pPr>
      <w:r w:rsidRPr="00BA5253">
        <w:t xml:space="preserve">The Supplier must, and must ensure that all </w:t>
      </w:r>
      <w:r w:rsidR="00F515B7">
        <w:t>Sub-contractor</w:t>
      </w:r>
      <w:r w:rsidRPr="00BA5253">
        <w:t xml:space="preserve">s: </w:t>
      </w:r>
    </w:p>
    <w:p w14:paraId="0BA9C359" w14:textId="5F57ED55" w:rsidR="00A32715" w:rsidRPr="00BA5253" w:rsidRDefault="00A32715" w:rsidP="005C5B5E">
      <w:pPr>
        <w:pStyle w:val="Heading3"/>
        <w:spacing w:before="120" w:after="120"/>
      </w:pPr>
      <w:r w:rsidRPr="00BA5253">
        <w:t>identify and authenticate all persons who access the Supplier System before they do so;</w:t>
      </w:r>
    </w:p>
    <w:p w14:paraId="0AB7D845" w14:textId="233B101F" w:rsidR="00A32715" w:rsidRPr="00BA5253" w:rsidRDefault="00A32715" w:rsidP="005C5B5E">
      <w:pPr>
        <w:pStyle w:val="Heading3"/>
        <w:spacing w:before="120" w:after="120"/>
      </w:pPr>
      <w:r w:rsidRPr="00BA5253">
        <w:t xml:space="preserve">require multi-factor authentication for all user accounts that have access to </w:t>
      </w:r>
      <w:r w:rsidR="00BC37A8" w:rsidRPr="00BA5253">
        <w:t>Government Data</w:t>
      </w:r>
      <w:r w:rsidRPr="00BA5253">
        <w:t xml:space="preserve"> or that are Privileged Users;</w:t>
      </w:r>
    </w:p>
    <w:p w14:paraId="49F0859D" w14:textId="00D8EF29" w:rsidR="00A32715" w:rsidRPr="00BA5253" w:rsidRDefault="00A32715" w:rsidP="005C5B5E">
      <w:pPr>
        <w:pStyle w:val="Heading3"/>
        <w:spacing w:before="120" w:after="120"/>
      </w:pPr>
      <w:r w:rsidRPr="00BA5253">
        <w:t>allow access only to those parts of the Supplier System and Sites that those persons require;</w:t>
      </w:r>
      <w:r w:rsidR="00586A00">
        <w:t xml:space="preserve"> and</w:t>
      </w:r>
    </w:p>
    <w:p w14:paraId="2B42BADE" w14:textId="473F9C84" w:rsidR="00A32715" w:rsidRPr="00BA5253" w:rsidRDefault="00A32715" w:rsidP="005C5B5E">
      <w:pPr>
        <w:pStyle w:val="Heading3"/>
        <w:spacing w:before="120" w:after="120"/>
      </w:pPr>
      <w:r w:rsidRPr="00BA5253">
        <w:t>maintain records detailing each person’s access to the Supplier System.</w:t>
      </w:r>
    </w:p>
    <w:p w14:paraId="3A07A087" w14:textId="5EB2DC17" w:rsidR="00A32715" w:rsidRPr="00BA5253" w:rsidRDefault="00A32715" w:rsidP="005C5B5E">
      <w:pPr>
        <w:pStyle w:val="Heading2"/>
        <w:spacing w:before="120" w:after="120"/>
      </w:pPr>
      <w:r w:rsidRPr="00BA5253">
        <w:t xml:space="preserve">The Supplier must ensure, and must ensure that all </w:t>
      </w:r>
      <w:r w:rsidR="00F515B7">
        <w:t>Sub-contractor</w:t>
      </w:r>
      <w:r w:rsidRPr="00BA5253">
        <w:t>s ensure, that the user accounts for Privileged Users of the Supplier System:</w:t>
      </w:r>
    </w:p>
    <w:p w14:paraId="51A638A1" w14:textId="77777777" w:rsidR="00A32715" w:rsidRPr="00BA5253" w:rsidRDefault="00A32715" w:rsidP="005C5B5E">
      <w:pPr>
        <w:pStyle w:val="Heading3"/>
        <w:spacing w:before="120" w:after="120"/>
      </w:pPr>
      <w:r w:rsidRPr="00BA5253">
        <w:t>are allocated to a single, individual user;</w:t>
      </w:r>
    </w:p>
    <w:p w14:paraId="70D74D4E" w14:textId="77777777" w:rsidR="00A32715" w:rsidRPr="00BA5253" w:rsidRDefault="00A32715" w:rsidP="005C5B5E">
      <w:pPr>
        <w:pStyle w:val="Heading3"/>
        <w:spacing w:before="120" w:after="120"/>
      </w:pPr>
      <w:r w:rsidRPr="00BA5253">
        <w:t>are accessible only from dedicated End-user Devices;</w:t>
      </w:r>
    </w:p>
    <w:p w14:paraId="0EBD9ADB" w14:textId="77777777" w:rsidR="00A32715" w:rsidRPr="00BA5253" w:rsidRDefault="00A32715" w:rsidP="005C5B5E">
      <w:pPr>
        <w:pStyle w:val="Heading3"/>
        <w:spacing w:before="120" w:after="120"/>
      </w:pPr>
      <w:r w:rsidRPr="00BA5253">
        <w:t>are configured so that those accounts can only be used for system administration tasks;</w:t>
      </w:r>
    </w:p>
    <w:p w14:paraId="1AEA7E3B" w14:textId="77777777" w:rsidR="00A32715" w:rsidRPr="00BA5253" w:rsidRDefault="00A32715" w:rsidP="005C5B5E">
      <w:pPr>
        <w:pStyle w:val="Heading3"/>
        <w:spacing w:before="120" w:after="120"/>
      </w:pPr>
      <w:r w:rsidRPr="00BA5253">
        <w:t>require passwords with high complexity that are changed regularly;</w:t>
      </w:r>
    </w:p>
    <w:p w14:paraId="30F95987" w14:textId="7A1FA940" w:rsidR="00A32715" w:rsidRPr="00BA5253" w:rsidRDefault="00A32715" w:rsidP="005C5B5E">
      <w:pPr>
        <w:pStyle w:val="Heading3"/>
        <w:spacing w:before="120" w:after="120"/>
      </w:pPr>
      <w:r w:rsidRPr="00BA5253">
        <w:t>automatically log the user out of the Supplier System after a period of time that is proportionate to the risk environment during which the account is inactive; and</w:t>
      </w:r>
    </w:p>
    <w:p w14:paraId="68EC5D71" w14:textId="77777777" w:rsidR="00A32715" w:rsidRPr="00BA5253" w:rsidRDefault="00A32715" w:rsidP="005C5B5E">
      <w:pPr>
        <w:pStyle w:val="Heading3"/>
        <w:spacing w:before="120" w:after="120"/>
      </w:pPr>
      <w:r w:rsidRPr="00BA5253">
        <w:t>are:</w:t>
      </w:r>
    </w:p>
    <w:p w14:paraId="4EC9AA3E" w14:textId="77777777" w:rsidR="00A32715" w:rsidRPr="00BA5253" w:rsidRDefault="00A32715" w:rsidP="005C5B5E">
      <w:pPr>
        <w:pStyle w:val="Heading4"/>
        <w:spacing w:before="120" w:after="120"/>
      </w:pPr>
      <w:r w:rsidRPr="00BA5253">
        <w:t>restricted to a single role or small number of roles;</w:t>
      </w:r>
    </w:p>
    <w:p w14:paraId="2994DF79" w14:textId="77777777" w:rsidR="00A32715" w:rsidRPr="00BA5253" w:rsidRDefault="00A32715" w:rsidP="005C5B5E">
      <w:pPr>
        <w:pStyle w:val="Heading4"/>
        <w:spacing w:before="120" w:after="120"/>
      </w:pPr>
      <w:r w:rsidRPr="00BA5253">
        <w:t>time limited; and</w:t>
      </w:r>
    </w:p>
    <w:p w14:paraId="4F4DDB5B" w14:textId="77777777" w:rsidR="00A32715" w:rsidRPr="00BA5253" w:rsidRDefault="00A32715" w:rsidP="005C5B5E">
      <w:pPr>
        <w:pStyle w:val="Heading4"/>
        <w:spacing w:before="120" w:after="120"/>
      </w:pPr>
      <w:r w:rsidRPr="00BA5253">
        <w:t>restrict the Privileged User’s access to the internet.</w:t>
      </w:r>
    </w:p>
    <w:p w14:paraId="5F0FC153" w14:textId="6C919F34" w:rsidR="00D37DD1" w:rsidRPr="00BA5253" w:rsidRDefault="00D37DD1" w:rsidP="005C5B5E">
      <w:pPr>
        <w:pStyle w:val="Heading1"/>
        <w:spacing w:before="120" w:after="120"/>
      </w:pPr>
      <w:bookmarkStart w:id="52" w:name="_Ref162885657"/>
      <w:r w:rsidRPr="00BA5253">
        <w:t>Remote Working</w:t>
      </w:r>
      <w:bookmarkEnd w:id="52"/>
    </w:p>
    <w:p w14:paraId="5EA57B5A" w14:textId="0EB2428A" w:rsidR="00856273" w:rsidRPr="00BA5253" w:rsidRDefault="00D37DD1" w:rsidP="005C5B5E">
      <w:pPr>
        <w:pStyle w:val="Heading2"/>
        <w:spacing w:before="120" w:after="120"/>
      </w:pPr>
      <w:r w:rsidRPr="00BA5253">
        <w:t xml:space="preserve">The Supplier must ensure, and ensure that </w:t>
      </w:r>
      <w:r w:rsidR="00F515B7">
        <w:t>Sub-contractor</w:t>
      </w:r>
      <w:r w:rsidRPr="00BA5253">
        <w:t>s ensure, that</w:t>
      </w:r>
      <w:r w:rsidR="00856273" w:rsidRPr="00BA5253">
        <w:t>:</w:t>
      </w:r>
    </w:p>
    <w:p w14:paraId="3B304571" w14:textId="4C82AB0B" w:rsidR="00856273" w:rsidRPr="00BA5253" w:rsidRDefault="00856273" w:rsidP="005C5B5E">
      <w:pPr>
        <w:pStyle w:val="ScheduleL3"/>
        <w:spacing w:before="120" w:after="120"/>
      </w:pPr>
      <w:r w:rsidRPr="00BA5253">
        <w:t xml:space="preserve">unless </w:t>
      </w:r>
      <w:r w:rsidR="00132D42">
        <w:t>approved</w:t>
      </w:r>
      <w:r w:rsidR="448759E4" w:rsidRPr="00BA5253">
        <w:t xml:space="preserve"> </w:t>
      </w:r>
      <w:r w:rsidRPr="00BA5253">
        <w:t xml:space="preserve">in writing by the </w:t>
      </w:r>
      <w:r w:rsidR="00F515B7">
        <w:t>Buyer</w:t>
      </w:r>
      <w:r w:rsidRPr="00BA5253">
        <w:t>, Privileged Users do not undertake Remote Working;</w:t>
      </w:r>
      <w:r w:rsidR="00586A00">
        <w:t xml:space="preserve"> and</w:t>
      </w:r>
    </w:p>
    <w:p w14:paraId="45E4D8FE" w14:textId="44BAC462" w:rsidR="00856273" w:rsidRPr="00BA5253" w:rsidRDefault="00856273" w:rsidP="005C5B5E">
      <w:pPr>
        <w:pStyle w:val="ScheduleL3"/>
        <w:numPr>
          <w:ilvl w:val="2"/>
          <w:numId w:val="34"/>
        </w:numPr>
        <w:spacing w:before="120" w:after="120"/>
      </w:pPr>
      <w:r w:rsidRPr="00BA5253">
        <w:t xml:space="preserve">where the </w:t>
      </w:r>
      <w:r w:rsidR="00F515B7">
        <w:t>Buyer</w:t>
      </w:r>
      <w:r w:rsidR="00F515B7" w:rsidRPr="00BA5253">
        <w:t xml:space="preserve"> </w:t>
      </w:r>
      <w:r w:rsidRPr="00BA5253">
        <w:t xml:space="preserve">permits Remote Working by Privileged Users, the Supplier ensures, and ensures that </w:t>
      </w:r>
      <w:r w:rsidR="00F515B7">
        <w:t>Sub-contractor</w:t>
      </w:r>
      <w:r w:rsidRPr="00BA5253">
        <w:t xml:space="preserve">s ensure, that such Remote Working takes place only in accordance with any conditions imposed by the </w:t>
      </w:r>
      <w:r w:rsidR="00F515B7">
        <w:t>Buyer</w:t>
      </w:r>
      <w:r w:rsidRPr="00BA5253">
        <w:t>.</w:t>
      </w:r>
    </w:p>
    <w:p w14:paraId="6C95378F" w14:textId="4C0CBA71" w:rsidR="00D37DD1" w:rsidRPr="00BA5253" w:rsidRDefault="00D37DD1" w:rsidP="005C5B5E">
      <w:pPr>
        <w:pStyle w:val="Heading2"/>
        <w:spacing w:before="120" w:after="120"/>
      </w:pPr>
      <w:r w:rsidRPr="00BA5253">
        <w:t xml:space="preserve">Where the Supplier or a </w:t>
      </w:r>
      <w:r w:rsidR="00F515B7">
        <w:t>Sub-contractor</w:t>
      </w:r>
      <w:r w:rsidRPr="00BA5253">
        <w:t xml:space="preserve"> wishes to permit Supplier </w:t>
      </w:r>
      <w:r w:rsidR="00AA36A5" w:rsidRPr="00BA5253">
        <w:t>Staff</w:t>
      </w:r>
      <w:r w:rsidRPr="00BA5253">
        <w:t xml:space="preserve"> to undertake Remote Working, it must:</w:t>
      </w:r>
    </w:p>
    <w:p w14:paraId="3381639C" w14:textId="7D31750A" w:rsidR="00D37DD1" w:rsidRPr="00BA5253" w:rsidRDefault="00D37DD1" w:rsidP="005C5B5E">
      <w:pPr>
        <w:pStyle w:val="Heading3"/>
        <w:spacing w:before="120" w:after="120"/>
      </w:pPr>
      <w:r w:rsidRPr="00BA5253">
        <w:t xml:space="preserve">prepare and have approved by the </w:t>
      </w:r>
      <w:r w:rsidR="006D5B7B" w:rsidRPr="00BA5253">
        <w:t>Buyer</w:t>
      </w:r>
      <w:r w:rsidRPr="00BA5253">
        <w:t xml:space="preserve"> the Remote Working Policy in accordance with this </w:t>
      </w:r>
      <w:r w:rsidR="00895B30" w:rsidRPr="00BA5253">
        <w:t>Paragraph</w:t>
      </w:r>
      <w:r w:rsidRPr="00BA5253">
        <w:t>;</w:t>
      </w:r>
    </w:p>
    <w:p w14:paraId="05D7187D" w14:textId="1F596EE6" w:rsidR="00D37DD1" w:rsidRPr="00BA5253" w:rsidRDefault="00D37DD1" w:rsidP="005C5B5E">
      <w:pPr>
        <w:pStyle w:val="Heading3"/>
        <w:spacing w:before="120" w:after="120"/>
      </w:pPr>
      <w:r w:rsidRPr="00BA5253">
        <w:t xml:space="preserve">undertake and, where applicable, ensure that any relevant </w:t>
      </w:r>
      <w:r w:rsidR="00F515B7">
        <w:t>Sub-contractor</w:t>
      </w:r>
      <w:r w:rsidRPr="00BA5253">
        <w:t>s undertake, all steps required by the Remote Working Policy;</w:t>
      </w:r>
    </w:p>
    <w:p w14:paraId="27D32B75" w14:textId="61FB122C" w:rsidR="00D37DD1" w:rsidRPr="00BA5253" w:rsidRDefault="00D37DD1" w:rsidP="005C5B5E">
      <w:pPr>
        <w:pStyle w:val="Heading3"/>
        <w:spacing w:before="120" w:after="120"/>
      </w:pPr>
      <w:r w:rsidRPr="00BA5253">
        <w:lastRenderedPageBreak/>
        <w:t xml:space="preserve">ensure that Supplier </w:t>
      </w:r>
      <w:r w:rsidR="00AA36A5" w:rsidRPr="00BA5253">
        <w:t>Staff</w:t>
      </w:r>
      <w:r w:rsidRPr="00BA5253">
        <w:t xml:space="preserve"> undertake Remote Working only in accordance with the Remote Working Policy;</w:t>
      </w:r>
      <w:r w:rsidR="00586A00">
        <w:t xml:space="preserve"> and</w:t>
      </w:r>
    </w:p>
    <w:p w14:paraId="6B36FC3F" w14:textId="45002BF8" w:rsidR="00D37DD1" w:rsidRPr="00BA5253" w:rsidRDefault="00D37DD1" w:rsidP="005C5B5E">
      <w:pPr>
        <w:pStyle w:val="Heading3"/>
        <w:spacing w:before="120" w:after="120"/>
      </w:pPr>
      <w:r w:rsidRPr="00BA5253">
        <w:t xml:space="preserve">may not permit any Supplier </w:t>
      </w:r>
      <w:r w:rsidR="00AA36A5" w:rsidRPr="00BA5253">
        <w:t>Staff</w:t>
      </w:r>
      <w:r w:rsidRPr="00BA5253">
        <w:t xml:space="preserve"> of the Supplier or any </w:t>
      </w:r>
      <w:r w:rsidR="00F515B7">
        <w:t>Sub-contractor</w:t>
      </w:r>
      <w:r w:rsidRPr="00BA5253">
        <w:t xml:space="preserve"> to undertake Remote Working until the Remote Working Policy is approved by the </w:t>
      </w:r>
      <w:r w:rsidR="006D5B7B" w:rsidRPr="00BA5253">
        <w:t>Buyer</w:t>
      </w:r>
      <w:r w:rsidRPr="00BA5253">
        <w:t>.</w:t>
      </w:r>
    </w:p>
    <w:p w14:paraId="3777E770" w14:textId="77777777" w:rsidR="00D37DD1" w:rsidRPr="00BA5253" w:rsidRDefault="00D37DD1" w:rsidP="005C5B5E">
      <w:pPr>
        <w:pStyle w:val="Heading2"/>
        <w:spacing w:before="120" w:after="120"/>
      </w:pPr>
      <w:r w:rsidRPr="00BA5253">
        <w:t>The Remote Working Policy must include or make provision for the following matters:</w:t>
      </w:r>
    </w:p>
    <w:p w14:paraId="0DF6728E" w14:textId="44701EA3" w:rsidR="00D37DD1" w:rsidRPr="00BA5253" w:rsidRDefault="00D37DD1" w:rsidP="005C5B5E">
      <w:pPr>
        <w:pStyle w:val="Heading3"/>
        <w:spacing w:before="120" w:after="120"/>
      </w:pPr>
      <w:r w:rsidRPr="00BA5253">
        <w:t xml:space="preserve">restricting or prohibiting Supplier </w:t>
      </w:r>
      <w:r w:rsidR="00AA36A5" w:rsidRPr="00BA5253">
        <w:t>Staff</w:t>
      </w:r>
      <w:r w:rsidRPr="00BA5253">
        <w:t xml:space="preserve"> from printing documents in any Remote Location;</w:t>
      </w:r>
    </w:p>
    <w:p w14:paraId="42957446" w14:textId="32A3AEB3" w:rsidR="00D37DD1" w:rsidRPr="00BA5253" w:rsidRDefault="00D37DD1" w:rsidP="005C5B5E">
      <w:pPr>
        <w:pStyle w:val="Heading3"/>
        <w:spacing w:before="120" w:after="120"/>
      </w:pPr>
      <w:r w:rsidRPr="00BA5253">
        <w:t xml:space="preserve">restricting or prohibiting Supplier </w:t>
      </w:r>
      <w:r w:rsidR="00AA36A5" w:rsidRPr="00BA5253">
        <w:t>Staff</w:t>
      </w:r>
      <w:r w:rsidRPr="00BA5253">
        <w:t xml:space="preserve"> from downloading any </w:t>
      </w:r>
      <w:r w:rsidR="006D5B7B" w:rsidRPr="00BA5253">
        <w:t>Government Data</w:t>
      </w:r>
      <w:r w:rsidRPr="00BA5253">
        <w:t xml:space="preserve"> to any End-user Device other than an End</w:t>
      </w:r>
      <w:r w:rsidR="373FEECE" w:rsidRPr="00BA5253">
        <w:t>-</w:t>
      </w:r>
      <w:r w:rsidR="00132D42">
        <w:t>u</w:t>
      </w:r>
      <w:r w:rsidRPr="00BA5253">
        <w:t>ser Device that:</w:t>
      </w:r>
    </w:p>
    <w:p w14:paraId="7A9A6E3A" w14:textId="4C71C831" w:rsidR="00D37DD1" w:rsidRPr="00BA5253" w:rsidRDefault="00D37DD1" w:rsidP="005C5B5E">
      <w:pPr>
        <w:pStyle w:val="Heading4"/>
        <w:spacing w:before="120" w:after="120"/>
      </w:pPr>
      <w:r w:rsidRPr="00BA5253">
        <w:t xml:space="preserve">is provided by the Supplier or </w:t>
      </w:r>
      <w:r w:rsidR="00F515B7">
        <w:t>Sub-contractor</w:t>
      </w:r>
      <w:r w:rsidRPr="00BA5253">
        <w:t xml:space="preserve"> (as appropriate); and</w:t>
      </w:r>
    </w:p>
    <w:p w14:paraId="1183AE3E" w14:textId="2EE5D5E9" w:rsidR="00D37DD1" w:rsidRPr="00BA5253" w:rsidRDefault="00D37DD1" w:rsidP="005C5B5E">
      <w:pPr>
        <w:pStyle w:val="Heading4"/>
        <w:spacing w:before="120" w:after="120"/>
      </w:pPr>
      <w:r w:rsidRPr="00BA5253">
        <w:t xml:space="preserve">complies with the requirements set out in </w:t>
      </w:r>
      <w:r w:rsidR="00895B30" w:rsidRPr="00BA5253">
        <w:t>Paragraph</w:t>
      </w:r>
      <w:r w:rsidRPr="00BA5253">
        <w:t xml:space="preserve"> 3 (</w:t>
      </w:r>
      <w:r w:rsidRPr="00BA5253">
        <w:rPr>
          <w:i/>
          <w:iCs/>
        </w:rPr>
        <w:t>End-user Devices</w:t>
      </w:r>
      <w:r w:rsidRPr="00BA5253">
        <w:t>);</w:t>
      </w:r>
    </w:p>
    <w:p w14:paraId="03C04E14" w14:textId="611BE39F" w:rsidR="00D37DD1" w:rsidRPr="00BA5253" w:rsidRDefault="00D37DD1" w:rsidP="005C5B5E">
      <w:pPr>
        <w:pStyle w:val="Heading3"/>
        <w:spacing w:before="120" w:after="120"/>
      </w:pPr>
      <w:r w:rsidRPr="00BA5253">
        <w:t xml:space="preserve">ensuring that Supplier </w:t>
      </w:r>
      <w:r w:rsidR="00AA36A5" w:rsidRPr="00BA5253">
        <w:t>Staff</w:t>
      </w:r>
      <w:r w:rsidRPr="00BA5253">
        <w:t xml:space="preserve"> comply with the Expected Behaviours (so far as they are applicable);</w:t>
      </w:r>
    </w:p>
    <w:p w14:paraId="038008AC" w14:textId="746A928B" w:rsidR="00D37DD1" w:rsidRPr="00BA5253" w:rsidRDefault="00D37DD1" w:rsidP="005C5B5E">
      <w:pPr>
        <w:pStyle w:val="Heading3"/>
        <w:spacing w:before="120" w:after="120"/>
      </w:pPr>
      <w:r w:rsidRPr="00BA5253">
        <w:t>giving effect to the Security Controls (so far as they are applicable); and</w:t>
      </w:r>
    </w:p>
    <w:p w14:paraId="61D952D3" w14:textId="1E21FCC8" w:rsidR="00D37DD1" w:rsidRPr="00BA5253" w:rsidRDefault="00D37DD1" w:rsidP="005C5B5E">
      <w:pPr>
        <w:pStyle w:val="Heading3"/>
        <w:spacing w:before="120" w:after="120"/>
      </w:pPr>
      <w:r w:rsidRPr="00BA5253">
        <w:t xml:space="preserve">for each different category of Supplier </w:t>
      </w:r>
      <w:r w:rsidR="00AA36A5" w:rsidRPr="00BA5253">
        <w:t>Staff</w:t>
      </w:r>
      <w:r w:rsidRPr="00BA5253">
        <w:t xml:space="preserve"> subject to the proposed Remote Working Policy:</w:t>
      </w:r>
    </w:p>
    <w:p w14:paraId="694B4629" w14:textId="2AB737B6" w:rsidR="00D37DD1" w:rsidRPr="00BA5253" w:rsidRDefault="00D37DD1" w:rsidP="005C5B5E">
      <w:pPr>
        <w:pStyle w:val="Heading4"/>
        <w:spacing w:before="120" w:after="120"/>
      </w:pPr>
      <w:r w:rsidRPr="00BA5253">
        <w:t xml:space="preserve">the types and volumes of </w:t>
      </w:r>
      <w:r w:rsidR="006D5B7B" w:rsidRPr="00BA5253">
        <w:t>Government Data</w:t>
      </w:r>
      <w:r w:rsidRPr="00BA5253">
        <w:t xml:space="preserve"> that the Supplier </w:t>
      </w:r>
      <w:r w:rsidR="00AA36A5" w:rsidRPr="00BA5253">
        <w:t>Staff</w:t>
      </w:r>
      <w:r w:rsidRPr="00BA5253">
        <w:t xml:space="preserve"> can </w:t>
      </w:r>
      <w:r w:rsidR="002D0410" w:rsidRPr="00BA5253">
        <w:t>Handle</w:t>
      </w:r>
      <w:r w:rsidRPr="00BA5253">
        <w:t xml:space="preserve"> in a Remote Location and the </w:t>
      </w:r>
      <w:r w:rsidR="005551EB" w:rsidRPr="00BA5253">
        <w:t>Handling</w:t>
      </w:r>
      <w:r w:rsidRPr="00BA5253">
        <w:t xml:space="preserve"> that those Supplier </w:t>
      </w:r>
      <w:r w:rsidR="00AA36A5" w:rsidRPr="00BA5253">
        <w:t>Staff</w:t>
      </w:r>
      <w:r w:rsidRPr="00BA5253">
        <w:t xml:space="preserve"> will undertake;</w:t>
      </w:r>
    </w:p>
    <w:p w14:paraId="07CF871D" w14:textId="13B3119A" w:rsidR="00D37DD1" w:rsidRPr="00BA5253" w:rsidRDefault="00D37DD1" w:rsidP="005C5B5E">
      <w:pPr>
        <w:pStyle w:val="Heading4"/>
        <w:spacing w:before="120" w:after="120"/>
      </w:pPr>
      <w:r w:rsidRPr="00BA5253">
        <w:t xml:space="preserve">any identified security risks arising from the proposed </w:t>
      </w:r>
      <w:r w:rsidR="005551EB" w:rsidRPr="00BA5253">
        <w:t>Handling</w:t>
      </w:r>
      <w:r w:rsidRPr="00BA5253">
        <w:t xml:space="preserve"> in a Remote Location;</w:t>
      </w:r>
    </w:p>
    <w:p w14:paraId="3F7F0C72" w14:textId="4419DE5C" w:rsidR="00D37DD1" w:rsidRPr="00BA5253" w:rsidRDefault="00D37DD1" w:rsidP="005C5B5E">
      <w:pPr>
        <w:pStyle w:val="Heading4"/>
        <w:spacing w:before="120" w:after="120"/>
      </w:pPr>
      <w:r w:rsidRPr="00BA5253">
        <w:t xml:space="preserve">the mitigations, controls and security measures the Supplier or </w:t>
      </w:r>
      <w:r w:rsidR="00F515B7">
        <w:t>Sub-contractor</w:t>
      </w:r>
      <w:r w:rsidRPr="00BA5253">
        <w:t xml:space="preserve"> (as applicable) will implement to mitigate the identified risks; and</w:t>
      </w:r>
    </w:p>
    <w:p w14:paraId="2813DA12" w14:textId="444135C3" w:rsidR="00D37DD1" w:rsidRPr="00BA5253" w:rsidRDefault="00D37DD1" w:rsidP="005C5B5E">
      <w:pPr>
        <w:pStyle w:val="Heading4"/>
        <w:spacing w:before="120" w:after="120"/>
      </w:pPr>
      <w:r w:rsidRPr="00BA5253">
        <w:t xml:space="preserve">the business rules with which the Supplier </w:t>
      </w:r>
      <w:r w:rsidR="00AA36A5" w:rsidRPr="00BA5253">
        <w:t>Staff</w:t>
      </w:r>
      <w:r w:rsidRPr="00BA5253">
        <w:t xml:space="preserve"> must comply.</w:t>
      </w:r>
    </w:p>
    <w:p w14:paraId="2AC5BBEE" w14:textId="76EF87BB" w:rsidR="00D37DD1" w:rsidRPr="00BA5253" w:rsidRDefault="00D37DD1" w:rsidP="005C5B5E">
      <w:pPr>
        <w:pStyle w:val="Heading2"/>
        <w:spacing w:before="120" w:after="120"/>
      </w:pPr>
      <w:r w:rsidRPr="00BA5253">
        <w:t xml:space="preserve">The Supplier may submit a proposed Remote Working Policy to the </w:t>
      </w:r>
      <w:r w:rsidR="006D5B7B" w:rsidRPr="00BA5253">
        <w:t>Buyer</w:t>
      </w:r>
      <w:r w:rsidRPr="00BA5253">
        <w:t xml:space="preserve"> for consideration at any time.</w:t>
      </w:r>
    </w:p>
    <w:p w14:paraId="39217802" w14:textId="01477EF4" w:rsidR="000D651B" w:rsidRPr="00BA5253" w:rsidRDefault="000D651B" w:rsidP="005C5B5E">
      <w:pPr>
        <w:pStyle w:val="Heading1"/>
        <w:spacing w:before="120" w:after="120"/>
      </w:pPr>
      <w:bookmarkStart w:id="53" w:name="_Ref164077088"/>
      <w:r w:rsidRPr="00BA5253">
        <w:t>Backup and recovery of Government Data</w:t>
      </w:r>
      <w:bookmarkEnd w:id="53"/>
    </w:p>
    <w:p w14:paraId="49D3E02E" w14:textId="77777777" w:rsidR="000D651B" w:rsidRPr="00BA5253" w:rsidRDefault="000D651B" w:rsidP="005C5B5E">
      <w:pPr>
        <w:pStyle w:val="Heading2"/>
        <w:spacing w:before="120" w:after="120"/>
      </w:pPr>
      <w:r w:rsidRPr="00BA5253">
        <w:t>The Supplier must ensure that the Supplier System:</w:t>
      </w:r>
    </w:p>
    <w:p w14:paraId="3EC06B27" w14:textId="3E66D50A" w:rsidR="000D651B" w:rsidRPr="00BA5253" w:rsidRDefault="000D651B" w:rsidP="005C5B5E">
      <w:pPr>
        <w:pStyle w:val="Heading3"/>
        <w:spacing w:before="120" w:after="120"/>
      </w:pPr>
      <w:r w:rsidRPr="00BA5253">
        <w:t>backs up and allows for the recovery of Government Data to achieve the recovery point and recovery time objectives specified by the Buyer, or in accordance with Good Industry Practice where the Buyer has not specified; and</w:t>
      </w:r>
    </w:p>
    <w:p w14:paraId="683550A8" w14:textId="0B386358" w:rsidR="000D651B" w:rsidRPr="00BA5253" w:rsidRDefault="000D651B" w:rsidP="005C5B5E">
      <w:pPr>
        <w:pStyle w:val="Heading3"/>
        <w:spacing w:before="120" w:after="120"/>
      </w:pPr>
      <w:r w:rsidRPr="00BA5253">
        <w:lastRenderedPageBreak/>
        <w:t>retains backups of the Government Data for the period specified by the Buyer, or in accordance with Good Industry Practice where the Buyer has not specified.</w:t>
      </w:r>
    </w:p>
    <w:p w14:paraId="406F61AE" w14:textId="77777777" w:rsidR="000D651B" w:rsidRPr="00BA5253" w:rsidRDefault="000D651B" w:rsidP="005C5B5E">
      <w:pPr>
        <w:pStyle w:val="Heading2"/>
        <w:spacing w:before="120" w:after="120"/>
      </w:pPr>
      <w:r w:rsidRPr="00BA5253">
        <w:t>The Supplier must ensure the Supplier System:</w:t>
      </w:r>
    </w:p>
    <w:p w14:paraId="1F82810E" w14:textId="059405A9" w:rsidR="000D651B" w:rsidRPr="00BA5253" w:rsidRDefault="000D651B" w:rsidP="005C5B5E">
      <w:pPr>
        <w:pStyle w:val="ScheduleL3"/>
        <w:numPr>
          <w:ilvl w:val="2"/>
          <w:numId w:val="34"/>
        </w:numPr>
        <w:spacing w:before="120" w:after="120"/>
      </w:pPr>
      <w:r w:rsidRPr="00BA5253">
        <w:t>uses backup location for Government Data that are physically and logically separate from the rest of the Supplier System;</w:t>
      </w:r>
    </w:p>
    <w:p w14:paraId="6C9DAD02" w14:textId="3C84801F" w:rsidR="000D651B" w:rsidRPr="00BA5253" w:rsidRDefault="000D651B" w:rsidP="005C5B5E">
      <w:pPr>
        <w:pStyle w:val="ScheduleL3"/>
        <w:numPr>
          <w:ilvl w:val="2"/>
          <w:numId w:val="34"/>
        </w:numPr>
        <w:spacing w:before="120" w:after="120"/>
      </w:pPr>
      <w:r w:rsidRPr="00BA5253">
        <w:t xml:space="preserve">the backup system monitors backups of </w:t>
      </w:r>
      <w:r w:rsidR="006D5B7B" w:rsidRPr="00BA5253">
        <w:t>Government Data</w:t>
      </w:r>
      <w:r w:rsidRPr="00BA5253">
        <w:t xml:space="preserve"> to:</w:t>
      </w:r>
    </w:p>
    <w:p w14:paraId="78030508" w14:textId="77777777" w:rsidR="000D651B" w:rsidRPr="00BA5253" w:rsidRDefault="000D651B" w:rsidP="005C5B5E">
      <w:pPr>
        <w:pStyle w:val="ScheduleL4"/>
        <w:numPr>
          <w:ilvl w:val="3"/>
          <w:numId w:val="34"/>
        </w:numPr>
        <w:spacing w:before="120" w:after="120"/>
      </w:pPr>
      <w:r w:rsidRPr="00BA5253">
        <w:t>identifies any backup failure; and</w:t>
      </w:r>
    </w:p>
    <w:p w14:paraId="26E505E9" w14:textId="5DFCAF11" w:rsidR="000D651B" w:rsidRPr="00BA5253" w:rsidRDefault="000D651B" w:rsidP="005C5B5E">
      <w:pPr>
        <w:pStyle w:val="ScheduleL4"/>
        <w:numPr>
          <w:ilvl w:val="3"/>
          <w:numId w:val="34"/>
        </w:numPr>
        <w:spacing w:before="120" w:after="120"/>
      </w:pPr>
      <w:r w:rsidRPr="00BA5253">
        <w:t xml:space="preserve">confirm the integrity of the </w:t>
      </w:r>
      <w:r w:rsidR="006D5B7B" w:rsidRPr="00BA5253">
        <w:t>Government Data</w:t>
      </w:r>
      <w:r w:rsidRPr="00BA5253">
        <w:t xml:space="preserve"> backed up;</w:t>
      </w:r>
    </w:p>
    <w:p w14:paraId="3B2074D1" w14:textId="77777777" w:rsidR="000D651B" w:rsidRPr="00BA5253" w:rsidRDefault="000D651B" w:rsidP="005C5B5E">
      <w:pPr>
        <w:pStyle w:val="ScheduleL3"/>
        <w:numPr>
          <w:ilvl w:val="2"/>
          <w:numId w:val="34"/>
        </w:numPr>
        <w:spacing w:before="120" w:after="120"/>
      </w:pPr>
      <w:r w:rsidRPr="00BA5253">
        <w:t>any backup failure is remedied promptly;</w:t>
      </w:r>
    </w:p>
    <w:p w14:paraId="672E401A" w14:textId="24A0C643" w:rsidR="000D651B" w:rsidRPr="00BA5253" w:rsidRDefault="000D651B" w:rsidP="005C5B5E">
      <w:pPr>
        <w:pStyle w:val="ScheduleL3"/>
        <w:numPr>
          <w:ilvl w:val="2"/>
          <w:numId w:val="34"/>
        </w:numPr>
        <w:spacing w:before="120" w:after="120"/>
      </w:pPr>
      <w:r w:rsidRPr="00BA5253">
        <w:t xml:space="preserve">the backup system monitors the recovery of </w:t>
      </w:r>
      <w:r w:rsidR="006D5B7B" w:rsidRPr="00BA5253">
        <w:t>Government Data</w:t>
      </w:r>
      <w:r w:rsidRPr="00BA5253">
        <w:t xml:space="preserve"> to:</w:t>
      </w:r>
    </w:p>
    <w:p w14:paraId="745E1EE7" w14:textId="4CC1F980" w:rsidR="000D651B" w:rsidRPr="00BA5253" w:rsidRDefault="000D651B" w:rsidP="005C5B5E">
      <w:pPr>
        <w:pStyle w:val="ScheduleL4"/>
        <w:numPr>
          <w:ilvl w:val="3"/>
          <w:numId w:val="34"/>
        </w:numPr>
        <w:spacing w:before="120" w:after="120"/>
      </w:pPr>
      <w:r w:rsidRPr="00BA5253">
        <w:t>identify any recovery failure; and</w:t>
      </w:r>
    </w:p>
    <w:p w14:paraId="59D46E9D" w14:textId="03CBE13C" w:rsidR="000D651B" w:rsidRPr="00BA5253" w:rsidRDefault="000D651B" w:rsidP="005C5B5E">
      <w:pPr>
        <w:pStyle w:val="ScheduleL4"/>
        <w:numPr>
          <w:ilvl w:val="3"/>
          <w:numId w:val="34"/>
        </w:numPr>
        <w:spacing w:before="120" w:after="120"/>
      </w:pPr>
      <w:r w:rsidRPr="00BA5253">
        <w:t xml:space="preserve">confirm the integrity of </w:t>
      </w:r>
      <w:r w:rsidR="006D5B7B" w:rsidRPr="00BA5253">
        <w:t>Government Data</w:t>
      </w:r>
      <w:r w:rsidRPr="00BA5253">
        <w:t xml:space="preserve"> recovered; and</w:t>
      </w:r>
    </w:p>
    <w:p w14:paraId="1267715B" w14:textId="27CA7B78" w:rsidR="000D651B" w:rsidRPr="00BA5253" w:rsidRDefault="000D651B" w:rsidP="005C5B5E">
      <w:pPr>
        <w:pStyle w:val="ScheduleL3"/>
        <w:numPr>
          <w:ilvl w:val="2"/>
          <w:numId w:val="34"/>
        </w:numPr>
        <w:spacing w:before="120" w:after="120"/>
      </w:pPr>
      <w:r w:rsidRPr="00BA5253">
        <w:t>any recovery failure is promptly remedied.</w:t>
      </w:r>
    </w:p>
    <w:p w14:paraId="7C918841" w14:textId="39E912FC" w:rsidR="00A32715" w:rsidRPr="00BA5253" w:rsidRDefault="00AA2692" w:rsidP="005C5B5E">
      <w:pPr>
        <w:pStyle w:val="Heading1"/>
        <w:spacing w:before="120" w:after="120"/>
      </w:pPr>
      <w:bookmarkStart w:id="54" w:name="_Ref115021517"/>
      <w:r w:rsidRPr="00BA5253">
        <w:t xml:space="preserve">Return and deletion of </w:t>
      </w:r>
      <w:r w:rsidR="00BC37A8" w:rsidRPr="00BA5253">
        <w:t>Government Data</w:t>
      </w:r>
    </w:p>
    <w:p w14:paraId="0884BD6B" w14:textId="1B66A60E" w:rsidR="00AA2692" w:rsidRPr="00BA5253" w:rsidRDefault="00D37DD1" w:rsidP="005C5B5E">
      <w:pPr>
        <w:pStyle w:val="Heading2"/>
        <w:spacing w:before="120" w:after="120"/>
      </w:pPr>
      <w:bookmarkStart w:id="55" w:name="_Ref162884826"/>
      <w:r w:rsidRPr="00BA5253">
        <w:t xml:space="preserve">Subject to </w:t>
      </w:r>
      <w:r w:rsidR="00895B30" w:rsidRPr="00BA5253">
        <w:t>Paragraph</w:t>
      </w:r>
      <w:r w:rsidRPr="00BA5253">
        <w:t> </w:t>
      </w:r>
      <w:r w:rsidRPr="00BA5253">
        <w:fldChar w:fldCharType="begin"/>
      </w:r>
      <w:r w:rsidRPr="00BA5253">
        <w:instrText xml:space="preserve"> REF _Ref162884788 \r \h </w:instrText>
      </w:r>
      <w:r w:rsidR="00BA5253" w:rsidRPr="00BA5253">
        <w:instrText xml:space="preserve"> \* MERGEFORMAT </w:instrText>
      </w:r>
      <w:r w:rsidRPr="00BA5253">
        <w:fldChar w:fldCharType="separate"/>
      </w:r>
      <w:r w:rsidR="005C5B5E">
        <w:t>24.2</w:t>
      </w:r>
      <w:r w:rsidRPr="00BA5253">
        <w:fldChar w:fldCharType="end"/>
      </w:r>
      <w:r w:rsidRPr="00BA5253">
        <w:t>, w</w:t>
      </w:r>
      <w:r w:rsidR="00AA2692" w:rsidRPr="00BA5253">
        <w:t xml:space="preserve">hen requested to do so by the </w:t>
      </w:r>
      <w:r w:rsidR="00A52257" w:rsidRPr="00BA5253">
        <w:t>Buyer</w:t>
      </w:r>
      <w:r w:rsidR="00AA2692" w:rsidRPr="00BA5253">
        <w:t xml:space="preserve">, the Supplier must, and must ensure that all </w:t>
      </w:r>
      <w:r w:rsidR="00F515B7">
        <w:t>Sub-contractor</w:t>
      </w:r>
      <w:r w:rsidR="00AA2692" w:rsidRPr="00BA5253">
        <w:t>s:</w:t>
      </w:r>
      <w:bookmarkEnd w:id="55"/>
    </w:p>
    <w:p w14:paraId="3271AB1A" w14:textId="1C7E91C1" w:rsidR="00AA2692" w:rsidRPr="00BA5253" w:rsidRDefault="00AA2692" w:rsidP="005C5B5E">
      <w:pPr>
        <w:pStyle w:val="Heading3"/>
        <w:spacing w:before="120" w:after="120"/>
      </w:pPr>
      <w:r w:rsidRPr="00BA5253">
        <w:t xml:space="preserve">securely erase any or all </w:t>
      </w:r>
      <w:r w:rsidR="00BC37A8" w:rsidRPr="00BA5253">
        <w:t>Government Data</w:t>
      </w:r>
      <w:r w:rsidRPr="00BA5253">
        <w:t xml:space="preserve"> held by the Supplier or </w:t>
      </w:r>
      <w:r w:rsidR="00F515B7">
        <w:t>Sub-contractor</w:t>
      </w:r>
      <w:r w:rsidRPr="00BA5253">
        <w:t xml:space="preserve"> using a deletion method that ensures that even a determined expert using specialist techniques can recover only a small fraction of the data deleted;</w:t>
      </w:r>
      <w:r w:rsidR="000E56FA" w:rsidRPr="00BA5253">
        <w:t xml:space="preserve"> or</w:t>
      </w:r>
    </w:p>
    <w:p w14:paraId="4EAD3110" w14:textId="3EAA5894" w:rsidR="00AA2692" w:rsidRPr="00BA5253" w:rsidRDefault="00AA2692" w:rsidP="005C5B5E">
      <w:pPr>
        <w:pStyle w:val="Heading3"/>
        <w:spacing w:before="120" w:after="120"/>
      </w:pPr>
      <w:r w:rsidRPr="00BA5253">
        <w:t xml:space="preserve">provide the </w:t>
      </w:r>
      <w:r w:rsidR="00A52257" w:rsidRPr="00BA5253">
        <w:t>Buyer</w:t>
      </w:r>
      <w:r w:rsidRPr="00BA5253">
        <w:t xml:space="preserve"> with copies of any or all </w:t>
      </w:r>
      <w:r w:rsidR="00BC37A8" w:rsidRPr="00BA5253">
        <w:t>Government Data</w:t>
      </w:r>
      <w:r w:rsidRPr="00BA5253">
        <w:t xml:space="preserve"> held by the Supplier or </w:t>
      </w:r>
      <w:r w:rsidR="00F515B7">
        <w:t>Sub-contractor</w:t>
      </w:r>
      <w:r w:rsidR="000E56FA" w:rsidRPr="00BA5253">
        <w:t xml:space="preserve"> </w:t>
      </w:r>
      <w:r w:rsidRPr="00BA5253">
        <w:t xml:space="preserve">using the method specified by the </w:t>
      </w:r>
      <w:r w:rsidR="00A52257" w:rsidRPr="00BA5253">
        <w:t>Buyer</w:t>
      </w:r>
      <w:r w:rsidRPr="00BA5253">
        <w:t>.</w:t>
      </w:r>
    </w:p>
    <w:p w14:paraId="03892254" w14:textId="50963E1A" w:rsidR="00D37DD1" w:rsidRPr="00BA5253" w:rsidRDefault="00D37DD1" w:rsidP="005C5B5E">
      <w:pPr>
        <w:pStyle w:val="Heading2"/>
        <w:spacing w:before="120" w:after="120"/>
      </w:pPr>
      <w:bookmarkStart w:id="56" w:name="_Ref162884788"/>
      <w:r w:rsidRPr="00BA5253">
        <w:t>Paragraph </w:t>
      </w:r>
      <w:r w:rsidRPr="00BA5253">
        <w:fldChar w:fldCharType="begin"/>
      </w:r>
      <w:r w:rsidRPr="00BA5253">
        <w:instrText xml:space="preserve"> REF _Ref162884826 \r \h </w:instrText>
      </w:r>
      <w:r w:rsidR="00BA5253" w:rsidRPr="00BA5253">
        <w:instrText xml:space="preserve"> \* MERGEFORMAT </w:instrText>
      </w:r>
      <w:r w:rsidRPr="00BA5253">
        <w:fldChar w:fldCharType="separate"/>
      </w:r>
      <w:r w:rsidR="005C5B5E">
        <w:t>24.1</w:t>
      </w:r>
      <w:r w:rsidRPr="00BA5253">
        <w:fldChar w:fldCharType="end"/>
      </w:r>
      <w:r w:rsidRPr="00BA5253">
        <w:t xml:space="preserve"> does not apply to Government Data:</w:t>
      </w:r>
    </w:p>
    <w:p w14:paraId="0B03FD8B" w14:textId="49726261" w:rsidR="00D37DD1" w:rsidRPr="00BA5253" w:rsidRDefault="00D37DD1" w:rsidP="005C5B5E">
      <w:pPr>
        <w:pStyle w:val="Heading3"/>
        <w:spacing w:before="120" w:after="120"/>
      </w:pPr>
      <w:r w:rsidRPr="00BA5253">
        <w:t xml:space="preserve">that is </w:t>
      </w:r>
      <w:r w:rsidR="00E11208" w:rsidRPr="00BA5253">
        <w:t>P</w:t>
      </w:r>
      <w:r w:rsidRPr="00BA5253">
        <w:t xml:space="preserve">ersonal </w:t>
      </w:r>
      <w:r w:rsidR="00E11208" w:rsidRPr="00BA5253">
        <w:t>D</w:t>
      </w:r>
      <w:r w:rsidRPr="00BA5253">
        <w:t xml:space="preserve">ata in respect of which the Supplier is a </w:t>
      </w:r>
      <w:r w:rsidR="00E11208" w:rsidRPr="00BA5253">
        <w:t>C</w:t>
      </w:r>
      <w:r w:rsidRPr="00BA5253">
        <w:t>ontroller;</w:t>
      </w:r>
    </w:p>
    <w:p w14:paraId="725A57C4" w14:textId="2814F9D6" w:rsidR="00D37DD1" w:rsidRPr="00BA5253" w:rsidRDefault="00D37DD1" w:rsidP="005C5B5E">
      <w:pPr>
        <w:pStyle w:val="Heading3"/>
        <w:spacing w:before="120" w:after="120"/>
      </w:pPr>
      <w:r w:rsidRPr="00BA5253">
        <w:t xml:space="preserve">to which the Supplier has rights to </w:t>
      </w:r>
      <w:r w:rsidR="002D0410" w:rsidRPr="00BA5253">
        <w:t>Handle</w:t>
      </w:r>
      <w:r w:rsidRPr="00BA5253">
        <w:t xml:space="preserve"> independently from th</w:t>
      </w:r>
      <w:r w:rsidR="00586A00">
        <w:t>e</w:t>
      </w:r>
      <w:r w:rsidRPr="00BA5253">
        <w:t xml:space="preserve"> </w:t>
      </w:r>
      <w:r w:rsidR="00895B30" w:rsidRPr="00BA5253">
        <w:t>Contract</w:t>
      </w:r>
      <w:r w:rsidR="00EC574D" w:rsidRPr="00BA5253">
        <w:t>; or</w:t>
      </w:r>
    </w:p>
    <w:p w14:paraId="19BD9EBA" w14:textId="77777777" w:rsidR="00EC574D" w:rsidRPr="00BA5253" w:rsidRDefault="00EC574D" w:rsidP="005C5B5E">
      <w:pPr>
        <w:pStyle w:val="ScheduleL3"/>
        <w:spacing w:before="120" w:after="120"/>
      </w:pPr>
      <w:r w:rsidRPr="00BA5253">
        <w:t>in respect of which, the Supplier is under an obligation imposed by Law to retain.</w:t>
      </w:r>
    </w:p>
    <w:p w14:paraId="1707AC71" w14:textId="5F7DD2FE" w:rsidR="005D0DA4" w:rsidRPr="00BA5253" w:rsidRDefault="005D0DA4" w:rsidP="005C5B5E">
      <w:pPr>
        <w:pStyle w:val="Heading2"/>
        <w:spacing w:before="120" w:after="120"/>
      </w:pPr>
      <w:r w:rsidRPr="00BA5253">
        <w:t xml:space="preserve">The Supplier must, and must ensure that all </w:t>
      </w:r>
      <w:r w:rsidR="00F515B7">
        <w:t>Sub-contractor</w:t>
      </w:r>
      <w:r w:rsidRPr="00BA5253">
        <w:t xml:space="preserve">s, provide the Buyer with copies of any or all Buyer Data held by the Supplier or </w:t>
      </w:r>
      <w:r w:rsidR="00F515B7">
        <w:t>Sub-contractor</w:t>
      </w:r>
      <w:r w:rsidRPr="00BA5253">
        <w:t>:</w:t>
      </w:r>
    </w:p>
    <w:p w14:paraId="1C6F2A5E" w14:textId="1430F866" w:rsidR="005D0DA4" w:rsidRPr="00BA5253" w:rsidRDefault="005D0DA4" w:rsidP="005C5B5E">
      <w:pPr>
        <w:pStyle w:val="Heading3"/>
        <w:spacing w:before="120" w:after="120"/>
      </w:pPr>
      <w:r w:rsidRPr="00BA5253">
        <w:t>when requested to do so by the Buyer; and</w:t>
      </w:r>
    </w:p>
    <w:p w14:paraId="75689CC0" w14:textId="1647004B" w:rsidR="005D0DA4" w:rsidRPr="00BA5253" w:rsidRDefault="005D0DA4" w:rsidP="005C5B5E">
      <w:pPr>
        <w:pStyle w:val="Heading3"/>
        <w:spacing w:before="120" w:after="120"/>
      </w:pPr>
      <w:r w:rsidRPr="00BA5253">
        <w:t>using the method specified by the Buyer.</w:t>
      </w:r>
    </w:p>
    <w:p w14:paraId="27923017" w14:textId="41FA01FA" w:rsidR="00AA2692" w:rsidRPr="00BA5253" w:rsidRDefault="000E56FA" w:rsidP="005C5B5E">
      <w:pPr>
        <w:pStyle w:val="Heading1"/>
        <w:spacing w:before="120" w:after="120"/>
      </w:pPr>
      <w:bookmarkStart w:id="57" w:name="_Ref115023110"/>
      <w:bookmarkEnd w:id="56"/>
      <w:r w:rsidRPr="00BA5253">
        <w:t>Physical security</w:t>
      </w:r>
      <w:bookmarkEnd w:id="57"/>
    </w:p>
    <w:p w14:paraId="73731692" w14:textId="79143203" w:rsidR="000E56FA" w:rsidRPr="00BA5253" w:rsidRDefault="000E56FA" w:rsidP="005C5B5E">
      <w:pPr>
        <w:pStyle w:val="Heading2"/>
        <w:spacing w:before="120" w:after="120"/>
      </w:pPr>
      <w:r w:rsidRPr="00BA5253">
        <w:t xml:space="preserve">The Supplier must, and must ensure that </w:t>
      </w:r>
      <w:r w:rsidR="00F515B7">
        <w:t>Sub-contractor</w:t>
      </w:r>
      <w:r w:rsidRPr="00BA5253">
        <w:t xml:space="preserve">s, store the </w:t>
      </w:r>
      <w:r w:rsidR="00BC37A8" w:rsidRPr="00BA5253">
        <w:t>Government Data</w:t>
      </w:r>
      <w:r w:rsidR="00E11D58" w:rsidRPr="00BA5253">
        <w:t xml:space="preserve"> on servers housed in physically secure locations.</w:t>
      </w:r>
    </w:p>
    <w:p w14:paraId="7D66E57A" w14:textId="187E147D" w:rsidR="00E11D58" w:rsidRPr="00BA5253" w:rsidRDefault="006B1C83" w:rsidP="005C5B5E">
      <w:pPr>
        <w:pStyle w:val="Heading1"/>
        <w:spacing w:before="120" w:after="120"/>
      </w:pPr>
      <w:bookmarkStart w:id="58" w:name="_Ref167089686"/>
      <w:r w:rsidRPr="00BA5253">
        <w:lastRenderedPageBreak/>
        <w:t>Breach of Security</w:t>
      </w:r>
      <w:bookmarkEnd w:id="58"/>
    </w:p>
    <w:p w14:paraId="043C7093" w14:textId="237BB562" w:rsidR="00B0447E" w:rsidRPr="00BA5253" w:rsidRDefault="00B0447E" w:rsidP="005C5B5E">
      <w:pPr>
        <w:pStyle w:val="Heading2"/>
        <w:spacing w:before="120" w:after="120"/>
      </w:pPr>
      <w:r w:rsidRPr="00BA5253">
        <w:t xml:space="preserve">If the Supplier becomes aware of a Breach of Security that impacts or has the potential to impact the </w:t>
      </w:r>
      <w:r w:rsidR="00BC37A8" w:rsidRPr="00BA5253">
        <w:t>Government Data</w:t>
      </w:r>
      <w:r w:rsidRPr="00BA5253">
        <w:t>, it shall:</w:t>
      </w:r>
    </w:p>
    <w:p w14:paraId="61E0AC98" w14:textId="40F98570" w:rsidR="00B0447E" w:rsidRPr="00BA5253" w:rsidRDefault="00B0447E" w:rsidP="005C5B5E">
      <w:pPr>
        <w:pStyle w:val="Heading3"/>
        <w:spacing w:before="120" w:after="120"/>
      </w:pPr>
      <w:r w:rsidRPr="00BA5253">
        <w:t xml:space="preserve">notify the </w:t>
      </w:r>
      <w:r w:rsidR="00A52257" w:rsidRPr="00BA5253">
        <w:t>Buyer</w:t>
      </w:r>
      <w:r w:rsidRPr="00BA5253">
        <w:t xml:space="preserve"> as soon as reasonably practicable after becoming aware of the breach, and in any event within </w:t>
      </w:r>
      <w:r w:rsidRPr="00CB3C7A">
        <w:rPr>
          <w:highlight w:val="yellow"/>
        </w:rPr>
        <w:t>[24]</w:t>
      </w:r>
      <w:r w:rsidRPr="00BA5253">
        <w:t> hours</w:t>
      </w:r>
      <w:r w:rsidR="00D37DD1" w:rsidRPr="00BA5253">
        <w:t>;</w:t>
      </w:r>
    </w:p>
    <w:p w14:paraId="489864CD" w14:textId="5227E6E9" w:rsidR="00B0447E" w:rsidRPr="00BA5253" w:rsidRDefault="00B0447E" w:rsidP="005C5B5E">
      <w:pPr>
        <w:pStyle w:val="Heading3"/>
        <w:spacing w:before="120" w:after="120"/>
      </w:pPr>
      <w:r w:rsidRPr="00BA5253">
        <w:t xml:space="preserve">provide such assistance to the </w:t>
      </w:r>
      <w:r w:rsidR="00A52257" w:rsidRPr="00BA5253">
        <w:t>Buyer</w:t>
      </w:r>
      <w:r w:rsidRPr="00BA5253">
        <w:t xml:space="preserve"> as the </w:t>
      </w:r>
      <w:r w:rsidR="00A52257" w:rsidRPr="00BA5253">
        <w:t>Buyer</w:t>
      </w:r>
      <w:r w:rsidRPr="00BA5253">
        <w:t xml:space="preserve"> requires until the Breach of Security and any impacts or potential impacts on the </w:t>
      </w:r>
      <w:r w:rsidR="00A52257" w:rsidRPr="00BA5253">
        <w:t>Buyer</w:t>
      </w:r>
      <w:r w:rsidRPr="00BA5253">
        <w:t xml:space="preserve"> are resolved to the </w:t>
      </w:r>
      <w:r w:rsidR="00A52257" w:rsidRPr="00BA5253">
        <w:t>Buyer</w:t>
      </w:r>
      <w:r w:rsidRPr="00BA5253">
        <w:t>’s satisfaction</w:t>
      </w:r>
      <w:r w:rsidR="00D37DD1" w:rsidRPr="00BA5253">
        <w:t>;</w:t>
      </w:r>
    </w:p>
    <w:p w14:paraId="10275C44" w14:textId="443AAFDE" w:rsidR="00E11D58" w:rsidRPr="00BA5253" w:rsidRDefault="00B0447E" w:rsidP="005C5B5E">
      <w:pPr>
        <w:pStyle w:val="Heading3"/>
        <w:spacing w:before="120" w:after="120"/>
      </w:pPr>
      <w:r w:rsidRPr="00BA5253">
        <w:t xml:space="preserve">where the Law requires the </w:t>
      </w:r>
      <w:r w:rsidR="00A52257" w:rsidRPr="00BA5253">
        <w:t>Buyer</w:t>
      </w:r>
      <w:r w:rsidRPr="00BA5253">
        <w:t xml:space="preserve"> to report a Breach of Security to the appropriate regulator provide such information and other input as the </w:t>
      </w:r>
      <w:r w:rsidR="00A52257" w:rsidRPr="00BA5253">
        <w:t>Buyer</w:t>
      </w:r>
      <w:r w:rsidRPr="00BA5253">
        <w:t xml:space="preserve"> requires within the timescales specified by the </w:t>
      </w:r>
      <w:r w:rsidR="00A52257" w:rsidRPr="00BA5253">
        <w:t>Buyer</w:t>
      </w:r>
      <w:r w:rsidR="00D37DD1" w:rsidRPr="00BA5253">
        <w:t>; and</w:t>
      </w:r>
    </w:p>
    <w:p w14:paraId="5FE41F93" w14:textId="15DDF247" w:rsidR="00775935" w:rsidRDefault="00C15D43" w:rsidP="005C5B5E">
      <w:pPr>
        <w:pStyle w:val="Heading3"/>
        <w:spacing w:before="120" w:after="120"/>
        <w:sectPr w:rsidR="00775935" w:rsidSect="00BB3BF5">
          <w:headerReference w:type="default" r:id="rId18"/>
          <w:footerReference w:type="even" r:id="rId19"/>
          <w:footerReference w:type="default" r:id="rId20"/>
          <w:headerReference w:type="first" r:id="rId21"/>
          <w:footerReference w:type="first" r:id="rId22"/>
          <w:endnotePr>
            <w:numFmt w:val="decimal"/>
          </w:endnotePr>
          <w:type w:val="continuous"/>
          <w:pgSz w:w="11909" w:h="16834" w:code="9"/>
          <w:pgMar w:top="1440" w:right="1440" w:bottom="1440" w:left="1440" w:header="709" w:footer="425" w:gutter="0"/>
          <w:cols w:space="720"/>
          <w:titlePg/>
          <w:docGrid w:linePitch="326"/>
        </w:sectPr>
      </w:pPr>
      <w:r w:rsidRPr="00BA5253">
        <w:t>where the Breach of Security results in the accidental or unlawful destruction, loss, alteration, unauthorised disclosure of, or access to, Personal Data</w:t>
      </w:r>
      <w:r w:rsidR="006618BE" w:rsidRPr="00BA5253">
        <w:t>, undertake any communication or engagement activities required by the Buyer with the individuals affected by the Breach of Security</w:t>
      </w:r>
      <w:r w:rsidR="0005291A" w:rsidRPr="00BA5253">
        <w:t>.</w:t>
      </w:r>
    </w:p>
    <w:bookmarkEnd w:id="50"/>
    <w:bookmarkEnd w:id="54"/>
    <w:p w14:paraId="13272FE1" w14:textId="77777777" w:rsidR="00AE5FDD" w:rsidRPr="00AE5FDD" w:rsidRDefault="00AE5FDD" w:rsidP="00C64615">
      <w:pPr>
        <w:pStyle w:val="Heading2A"/>
        <w:spacing w:before="120" w:after="120"/>
        <w:ind w:left="0"/>
      </w:pPr>
    </w:p>
    <w:sectPr w:rsidR="00AE5FDD" w:rsidRPr="00AE5FDD" w:rsidSect="00775935">
      <w:endnotePr>
        <w:numFmt w:val="decimal"/>
      </w:endnotePr>
      <w:pgSz w:w="11909" w:h="16834" w:code="9"/>
      <w:pgMar w:top="1418" w:right="1134" w:bottom="1418" w:left="1134"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CFBE6" w14:textId="77777777" w:rsidR="00180E5E" w:rsidRDefault="00180E5E">
      <w:r>
        <w:separator/>
      </w:r>
    </w:p>
  </w:endnote>
  <w:endnote w:type="continuationSeparator" w:id="0">
    <w:p w14:paraId="384EA1E3" w14:textId="77777777" w:rsidR="00180E5E" w:rsidRDefault="0018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DDDF" w14:textId="3BB8FFCE" w:rsidR="00D07188" w:rsidRDefault="00D07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B5E">
      <w:rPr>
        <w:rStyle w:val="PageNumber"/>
        <w:noProof/>
      </w:rPr>
      <w:t>25</w:t>
    </w:r>
    <w:r>
      <w:rPr>
        <w:rStyle w:val="PageNumber"/>
      </w:rPr>
      <w:fldChar w:fldCharType="end"/>
    </w:r>
  </w:p>
  <w:p w14:paraId="365083F6" w14:textId="77777777" w:rsidR="00D07188" w:rsidRDefault="00D07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2F0B8" w14:textId="77777777" w:rsidR="005C5B5E" w:rsidRDefault="005C5B5E" w:rsidP="005C5B5E">
    <w:pPr>
      <w:tabs>
        <w:tab w:val="center" w:pos="4513"/>
        <w:tab w:val="right" w:pos="9026"/>
      </w:tabs>
      <w:spacing w:after="0"/>
      <w:rPr>
        <w:rFonts w:eastAsia="Arial"/>
      </w:rPr>
    </w:pPr>
  </w:p>
  <w:p w14:paraId="76677779" w14:textId="6EA2786D" w:rsidR="005C5B5E" w:rsidRPr="005C5B5E" w:rsidRDefault="005C5B5E" w:rsidP="005C5B5E">
    <w:pPr>
      <w:tabs>
        <w:tab w:val="center" w:pos="4513"/>
        <w:tab w:val="right" w:pos="9026"/>
      </w:tabs>
      <w:spacing w:after="0"/>
      <w:rPr>
        <w:rFonts w:eastAsia="Arial"/>
        <w:sz w:val="20"/>
        <w:szCs w:val="20"/>
      </w:rPr>
    </w:pPr>
    <w:r w:rsidRPr="005C5B5E">
      <w:rPr>
        <w:rFonts w:eastAsia="Arial"/>
        <w:sz w:val="20"/>
        <w:szCs w:val="20"/>
      </w:rPr>
      <w:t>Framework Ref: RM</w:t>
    </w:r>
    <w:r w:rsidRPr="005C5B5E">
      <w:rPr>
        <w:rFonts w:eastAsia="Arial"/>
        <w:sz w:val="20"/>
        <w:szCs w:val="20"/>
      </w:rPr>
      <w:tab/>
      <w:t xml:space="preserve">                                           </w:t>
    </w:r>
  </w:p>
  <w:p w14:paraId="7A5F585C" w14:textId="2A44460C" w:rsidR="005C5B5E" w:rsidRPr="005C5B5E" w:rsidRDefault="005C5B5E" w:rsidP="005C5B5E">
    <w:pPr>
      <w:tabs>
        <w:tab w:val="center" w:pos="4513"/>
        <w:tab w:val="right" w:pos="9026"/>
      </w:tabs>
      <w:spacing w:after="0"/>
      <w:rPr>
        <w:rFonts w:eastAsia="Arial"/>
        <w:color w:val="000000"/>
        <w:sz w:val="20"/>
        <w:szCs w:val="20"/>
      </w:rPr>
    </w:pPr>
    <w:r w:rsidRPr="005C5B5E">
      <w:rPr>
        <w:rFonts w:eastAsia="Arial"/>
        <w:color w:val="000000"/>
        <w:sz w:val="20"/>
        <w:szCs w:val="20"/>
      </w:rPr>
      <w:t>Project Version: v1.0</w:t>
    </w:r>
    <w:r w:rsidRPr="005C5B5E">
      <w:rPr>
        <w:rFonts w:eastAsia="Arial"/>
        <w:color w:val="000000"/>
        <w:sz w:val="20"/>
        <w:szCs w:val="20"/>
      </w:rPr>
      <w:tab/>
    </w:r>
    <w:r w:rsidRPr="005C5B5E">
      <w:rPr>
        <w:rFonts w:eastAsia="Arial"/>
        <w:color w:val="000000"/>
        <w:sz w:val="20"/>
        <w:szCs w:val="20"/>
      </w:rPr>
      <w:tab/>
      <w:t xml:space="preserve"> </w:t>
    </w:r>
    <w:r w:rsidRPr="005C5B5E">
      <w:rPr>
        <w:rFonts w:eastAsia="Arial"/>
        <w:color w:val="000000"/>
        <w:sz w:val="20"/>
        <w:szCs w:val="20"/>
      </w:rPr>
      <w:fldChar w:fldCharType="begin"/>
    </w:r>
    <w:r w:rsidRPr="005C5B5E">
      <w:rPr>
        <w:rFonts w:eastAsia="Arial"/>
        <w:color w:val="000000"/>
        <w:sz w:val="20"/>
        <w:szCs w:val="20"/>
      </w:rPr>
      <w:instrText>PAGE</w:instrText>
    </w:r>
    <w:r w:rsidRPr="005C5B5E">
      <w:rPr>
        <w:rFonts w:eastAsia="Arial"/>
        <w:color w:val="000000"/>
        <w:sz w:val="20"/>
        <w:szCs w:val="20"/>
      </w:rPr>
      <w:fldChar w:fldCharType="separate"/>
    </w:r>
    <w:r w:rsidR="00613CB4">
      <w:rPr>
        <w:rFonts w:eastAsia="Arial"/>
        <w:noProof/>
        <w:color w:val="000000"/>
        <w:sz w:val="20"/>
        <w:szCs w:val="20"/>
      </w:rPr>
      <w:t>2</w:t>
    </w:r>
    <w:r w:rsidRPr="005C5B5E">
      <w:rPr>
        <w:rFonts w:eastAsia="Arial"/>
        <w:color w:val="000000"/>
        <w:sz w:val="20"/>
        <w:szCs w:val="20"/>
      </w:rPr>
      <w:fldChar w:fldCharType="end"/>
    </w:r>
  </w:p>
  <w:p w14:paraId="3D8CE02D" w14:textId="70A4CD40" w:rsidR="00D07188" w:rsidRPr="005C5B5E" w:rsidRDefault="005C5B5E" w:rsidP="00F237AF">
    <w:pPr>
      <w:pStyle w:val="Footer"/>
      <w:rPr>
        <w:rStyle w:val="PageNumber"/>
        <w:sz w:val="20"/>
        <w:szCs w:val="20"/>
      </w:rPr>
    </w:pPr>
    <w:r w:rsidRPr="005C5B5E">
      <w:rPr>
        <w:rFonts w:eastAsia="Arial"/>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99E1" w14:textId="77777777" w:rsidR="005C5B5E" w:rsidRPr="00C64615" w:rsidRDefault="005C5B5E" w:rsidP="005C5B5E">
    <w:pPr>
      <w:tabs>
        <w:tab w:val="center" w:pos="4513"/>
        <w:tab w:val="right" w:pos="9026"/>
      </w:tabs>
      <w:spacing w:after="0"/>
      <w:rPr>
        <w:rFonts w:eastAsia="Arial"/>
        <w:sz w:val="20"/>
        <w:szCs w:val="20"/>
      </w:rPr>
    </w:pPr>
  </w:p>
  <w:p w14:paraId="11D1AE7C" w14:textId="3391CFA6" w:rsidR="005C5B5E" w:rsidRPr="00C64615" w:rsidRDefault="005C5B5E" w:rsidP="005C5B5E">
    <w:pPr>
      <w:tabs>
        <w:tab w:val="center" w:pos="4513"/>
        <w:tab w:val="right" w:pos="9026"/>
      </w:tabs>
      <w:spacing w:after="0"/>
      <w:rPr>
        <w:rFonts w:eastAsia="Arial"/>
        <w:sz w:val="20"/>
        <w:szCs w:val="20"/>
      </w:rPr>
    </w:pPr>
    <w:r w:rsidRPr="00C64615">
      <w:rPr>
        <w:rFonts w:eastAsia="Arial"/>
        <w:sz w:val="20"/>
        <w:szCs w:val="20"/>
      </w:rPr>
      <w:t>Framework Ref: RM</w:t>
    </w:r>
    <w:r w:rsidR="00613CB4">
      <w:rPr>
        <w:sz w:val="20"/>
        <w:szCs w:val="20"/>
      </w:rPr>
      <w:t>6295 Outsourced Services</w:t>
    </w:r>
    <w:r w:rsidRPr="00C64615">
      <w:rPr>
        <w:rFonts w:eastAsia="Arial"/>
        <w:sz w:val="20"/>
        <w:szCs w:val="20"/>
      </w:rPr>
      <w:tab/>
      <w:t xml:space="preserve">                                           </w:t>
    </w:r>
  </w:p>
  <w:p w14:paraId="341F9108" w14:textId="7BC61A24" w:rsidR="005C5B5E" w:rsidRPr="00C64615" w:rsidRDefault="005C5B5E" w:rsidP="005C5B5E">
    <w:pPr>
      <w:tabs>
        <w:tab w:val="center" w:pos="4513"/>
        <w:tab w:val="right" w:pos="9026"/>
      </w:tabs>
      <w:spacing w:after="0"/>
      <w:rPr>
        <w:rFonts w:eastAsia="Arial"/>
        <w:color w:val="000000"/>
        <w:sz w:val="20"/>
        <w:szCs w:val="20"/>
      </w:rPr>
    </w:pPr>
    <w:r w:rsidRPr="00C64615">
      <w:rPr>
        <w:rFonts w:eastAsia="Arial"/>
        <w:color w:val="000000"/>
        <w:sz w:val="20"/>
        <w:szCs w:val="20"/>
      </w:rPr>
      <w:t>Project Version: v1.0</w:t>
    </w:r>
    <w:r w:rsidRPr="00C64615">
      <w:rPr>
        <w:rFonts w:eastAsia="Arial"/>
        <w:color w:val="000000"/>
        <w:sz w:val="20"/>
        <w:szCs w:val="20"/>
      </w:rPr>
      <w:tab/>
    </w:r>
    <w:r w:rsidRPr="00C64615">
      <w:rPr>
        <w:rFonts w:eastAsia="Arial"/>
        <w:color w:val="000000"/>
        <w:sz w:val="20"/>
        <w:szCs w:val="20"/>
      </w:rPr>
      <w:tab/>
      <w:t xml:space="preserve"> </w:t>
    </w:r>
    <w:r w:rsidRPr="00C64615">
      <w:rPr>
        <w:rFonts w:eastAsia="Arial"/>
        <w:color w:val="000000"/>
        <w:sz w:val="20"/>
        <w:szCs w:val="20"/>
      </w:rPr>
      <w:fldChar w:fldCharType="begin"/>
    </w:r>
    <w:r w:rsidRPr="00C64615">
      <w:rPr>
        <w:rFonts w:eastAsia="Arial"/>
        <w:color w:val="000000"/>
        <w:sz w:val="20"/>
        <w:szCs w:val="20"/>
      </w:rPr>
      <w:instrText>PAGE</w:instrText>
    </w:r>
    <w:r w:rsidRPr="00C64615">
      <w:rPr>
        <w:rFonts w:eastAsia="Arial"/>
        <w:color w:val="000000"/>
        <w:sz w:val="20"/>
        <w:szCs w:val="20"/>
      </w:rPr>
      <w:fldChar w:fldCharType="separate"/>
    </w:r>
    <w:r w:rsidR="00613CB4">
      <w:rPr>
        <w:rFonts w:eastAsia="Arial"/>
        <w:noProof/>
        <w:color w:val="000000"/>
        <w:sz w:val="20"/>
        <w:szCs w:val="20"/>
      </w:rPr>
      <w:t>1</w:t>
    </w:r>
    <w:r w:rsidRPr="00C64615">
      <w:rPr>
        <w:rFonts w:eastAsia="Arial"/>
        <w:color w:val="000000"/>
        <w:sz w:val="20"/>
        <w:szCs w:val="20"/>
      </w:rPr>
      <w:fldChar w:fldCharType="end"/>
    </w:r>
  </w:p>
  <w:p w14:paraId="4625F42B" w14:textId="1F11AB4A" w:rsidR="00D07188" w:rsidRPr="00C64615" w:rsidRDefault="005C5B5E" w:rsidP="005C5B5E">
    <w:pPr>
      <w:pStyle w:val="Footer"/>
      <w:rPr>
        <w:rFonts w:eastAsiaTheme="minorHAnsi"/>
        <w:sz w:val="20"/>
        <w:szCs w:val="20"/>
        <w:lang w:eastAsia="en-US"/>
      </w:rPr>
    </w:pPr>
    <w:r w:rsidRPr="00C64615">
      <w:rPr>
        <w:rFonts w:eastAsia="Arial"/>
        <w:sz w:val="20"/>
        <w:szCs w:val="20"/>
      </w:rPr>
      <w:t>Model Version: v1.0 PA</w:t>
    </w:r>
    <w:bookmarkStart w:id="60" w:name="bmDisclaimerShort"/>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AB4C7" w14:textId="77777777" w:rsidR="00180E5E" w:rsidRDefault="00180E5E">
      <w:r>
        <w:separator/>
      </w:r>
    </w:p>
  </w:footnote>
  <w:footnote w:type="continuationSeparator" w:id="0">
    <w:p w14:paraId="227625DA" w14:textId="77777777" w:rsidR="00180E5E" w:rsidRDefault="0018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AC80" w14:textId="77777777" w:rsidR="00D07188" w:rsidRDefault="00D07188" w:rsidP="00BA5253">
    <w:pPr>
      <w:tabs>
        <w:tab w:val="center" w:pos="4513"/>
        <w:tab w:val="right" w:pos="9026"/>
      </w:tabs>
      <w:spacing w:after="0"/>
      <w:rPr>
        <w:rFonts w:eastAsia="Arial"/>
      </w:rPr>
    </w:pPr>
    <w:r>
      <w:rPr>
        <w:rFonts w:eastAsia="Arial"/>
        <w:b/>
      </w:rPr>
      <w:t>Call-Off Schedule 9A (Security: Short Form)</w:t>
    </w:r>
  </w:p>
  <w:p w14:paraId="4F78A95A" w14:textId="77777777" w:rsidR="00D07188" w:rsidRDefault="00D07188" w:rsidP="00BA5253">
    <w:pPr>
      <w:tabs>
        <w:tab w:val="center" w:pos="4513"/>
        <w:tab w:val="right" w:pos="9026"/>
      </w:tabs>
      <w:spacing w:after="0"/>
      <w:rPr>
        <w:rFonts w:eastAsia="Arial"/>
      </w:rPr>
    </w:pPr>
    <w:r>
      <w:rPr>
        <w:rFonts w:eastAsia="Arial"/>
      </w:rPr>
      <w:t>Call-Off Ref:</w:t>
    </w:r>
  </w:p>
  <w:p w14:paraId="32A91227" w14:textId="3A864E31" w:rsidR="00D07188" w:rsidRDefault="00D07188" w:rsidP="00BA5253">
    <w:pPr>
      <w:tabs>
        <w:tab w:val="center" w:pos="4513"/>
        <w:tab w:val="right" w:pos="9026"/>
      </w:tabs>
      <w:spacing w:after="0"/>
      <w:rPr>
        <w:rFonts w:eastAsia="Arial"/>
      </w:rPr>
    </w:pPr>
    <w:r>
      <w:rPr>
        <w:rFonts w:eastAsia="Arial"/>
      </w:rPr>
      <w:t>Crown Copyright 2025</w:t>
    </w:r>
  </w:p>
  <w:p w14:paraId="4D727BE0" w14:textId="77777777" w:rsidR="00D07188" w:rsidRPr="00BA5253" w:rsidRDefault="00D07188" w:rsidP="00BA5253">
    <w:pPr>
      <w:tabs>
        <w:tab w:val="center" w:pos="4513"/>
        <w:tab w:val="right" w:pos="9026"/>
      </w:tabs>
      <w:spacing w:after="0"/>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D65B" w14:textId="77777777" w:rsidR="00C64615" w:rsidRPr="005C5B5E" w:rsidRDefault="00C64615" w:rsidP="00C64615">
    <w:pPr>
      <w:tabs>
        <w:tab w:val="center" w:pos="4513"/>
        <w:tab w:val="right" w:pos="9026"/>
      </w:tabs>
      <w:spacing w:after="0"/>
      <w:rPr>
        <w:rFonts w:eastAsia="Arial"/>
        <w:sz w:val="22"/>
        <w:szCs w:val="22"/>
      </w:rPr>
    </w:pPr>
    <w:bookmarkStart w:id="59" w:name="bmStrictlyPrivateLine"/>
    <w:bookmarkEnd w:id="59"/>
    <w:r w:rsidRPr="005C5B5E">
      <w:rPr>
        <w:rFonts w:eastAsia="Arial"/>
        <w:b/>
        <w:sz w:val="22"/>
        <w:szCs w:val="22"/>
      </w:rPr>
      <w:t>Call-Off Schedule 9A (Security: Short Form)</w:t>
    </w:r>
  </w:p>
  <w:p w14:paraId="5EDA4C5B" w14:textId="77777777" w:rsidR="00C64615" w:rsidRPr="005C5B5E" w:rsidRDefault="00C64615" w:rsidP="00C64615">
    <w:pPr>
      <w:tabs>
        <w:tab w:val="center" w:pos="4513"/>
        <w:tab w:val="right" w:pos="9026"/>
      </w:tabs>
      <w:spacing w:after="0"/>
      <w:rPr>
        <w:rFonts w:eastAsia="Arial"/>
        <w:sz w:val="22"/>
        <w:szCs w:val="22"/>
      </w:rPr>
    </w:pPr>
    <w:r w:rsidRPr="005C5B5E">
      <w:rPr>
        <w:rFonts w:eastAsia="Arial"/>
        <w:sz w:val="22"/>
        <w:szCs w:val="22"/>
      </w:rPr>
      <w:t>Call-Off Ref:</w:t>
    </w:r>
  </w:p>
  <w:p w14:paraId="489F11B4" w14:textId="37FA2D30" w:rsidR="00D07188" w:rsidRDefault="00C64615" w:rsidP="00C64615">
    <w:pPr>
      <w:tabs>
        <w:tab w:val="center" w:pos="4513"/>
        <w:tab w:val="right" w:pos="9026"/>
      </w:tabs>
      <w:spacing w:after="0"/>
      <w:rPr>
        <w:rFonts w:eastAsia="Arial"/>
        <w:sz w:val="22"/>
        <w:szCs w:val="22"/>
      </w:rPr>
    </w:pPr>
    <w:r w:rsidRPr="005C5B5E">
      <w:rPr>
        <w:rFonts w:eastAsia="Arial"/>
        <w:sz w:val="22"/>
        <w:szCs w:val="22"/>
      </w:rPr>
      <w:t>Crown Copyright 2025</w:t>
    </w:r>
  </w:p>
  <w:p w14:paraId="13A4675A" w14:textId="77777777" w:rsidR="00C64615" w:rsidRPr="00C64615" w:rsidRDefault="00C64615" w:rsidP="00C64615">
    <w:pPr>
      <w:tabs>
        <w:tab w:val="center" w:pos="4513"/>
        <w:tab w:val="right" w:pos="9026"/>
      </w:tabs>
      <w:spacing w:after="0"/>
      <w:rPr>
        <w:rFonts w:eastAsia="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C6ECDED8"/>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4"/>
        <w:szCs w:val="24"/>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2C90883"/>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7"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FE639D"/>
    <w:multiLevelType w:val="multilevel"/>
    <w:tmpl w:val="BB58C122"/>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0" w15:restartNumberingAfterBreak="0">
    <w:nsid w:val="0FF84E9C"/>
    <w:multiLevelType w:val="multilevel"/>
    <w:tmpl w:val="26EED2B4"/>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1" w15:restartNumberingAfterBreak="0">
    <w:nsid w:val="12783FE3"/>
    <w:multiLevelType w:val="multilevel"/>
    <w:tmpl w:val="C902CA7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2" w15:restartNumberingAfterBreak="0">
    <w:nsid w:val="173C2126"/>
    <w:multiLevelType w:val="multilevel"/>
    <w:tmpl w:val="3DA8B09C"/>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3" w15:restartNumberingAfterBreak="0">
    <w:nsid w:val="17BF3444"/>
    <w:multiLevelType w:val="multilevel"/>
    <w:tmpl w:val="7640FFAE"/>
    <w:name w:val="Plato Heading List22"/>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4" w15:restartNumberingAfterBreak="0">
    <w:nsid w:val="1A5A1B2B"/>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 w15:restartNumberingAfterBreak="0">
    <w:nsid w:val="1DD40244"/>
    <w:multiLevelType w:val="multilevel"/>
    <w:tmpl w:val="A4BE8C2E"/>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7"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8"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2"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48315E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5" w15:restartNumberingAfterBreak="0">
    <w:nsid w:val="4E142888"/>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6"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7"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9"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6815379B"/>
    <w:multiLevelType w:val="multilevel"/>
    <w:tmpl w:val="ACCE0540"/>
    <w:lvl w:ilvl="0">
      <w:start w:val="1"/>
      <w:numFmt w:val="decimal"/>
      <w:lvlRestart w:val="0"/>
      <w:suff w:val="space"/>
      <w:lvlText w:val="Appendix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3"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34"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6" w15:restartNumberingAfterBreak="0">
    <w:nsid w:val="6D3C5F2A"/>
    <w:multiLevelType w:val="multilevel"/>
    <w:tmpl w:val="52329D30"/>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7" w15:restartNumberingAfterBreak="0">
    <w:nsid w:val="6DDF4132"/>
    <w:multiLevelType w:val="multilevel"/>
    <w:tmpl w:val="9314022E"/>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74552241"/>
    <w:multiLevelType w:val="multilevel"/>
    <w:tmpl w:val="CF3CC8C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9" w15:restartNumberingAfterBreak="0">
    <w:nsid w:val="79EB0571"/>
    <w:multiLevelType w:val="multilevel"/>
    <w:tmpl w:val="F866F812"/>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3"/>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40" w15:restartNumberingAfterBreak="0">
    <w:nsid w:val="7A07322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1" w15:restartNumberingAfterBreak="0">
    <w:nsid w:val="7B3205E3"/>
    <w:multiLevelType w:val="multilevel"/>
    <w:tmpl w:val="54DABAA6"/>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num w:numId="1">
    <w:abstractNumId w:val="20"/>
  </w:num>
  <w:num w:numId="2">
    <w:abstractNumId w:val="28"/>
  </w:num>
  <w:num w:numId="3">
    <w:abstractNumId w:val="7"/>
  </w:num>
  <w:num w:numId="4">
    <w:abstractNumId w:val="4"/>
  </w:num>
  <w:num w:numId="5">
    <w:abstractNumId w:val="3"/>
  </w:num>
  <w:num w:numId="6">
    <w:abstractNumId w:val="2"/>
  </w:num>
  <w:num w:numId="7">
    <w:abstractNumId w:val="1"/>
  </w:num>
  <w:num w:numId="8">
    <w:abstractNumId w:val="0"/>
  </w:num>
  <w:num w:numId="9">
    <w:abstractNumId w:val="17"/>
  </w:num>
  <w:num w:numId="10">
    <w:abstractNumId w:val="38"/>
  </w:num>
  <w:num w:numId="11">
    <w:abstractNumId w:val="39"/>
  </w:num>
  <w:num w:numId="12">
    <w:abstractNumId w:val="41"/>
  </w:num>
  <w:num w:numId="13">
    <w:abstractNumId w:val="10"/>
  </w:num>
  <w:num w:numId="14">
    <w:abstractNumId w:val="37"/>
  </w:num>
  <w:num w:numId="15">
    <w:abstractNumId w:val="35"/>
  </w:num>
  <w:num w:numId="16">
    <w:abstractNumId w:val="36"/>
  </w:num>
  <w:num w:numId="17">
    <w:abstractNumId w:val="5"/>
  </w:num>
  <w:num w:numId="18">
    <w:abstractNumId w:val="9"/>
  </w:num>
  <w:num w:numId="19">
    <w:abstractNumId w:val="8"/>
  </w:num>
  <w:num w:numId="20">
    <w:abstractNumId w:val="3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25"/>
  </w:num>
  <w:num w:numId="25">
    <w:abstractNumId w:val="40"/>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9"/>
  </w:num>
  <w:num w:numId="30">
    <w:abstractNumId w:val="21"/>
  </w:num>
  <w:num w:numId="31">
    <w:abstractNumId w:val="31"/>
  </w:num>
  <w:num w:numId="32">
    <w:abstractNumId w:val="22"/>
  </w:num>
  <w:num w:numId="33">
    <w:abstractNumId w:val="32"/>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3"/>
  </w:num>
  <w:num w:numId="38">
    <w:abstractNumId w:val="24"/>
  </w:num>
  <w:num w:numId="39">
    <w:abstractNumId w:val="12"/>
  </w:num>
  <w:num w:numId="40">
    <w:abstractNumId w:val="5"/>
  </w:num>
  <w:num w:numId="41">
    <w:abstractNumId w:val="5"/>
  </w:num>
  <w:num w:numId="42">
    <w:abstractNumId w:val="30"/>
  </w:num>
  <w:num w:numId="43">
    <w:abstractNumId w:val="27"/>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DD"/>
    <w:rsid w:val="0000509B"/>
    <w:rsid w:val="00005E02"/>
    <w:rsid w:val="00015051"/>
    <w:rsid w:val="00020CF1"/>
    <w:rsid w:val="000351A2"/>
    <w:rsid w:val="00046DA1"/>
    <w:rsid w:val="000479F7"/>
    <w:rsid w:val="00050FE8"/>
    <w:rsid w:val="0005291A"/>
    <w:rsid w:val="00064827"/>
    <w:rsid w:val="0006701C"/>
    <w:rsid w:val="000700A0"/>
    <w:rsid w:val="000949C7"/>
    <w:rsid w:val="000956EE"/>
    <w:rsid w:val="00096F2A"/>
    <w:rsid w:val="000B2E20"/>
    <w:rsid w:val="000B6AB9"/>
    <w:rsid w:val="000B7EF9"/>
    <w:rsid w:val="000D651B"/>
    <w:rsid w:val="000D7280"/>
    <w:rsid w:val="000E47C8"/>
    <w:rsid w:val="000E56FA"/>
    <w:rsid w:val="000F36E0"/>
    <w:rsid w:val="0010076F"/>
    <w:rsid w:val="0010556C"/>
    <w:rsid w:val="00105BDB"/>
    <w:rsid w:val="001152BA"/>
    <w:rsid w:val="001250F5"/>
    <w:rsid w:val="00130219"/>
    <w:rsid w:val="00132D42"/>
    <w:rsid w:val="00134E6C"/>
    <w:rsid w:val="001352F2"/>
    <w:rsid w:val="0014060C"/>
    <w:rsid w:val="001411D0"/>
    <w:rsid w:val="00141620"/>
    <w:rsid w:val="00152865"/>
    <w:rsid w:val="00180E5E"/>
    <w:rsid w:val="00186F7F"/>
    <w:rsid w:val="00194372"/>
    <w:rsid w:val="001948E8"/>
    <w:rsid w:val="001B18C7"/>
    <w:rsid w:val="001B3A23"/>
    <w:rsid w:val="001C45E0"/>
    <w:rsid w:val="001C472A"/>
    <w:rsid w:val="001C6B78"/>
    <w:rsid w:val="001F2B46"/>
    <w:rsid w:val="001F6ABF"/>
    <w:rsid w:val="00203C48"/>
    <w:rsid w:val="00206DD3"/>
    <w:rsid w:val="002111DB"/>
    <w:rsid w:val="00211326"/>
    <w:rsid w:val="00214863"/>
    <w:rsid w:val="002242C0"/>
    <w:rsid w:val="00226239"/>
    <w:rsid w:val="00237EC0"/>
    <w:rsid w:val="00250F8C"/>
    <w:rsid w:val="002677E4"/>
    <w:rsid w:val="002776B1"/>
    <w:rsid w:val="00280CF1"/>
    <w:rsid w:val="0028214F"/>
    <w:rsid w:val="002A1857"/>
    <w:rsid w:val="002A6899"/>
    <w:rsid w:val="002C77E5"/>
    <w:rsid w:val="002D0410"/>
    <w:rsid w:val="002D175A"/>
    <w:rsid w:val="002D272D"/>
    <w:rsid w:val="002E2D43"/>
    <w:rsid w:val="002E4987"/>
    <w:rsid w:val="002F12E5"/>
    <w:rsid w:val="002F5528"/>
    <w:rsid w:val="00302DD7"/>
    <w:rsid w:val="00315ACA"/>
    <w:rsid w:val="00316A41"/>
    <w:rsid w:val="0033094F"/>
    <w:rsid w:val="00332B2D"/>
    <w:rsid w:val="00355809"/>
    <w:rsid w:val="00356824"/>
    <w:rsid w:val="00381B4C"/>
    <w:rsid w:val="003841C5"/>
    <w:rsid w:val="003853CF"/>
    <w:rsid w:val="00385941"/>
    <w:rsid w:val="003865F7"/>
    <w:rsid w:val="00387187"/>
    <w:rsid w:val="003A2E20"/>
    <w:rsid w:val="003C20E6"/>
    <w:rsid w:val="003C7CCE"/>
    <w:rsid w:val="003E3279"/>
    <w:rsid w:val="003E48EA"/>
    <w:rsid w:val="003E6FDF"/>
    <w:rsid w:val="00404D09"/>
    <w:rsid w:val="004075D3"/>
    <w:rsid w:val="00423152"/>
    <w:rsid w:val="00430E90"/>
    <w:rsid w:val="00432979"/>
    <w:rsid w:val="00441C7C"/>
    <w:rsid w:val="00494DD2"/>
    <w:rsid w:val="004A1159"/>
    <w:rsid w:val="004B1C33"/>
    <w:rsid w:val="004E2394"/>
    <w:rsid w:val="00503F42"/>
    <w:rsid w:val="00507AC5"/>
    <w:rsid w:val="00515B51"/>
    <w:rsid w:val="005314A6"/>
    <w:rsid w:val="005333EF"/>
    <w:rsid w:val="005452B3"/>
    <w:rsid w:val="00551F8F"/>
    <w:rsid w:val="005551EB"/>
    <w:rsid w:val="005575A4"/>
    <w:rsid w:val="005577D3"/>
    <w:rsid w:val="00567DDA"/>
    <w:rsid w:val="005725A1"/>
    <w:rsid w:val="005821D8"/>
    <w:rsid w:val="00586A00"/>
    <w:rsid w:val="00586F1B"/>
    <w:rsid w:val="0059289F"/>
    <w:rsid w:val="005969AD"/>
    <w:rsid w:val="005C18CA"/>
    <w:rsid w:val="005C49A0"/>
    <w:rsid w:val="005C5B5E"/>
    <w:rsid w:val="005C6372"/>
    <w:rsid w:val="005D0DA4"/>
    <w:rsid w:val="005D3AA6"/>
    <w:rsid w:val="005D68ED"/>
    <w:rsid w:val="005F487A"/>
    <w:rsid w:val="005F4ABD"/>
    <w:rsid w:val="00611476"/>
    <w:rsid w:val="00613CB4"/>
    <w:rsid w:val="006405F2"/>
    <w:rsid w:val="0064470E"/>
    <w:rsid w:val="00644E7D"/>
    <w:rsid w:val="006618BE"/>
    <w:rsid w:val="00661934"/>
    <w:rsid w:val="0067439F"/>
    <w:rsid w:val="0068748B"/>
    <w:rsid w:val="00696ECE"/>
    <w:rsid w:val="006B1C83"/>
    <w:rsid w:val="006C104B"/>
    <w:rsid w:val="006C1D19"/>
    <w:rsid w:val="006C2EDC"/>
    <w:rsid w:val="006C7BCB"/>
    <w:rsid w:val="006D43AF"/>
    <w:rsid w:val="006D5B7B"/>
    <w:rsid w:val="006F0A8F"/>
    <w:rsid w:val="006F32F8"/>
    <w:rsid w:val="00704177"/>
    <w:rsid w:val="00707253"/>
    <w:rsid w:val="00714BD1"/>
    <w:rsid w:val="00731E05"/>
    <w:rsid w:val="0073322D"/>
    <w:rsid w:val="00733386"/>
    <w:rsid w:val="00733F41"/>
    <w:rsid w:val="007414E9"/>
    <w:rsid w:val="007462E1"/>
    <w:rsid w:val="00753437"/>
    <w:rsid w:val="007545EF"/>
    <w:rsid w:val="00754E57"/>
    <w:rsid w:val="00771702"/>
    <w:rsid w:val="00775935"/>
    <w:rsid w:val="00783866"/>
    <w:rsid w:val="00791B9B"/>
    <w:rsid w:val="007A28DE"/>
    <w:rsid w:val="007B09CD"/>
    <w:rsid w:val="007B4F0F"/>
    <w:rsid w:val="007C6FB7"/>
    <w:rsid w:val="007D7A3C"/>
    <w:rsid w:val="007F6F8C"/>
    <w:rsid w:val="008024A2"/>
    <w:rsid w:val="00802682"/>
    <w:rsid w:val="00811C0A"/>
    <w:rsid w:val="00816850"/>
    <w:rsid w:val="00824EBC"/>
    <w:rsid w:val="008421AF"/>
    <w:rsid w:val="00856273"/>
    <w:rsid w:val="00857DBE"/>
    <w:rsid w:val="00861E56"/>
    <w:rsid w:val="0087639E"/>
    <w:rsid w:val="00876B39"/>
    <w:rsid w:val="00884E10"/>
    <w:rsid w:val="00895B30"/>
    <w:rsid w:val="00896691"/>
    <w:rsid w:val="00897F3A"/>
    <w:rsid w:val="008C27E1"/>
    <w:rsid w:val="008D2B9E"/>
    <w:rsid w:val="008E3BDA"/>
    <w:rsid w:val="008F7C27"/>
    <w:rsid w:val="009013D7"/>
    <w:rsid w:val="009014FC"/>
    <w:rsid w:val="00904831"/>
    <w:rsid w:val="00913F7B"/>
    <w:rsid w:val="0091773E"/>
    <w:rsid w:val="00924872"/>
    <w:rsid w:val="00924D43"/>
    <w:rsid w:val="00940A73"/>
    <w:rsid w:val="00942163"/>
    <w:rsid w:val="00942C91"/>
    <w:rsid w:val="0094721B"/>
    <w:rsid w:val="00963DC7"/>
    <w:rsid w:val="0096463C"/>
    <w:rsid w:val="00977961"/>
    <w:rsid w:val="0098024E"/>
    <w:rsid w:val="00994046"/>
    <w:rsid w:val="00994D10"/>
    <w:rsid w:val="00996B33"/>
    <w:rsid w:val="009B7FFD"/>
    <w:rsid w:val="009C03CF"/>
    <w:rsid w:val="009C71CB"/>
    <w:rsid w:val="009D72AE"/>
    <w:rsid w:val="009E209B"/>
    <w:rsid w:val="00A043E0"/>
    <w:rsid w:val="00A126DE"/>
    <w:rsid w:val="00A20AB9"/>
    <w:rsid w:val="00A241CB"/>
    <w:rsid w:val="00A2675A"/>
    <w:rsid w:val="00A32715"/>
    <w:rsid w:val="00A52257"/>
    <w:rsid w:val="00A5538D"/>
    <w:rsid w:val="00A55988"/>
    <w:rsid w:val="00A61F0A"/>
    <w:rsid w:val="00A626D0"/>
    <w:rsid w:val="00A93358"/>
    <w:rsid w:val="00AA2692"/>
    <w:rsid w:val="00AA36A5"/>
    <w:rsid w:val="00AB1401"/>
    <w:rsid w:val="00AD06CC"/>
    <w:rsid w:val="00AD72BA"/>
    <w:rsid w:val="00AE4495"/>
    <w:rsid w:val="00AE56BE"/>
    <w:rsid w:val="00AE5FDD"/>
    <w:rsid w:val="00AF26B6"/>
    <w:rsid w:val="00AF4FFF"/>
    <w:rsid w:val="00AF5FC6"/>
    <w:rsid w:val="00B01366"/>
    <w:rsid w:val="00B0188D"/>
    <w:rsid w:val="00B0447E"/>
    <w:rsid w:val="00B04DF3"/>
    <w:rsid w:val="00B151F9"/>
    <w:rsid w:val="00B162E6"/>
    <w:rsid w:val="00B20BDE"/>
    <w:rsid w:val="00B256FB"/>
    <w:rsid w:val="00B34EB1"/>
    <w:rsid w:val="00B64F64"/>
    <w:rsid w:val="00B658CC"/>
    <w:rsid w:val="00B66E0F"/>
    <w:rsid w:val="00B80E7A"/>
    <w:rsid w:val="00B9225E"/>
    <w:rsid w:val="00BA5253"/>
    <w:rsid w:val="00BB3BF5"/>
    <w:rsid w:val="00BB7FE8"/>
    <w:rsid w:val="00BC187A"/>
    <w:rsid w:val="00BC37A8"/>
    <w:rsid w:val="00BC4ADD"/>
    <w:rsid w:val="00BC62B7"/>
    <w:rsid w:val="00C0738E"/>
    <w:rsid w:val="00C10B9D"/>
    <w:rsid w:val="00C1355E"/>
    <w:rsid w:val="00C15D43"/>
    <w:rsid w:val="00C221C6"/>
    <w:rsid w:val="00C26AFA"/>
    <w:rsid w:val="00C27E81"/>
    <w:rsid w:val="00C3222B"/>
    <w:rsid w:val="00C36254"/>
    <w:rsid w:val="00C40A05"/>
    <w:rsid w:val="00C421DD"/>
    <w:rsid w:val="00C6057C"/>
    <w:rsid w:val="00C60A8C"/>
    <w:rsid w:val="00C64255"/>
    <w:rsid w:val="00C64615"/>
    <w:rsid w:val="00C668EC"/>
    <w:rsid w:val="00C67702"/>
    <w:rsid w:val="00C74B2F"/>
    <w:rsid w:val="00C87A99"/>
    <w:rsid w:val="00C90449"/>
    <w:rsid w:val="00C95BED"/>
    <w:rsid w:val="00CA6946"/>
    <w:rsid w:val="00CB3C7A"/>
    <w:rsid w:val="00CB3E55"/>
    <w:rsid w:val="00CC233B"/>
    <w:rsid w:val="00CD6D97"/>
    <w:rsid w:val="00CE5EF9"/>
    <w:rsid w:val="00CF19F4"/>
    <w:rsid w:val="00CF23C3"/>
    <w:rsid w:val="00CF4322"/>
    <w:rsid w:val="00CF497C"/>
    <w:rsid w:val="00D07188"/>
    <w:rsid w:val="00D37DD1"/>
    <w:rsid w:val="00D43929"/>
    <w:rsid w:val="00D54D0B"/>
    <w:rsid w:val="00D5663C"/>
    <w:rsid w:val="00D71EA3"/>
    <w:rsid w:val="00D74489"/>
    <w:rsid w:val="00D751A8"/>
    <w:rsid w:val="00D763DA"/>
    <w:rsid w:val="00D7765A"/>
    <w:rsid w:val="00D814A5"/>
    <w:rsid w:val="00D97590"/>
    <w:rsid w:val="00DA4152"/>
    <w:rsid w:val="00DB1C9D"/>
    <w:rsid w:val="00DB3A39"/>
    <w:rsid w:val="00DB5789"/>
    <w:rsid w:val="00DC5B2E"/>
    <w:rsid w:val="00DD3240"/>
    <w:rsid w:val="00DE221A"/>
    <w:rsid w:val="00DE718B"/>
    <w:rsid w:val="00DF4AD4"/>
    <w:rsid w:val="00DF5D91"/>
    <w:rsid w:val="00E07B67"/>
    <w:rsid w:val="00E11208"/>
    <w:rsid w:val="00E11D58"/>
    <w:rsid w:val="00E427AA"/>
    <w:rsid w:val="00E6182E"/>
    <w:rsid w:val="00E66F79"/>
    <w:rsid w:val="00E714EC"/>
    <w:rsid w:val="00E73237"/>
    <w:rsid w:val="00E80394"/>
    <w:rsid w:val="00E819D2"/>
    <w:rsid w:val="00E83E8E"/>
    <w:rsid w:val="00E87EF1"/>
    <w:rsid w:val="00E97AC9"/>
    <w:rsid w:val="00EA1568"/>
    <w:rsid w:val="00EA1E91"/>
    <w:rsid w:val="00EA2805"/>
    <w:rsid w:val="00EA6E6A"/>
    <w:rsid w:val="00EB0458"/>
    <w:rsid w:val="00EB17B0"/>
    <w:rsid w:val="00EB1AD5"/>
    <w:rsid w:val="00EC2051"/>
    <w:rsid w:val="00EC574D"/>
    <w:rsid w:val="00ED4382"/>
    <w:rsid w:val="00EE6CCC"/>
    <w:rsid w:val="00F0325C"/>
    <w:rsid w:val="00F07395"/>
    <w:rsid w:val="00F17F1A"/>
    <w:rsid w:val="00F237AF"/>
    <w:rsid w:val="00F238CE"/>
    <w:rsid w:val="00F31329"/>
    <w:rsid w:val="00F4395D"/>
    <w:rsid w:val="00F46239"/>
    <w:rsid w:val="00F515B7"/>
    <w:rsid w:val="00F52900"/>
    <w:rsid w:val="00F56977"/>
    <w:rsid w:val="00F57C6E"/>
    <w:rsid w:val="00F633BF"/>
    <w:rsid w:val="00F63884"/>
    <w:rsid w:val="00F73B84"/>
    <w:rsid w:val="00F803D9"/>
    <w:rsid w:val="00F84F87"/>
    <w:rsid w:val="00F91026"/>
    <w:rsid w:val="00FA0B13"/>
    <w:rsid w:val="00FC2945"/>
    <w:rsid w:val="00FC714A"/>
    <w:rsid w:val="00FD56C6"/>
    <w:rsid w:val="00FD6560"/>
    <w:rsid w:val="00FE3962"/>
    <w:rsid w:val="03B78C90"/>
    <w:rsid w:val="0BDD7640"/>
    <w:rsid w:val="1F7F18AE"/>
    <w:rsid w:val="22408FA6"/>
    <w:rsid w:val="2B018ED7"/>
    <w:rsid w:val="2E8E45F8"/>
    <w:rsid w:val="35E3E440"/>
    <w:rsid w:val="373FEECE"/>
    <w:rsid w:val="448759E4"/>
    <w:rsid w:val="467251B0"/>
    <w:rsid w:val="46E48075"/>
    <w:rsid w:val="482E03F3"/>
    <w:rsid w:val="4C7FA7A7"/>
    <w:rsid w:val="5EFD89E9"/>
    <w:rsid w:val="6D68DEAD"/>
    <w:rsid w:val="7857C4F4"/>
    <w:rsid w:val="7D83565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42AB5"/>
  <w15:docId w15:val="{5C193C12-3136-47C5-B0A9-E83BA0D6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DD"/>
    <w:pPr>
      <w:spacing w:after="240"/>
    </w:pPr>
  </w:style>
  <w:style w:type="paragraph" w:styleId="Heading1">
    <w:name w:val="heading 1"/>
    <w:basedOn w:val="HouseStyleBase"/>
    <w:next w:val="Heading2A"/>
    <w:qFormat/>
    <w:rsid w:val="00824EBC"/>
    <w:pPr>
      <w:keepNext/>
      <w:numPr>
        <w:numId w:val="17"/>
      </w:numPr>
      <w:spacing w:before="360"/>
      <w:outlineLvl w:val="0"/>
    </w:pPr>
    <w:rPr>
      <w:b/>
    </w:rPr>
  </w:style>
  <w:style w:type="paragraph" w:styleId="Heading2">
    <w:name w:val="heading 2"/>
    <w:basedOn w:val="HouseStyleBase"/>
    <w:link w:val="Heading2Char"/>
    <w:qFormat/>
    <w:rsid w:val="00824EBC"/>
    <w:pPr>
      <w:numPr>
        <w:ilvl w:val="1"/>
        <w:numId w:val="17"/>
      </w:numPr>
      <w:outlineLvl w:val="1"/>
    </w:pPr>
  </w:style>
  <w:style w:type="paragraph" w:styleId="Heading3">
    <w:name w:val="heading 3"/>
    <w:basedOn w:val="HouseStyleBase"/>
    <w:qFormat/>
    <w:rsid w:val="00824EBC"/>
    <w:pPr>
      <w:numPr>
        <w:ilvl w:val="2"/>
        <w:numId w:val="17"/>
      </w:numPr>
      <w:outlineLvl w:val="2"/>
    </w:pPr>
  </w:style>
  <w:style w:type="paragraph" w:styleId="Heading4">
    <w:name w:val="heading 4"/>
    <w:basedOn w:val="HouseStyleBase"/>
    <w:qFormat/>
    <w:rsid w:val="00824EBC"/>
    <w:pPr>
      <w:numPr>
        <w:ilvl w:val="3"/>
        <w:numId w:val="17"/>
      </w:numPr>
      <w:outlineLvl w:val="3"/>
    </w:pPr>
  </w:style>
  <w:style w:type="paragraph" w:styleId="Heading5">
    <w:name w:val="heading 5"/>
    <w:basedOn w:val="HouseStyleBase"/>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16"/>
      </w:numPr>
    </w:pPr>
  </w:style>
  <w:style w:type="paragraph" w:styleId="BodyTextIndent2">
    <w:name w:val="Body Text Indent 2"/>
    <w:basedOn w:val="HouseStyleBase"/>
    <w:uiPriority w:val="99"/>
    <w:qFormat/>
    <w:rsid w:val="00824EBC"/>
    <w:pPr>
      <w:numPr>
        <w:ilvl w:val="1"/>
        <w:numId w:val="16"/>
      </w:numPr>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rsid w:val="00824EBC"/>
    <w:pPr>
      <w:numPr>
        <w:ilvl w:val="5"/>
        <w:numId w:val="16"/>
      </w:numPr>
      <w:outlineLvl w:val="3"/>
    </w:pPr>
  </w:style>
  <w:style w:type="paragraph" w:customStyle="1" w:styleId="DefinitionNumbering5">
    <w:name w:val="Definition Numbering 5"/>
    <w:basedOn w:val="HouseStyleBase"/>
    <w:rsid w:val="00824EBC"/>
    <w:pPr>
      <w:numPr>
        <w:ilvl w:val="6"/>
        <w:numId w:val="16"/>
      </w:numPr>
      <w:outlineLvl w:val="4"/>
    </w:pPr>
  </w:style>
  <w:style w:type="paragraph" w:customStyle="1" w:styleId="DefinitionNumbering6">
    <w:name w:val="Definition Numbering 6"/>
    <w:basedOn w:val="HouseStyleBase"/>
    <w:rsid w:val="00824EBC"/>
    <w:pPr>
      <w:numPr>
        <w:ilvl w:val="7"/>
        <w:numId w:val="16"/>
      </w:numPr>
      <w:outlineLvl w:val="5"/>
    </w:pPr>
  </w:style>
  <w:style w:type="paragraph" w:customStyle="1" w:styleId="DefinitionNumbering7">
    <w:name w:val="Definition Numbering 7"/>
    <w:basedOn w:val="HouseStyleBase"/>
    <w:rsid w:val="00824EBC"/>
    <w:pPr>
      <w:numPr>
        <w:ilvl w:val="8"/>
        <w:numId w:val="16"/>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uiPriority w:val="99"/>
    <w:rsid w:val="00824EBC"/>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uiPriority w:val="99"/>
    <w:semiHidden/>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uiPriority w:val="99"/>
    <w:semiHidden/>
    <w:unhideWhenUsed/>
    <w:rsid w:val="001948E8"/>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
    <w:name w:val="Smart Hyperlink"/>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
    <w:name w:val="Unresolved Mention"/>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numPr>
        <w:numId w:val="21"/>
      </w:numPr>
      <w:spacing w:before="100" w:after="200"/>
    </w:pPr>
    <w:rPr>
      <w:rFonts w:cs="Times New Roman"/>
      <w:b/>
      <w:lang w:eastAsia="en-GB"/>
    </w:rPr>
  </w:style>
  <w:style w:type="paragraph" w:customStyle="1" w:styleId="ScheduleText2">
    <w:name w:val="Schedule Text 2"/>
    <w:basedOn w:val="ScheduleText1"/>
    <w:next w:val="Normal"/>
    <w:rsid w:val="00AE5FDD"/>
    <w:pPr>
      <w:numPr>
        <w:ilvl w:val="1"/>
      </w:numPr>
    </w:pPr>
    <w:rPr>
      <w:b w:val="0"/>
    </w:rPr>
  </w:style>
  <w:style w:type="paragraph" w:customStyle="1" w:styleId="ScheduleText3">
    <w:name w:val="Schedule Text 3"/>
    <w:basedOn w:val="Normal"/>
    <w:next w:val="Normal"/>
    <w:rsid w:val="00AE5FDD"/>
    <w:pPr>
      <w:numPr>
        <w:ilvl w:val="2"/>
        <w:numId w:val="21"/>
      </w:numPr>
      <w:tabs>
        <w:tab w:val="left" w:pos="720"/>
        <w:tab w:val="left" w:pos="1803"/>
      </w:tabs>
      <w:spacing w:before="100" w:after="200"/>
    </w:pPr>
    <w:rPr>
      <w:rFonts w:cs="Times New Roman"/>
      <w:lang w:eastAsia="en-GB"/>
    </w:rPr>
  </w:style>
  <w:style w:type="paragraph" w:customStyle="1" w:styleId="ScheduleText4">
    <w:name w:val="Schedule Text 4"/>
    <w:basedOn w:val="Normal"/>
    <w:next w:val="Normal"/>
    <w:rsid w:val="00AE5FDD"/>
    <w:pPr>
      <w:numPr>
        <w:ilvl w:val="3"/>
        <w:numId w:val="21"/>
      </w:numPr>
      <w:tabs>
        <w:tab w:val="left" w:pos="720"/>
        <w:tab w:val="left" w:pos="1803"/>
      </w:tabs>
      <w:spacing w:before="100" w:after="200"/>
    </w:pPr>
    <w:rPr>
      <w:rFonts w:cs="Times New Roman"/>
      <w:lang w:eastAsia="en-GB"/>
    </w:rPr>
  </w:style>
  <w:style w:type="paragraph" w:customStyle="1" w:styleId="ScheduleText5">
    <w:name w:val="Schedule Text 5"/>
    <w:basedOn w:val="Normal"/>
    <w:next w:val="Normal"/>
    <w:rsid w:val="00AE5FDD"/>
    <w:pPr>
      <w:numPr>
        <w:ilvl w:val="4"/>
        <w:numId w:val="21"/>
      </w:numPr>
      <w:tabs>
        <w:tab w:val="left" w:pos="720"/>
        <w:tab w:val="left" w:pos="2523"/>
      </w:tabs>
      <w:spacing w:before="100" w:after="200"/>
    </w:pPr>
    <w:rPr>
      <w:rFonts w:cs="Times New Roman"/>
      <w:lang w:eastAsia="en-GB"/>
    </w:rPr>
  </w:style>
  <w:style w:type="paragraph" w:customStyle="1" w:styleId="ScheduleText6">
    <w:name w:val="Schedule Text 6"/>
    <w:basedOn w:val="ScheduleText5"/>
    <w:rsid w:val="00AE5FDD"/>
    <w:pPr>
      <w:numPr>
        <w:ilvl w:val="5"/>
      </w:numPr>
    </w:pPr>
  </w:style>
  <w:style w:type="paragraph" w:customStyle="1" w:styleId="ScheduleText7">
    <w:name w:val="Schedule Text 7"/>
    <w:basedOn w:val="ScheduleText6"/>
    <w:rsid w:val="00AE5FDD"/>
    <w:pPr>
      <w:numPr>
        <w:ilvl w:val="6"/>
      </w:numPr>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paragraph" w:customStyle="1" w:styleId="DefinitionList">
    <w:name w:val="Definition List"/>
    <w:basedOn w:val="Normal"/>
    <w:rsid w:val="009013D7"/>
    <w:pPr>
      <w:numPr>
        <w:numId w:val="31"/>
      </w:numPr>
      <w:spacing w:before="100" w:after="200"/>
    </w:pPr>
    <w:rPr>
      <w:rFonts w:cs="Times New Roman"/>
      <w:lang w:eastAsia="en-GB"/>
    </w:rPr>
  </w:style>
  <w:style w:type="paragraph" w:customStyle="1" w:styleId="DefinitionListLevel1">
    <w:name w:val="Definition List Level 1"/>
    <w:basedOn w:val="DefinitionList"/>
    <w:rsid w:val="009013D7"/>
    <w:pPr>
      <w:numPr>
        <w:ilvl w:val="1"/>
      </w:numPr>
    </w:pPr>
  </w:style>
  <w:style w:type="paragraph" w:customStyle="1" w:styleId="DefinitionListLevel2">
    <w:name w:val="Definition List Level 2"/>
    <w:basedOn w:val="DefinitionListLevel1"/>
    <w:rsid w:val="009013D7"/>
    <w:pPr>
      <w:numPr>
        <w:ilvl w:val="2"/>
      </w:numPr>
    </w:pPr>
  </w:style>
  <w:style w:type="paragraph" w:styleId="Revision">
    <w:name w:val="Revision"/>
    <w:hidden/>
    <w:uiPriority w:val="99"/>
    <w:semiHidden/>
    <w:rsid w:val="00507AC5"/>
    <w:rPr>
      <w:rFonts w:eastAsiaTheme="minorHAnsi" w:cstheme="minorBidi"/>
      <w:szCs w:val="22"/>
      <w:lang w:val="en-GB" w:eastAsia="en-US"/>
    </w:rPr>
  </w:style>
  <w:style w:type="table" w:customStyle="1" w:styleId="TableGrid30">
    <w:name w:val="Table Grid3"/>
    <w:basedOn w:val="TableNormal"/>
    <w:next w:val="TableGrid"/>
    <w:rsid w:val="005969AD"/>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6273"/>
    <w:rPr>
      <w:rFonts w:ascii="Arial" w:eastAsia="STZhongsong" w:hAnsi="Arial"/>
      <w:lang w:val="en-GB" w:eastAsia="zh-CN"/>
    </w:rPr>
  </w:style>
  <w:style w:type="character" w:customStyle="1" w:styleId="normaltextrun">
    <w:name w:val="normaltextrun"/>
    <w:basedOn w:val="DefaultParagraphFont"/>
    <w:rsid w:val="482E03F3"/>
    <w:rPr>
      <w:rFonts w:asciiTheme="minorHAnsi" w:eastAsiaTheme="minorEastAsia" w:hAnsiTheme="minorHAnsi" w:cstheme="minorBidi"/>
      <w:sz w:val="22"/>
      <w:szCs w:val="22"/>
    </w:rPr>
  </w:style>
  <w:style w:type="paragraph" w:customStyle="1" w:styleId="paragraph">
    <w:name w:val="paragraph"/>
    <w:basedOn w:val="Normal"/>
    <w:rsid w:val="00BA5253"/>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41598">
      <w:bodyDiv w:val="1"/>
      <w:marLeft w:val="0"/>
      <w:marRight w:val="0"/>
      <w:marTop w:val="0"/>
      <w:marBottom w:val="0"/>
      <w:divBdr>
        <w:top w:val="none" w:sz="0" w:space="0" w:color="auto"/>
        <w:left w:val="none" w:sz="0" w:space="0" w:color="auto"/>
        <w:bottom w:val="none" w:sz="0" w:space="0" w:color="auto"/>
        <w:right w:val="none" w:sz="0" w:space="0" w:color="auto"/>
      </w:divBdr>
    </w:div>
    <w:div w:id="635524920">
      <w:bodyDiv w:val="1"/>
      <w:marLeft w:val="0"/>
      <w:marRight w:val="0"/>
      <w:marTop w:val="0"/>
      <w:marBottom w:val="0"/>
      <w:divBdr>
        <w:top w:val="none" w:sz="0" w:space="0" w:color="auto"/>
        <w:left w:val="none" w:sz="0" w:space="0" w:color="auto"/>
        <w:bottom w:val="none" w:sz="0" w:space="0" w:color="auto"/>
        <w:right w:val="none" w:sz="0" w:space="0" w:color="auto"/>
      </w:divBdr>
      <w:divsChild>
        <w:div w:id="73287973">
          <w:marLeft w:val="720"/>
          <w:marRight w:val="0"/>
          <w:marTop w:val="0"/>
          <w:marBottom w:val="0"/>
          <w:divBdr>
            <w:top w:val="none" w:sz="0" w:space="0" w:color="auto"/>
            <w:left w:val="none" w:sz="0" w:space="0" w:color="auto"/>
            <w:bottom w:val="none" w:sz="0" w:space="0" w:color="auto"/>
            <w:right w:val="none" w:sz="0" w:space="0" w:color="auto"/>
          </w:divBdr>
        </w:div>
      </w:divsChild>
    </w:div>
    <w:div w:id="765929529">
      <w:bodyDiv w:val="1"/>
      <w:marLeft w:val="0"/>
      <w:marRight w:val="0"/>
      <w:marTop w:val="0"/>
      <w:marBottom w:val="0"/>
      <w:divBdr>
        <w:top w:val="none" w:sz="0" w:space="0" w:color="auto"/>
        <w:left w:val="none" w:sz="0" w:space="0" w:color="auto"/>
        <w:bottom w:val="none" w:sz="0" w:space="0" w:color="auto"/>
        <w:right w:val="none" w:sz="0" w:space="0" w:color="auto"/>
      </w:divBdr>
    </w:div>
    <w:div w:id="946623239">
      <w:bodyDiv w:val="1"/>
      <w:marLeft w:val="0"/>
      <w:marRight w:val="0"/>
      <w:marTop w:val="0"/>
      <w:marBottom w:val="0"/>
      <w:divBdr>
        <w:top w:val="none" w:sz="0" w:space="0" w:color="auto"/>
        <w:left w:val="none" w:sz="0" w:space="0" w:color="auto"/>
        <w:bottom w:val="none" w:sz="0" w:space="0" w:color="auto"/>
        <w:right w:val="none" w:sz="0" w:space="0" w:color="auto"/>
      </w:divBdr>
    </w:div>
    <w:div w:id="1017804601">
      <w:bodyDiv w:val="1"/>
      <w:marLeft w:val="0"/>
      <w:marRight w:val="0"/>
      <w:marTop w:val="0"/>
      <w:marBottom w:val="0"/>
      <w:divBdr>
        <w:top w:val="none" w:sz="0" w:space="0" w:color="auto"/>
        <w:left w:val="none" w:sz="0" w:space="0" w:color="auto"/>
        <w:bottom w:val="none" w:sz="0" w:space="0" w:color="auto"/>
        <w:right w:val="none" w:sz="0" w:space="0" w:color="auto"/>
      </w:divBdr>
    </w:div>
    <w:div w:id="1089232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collection/cloud/the-cloud-security-princip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gov.uk/government/publications/government-security-classifications/guidance-15-considerations-for-security-advisors-html" TargetMode="External"/><Relationship Id="rId2" Type="http://schemas.openxmlformats.org/officeDocument/2006/relationships/customXml" Target="../customXml/item2.xml"/><Relationship Id="rId16" Type="http://schemas.openxmlformats.org/officeDocument/2006/relationships/hyperlink" Target="https://www.ncsc.gov.uk/collection/device-security-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government-security-classifications/guidance-11-working-at-official-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guidance-11-working-at-official-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1ED47-D1F4-4B54-8E9F-54F559D0E94B}">
  <ds:schemaRefs>
    <ds:schemaRef ds:uri="http://schemas.microsoft.com/sharepoint/v3/contenttype/forms"/>
  </ds:schemaRefs>
</ds:datastoreItem>
</file>

<file path=customXml/itemProps2.xml><?xml version="1.0" encoding="utf-8"?>
<ds:datastoreItem xmlns:ds="http://schemas.openxmlformats.org/officeDocument/2006/customXml" ds:itemID="{7AB34AAD-F317-413E-97AD-FEAB03B44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DC8DC-482D-464D-A6CE-29FFBBC0FA90}">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4.xml><?xml version="1.0" encoding="utf-8"?>
<ds:datastoreItem xmlns:ds="http://schemas.openxmlformats.org/officeDocument/2006/customXml" ds:itemID="{726FEFDE-20A2-4945-A298-C88F120D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6675</Words>
  <Characters>38052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Brostromer</dc:creator>
  <cp:keywords/>
  <dc:description/>
  <cp:lastModifiedBy>Tom McCaldon</cp:lastModifiedBy>
  <cp:revision>2</cp:revision>
  <dcterms:created xsi:type="dcterms:W3CDTF">2025-03-13T08:31:00Z</dcterms:created>
  <dcterms:modified xsi:type="dcterms:W3CDTF">2025-03-13T08:31:00Z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91100598-1</vt:lpwstr>
  </property>
  <property fmtid="{D5CDD505-2E9C-101B-9397-08002B2CF9AE}" pid="11" name="DMSDocNumber">
    <vt:lpwstr>91100598</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