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D739" w14:textId="77777777" w:rsidR="00C64F31" w:rsidRDefault="007B6802" w:rsidP="006126FB">
      <w:pPr>
        <w:pBdr>
          <w:top w:val="nil"/>
          <w:left w:val="nil"/>
          <w:bottom w:val="nil"/>
          <w:right w:val="nil"/>
          <w:between w:val="nil"/>
        </w:pBdr>
        <w:tabs>
          <w:tab w:val="center" w:pos="4513"/>
          <w:tab w:val="right" w:pos="9026"/>
        </w:tabs>
        <w:spacing w:before="120" w:after="120"/>
        <w:jc w:val="left"/>
        <w:rPr>
          <w:rFonts w:eastAsia="Arial"/>
          <w:b/>
          <w:sz w:val="36"/>
          <w:szCs w:val="36"/>
        </w:rPr>
      </w:pPr>
      <w:r>
        <w:rPr>
          <w:rFonts w:eastAsia="Arial"/>
          <w:b/>
          <w:sz w:val="36"/>
          <w:szCs w:val="36"/>
        </w:rPr>
        <w:t>Joint Schedule 7 (Financial Difficulties)</w:t>
      </w:r>
    </w:p>
    <w:p w14:paraId="379D94A7" w14:textId="3652F7CA" w:rsidR="00C54283" w:rsidRDefault="00C54283" w:rsidP="0040292F">
      <w:pPr>
        <w:pBdr>
          <w:top w:val="nil"/>
          <w:left w:val="nil"/>
          <w:bottom w:val="nil"/>
          <w:right w:val="nil"/>
          <w:between w:val="nil"/>
        </w:pBdr>
        <w:tabs>
          <w:tab w:val="left" w:pos="1985"/>
        </w:tabs>
        <w:spacing w:before="120" w:after="120"/>
        <w:jc w:val="left"/>
        <w:rPr>
          <w:rFonts w:eastAsia="Arial"/>
          <w:highlight w:val="yellow"/>
        </w:rPr>
      </w:pPr>
    </w:p>
    <w:p w14:paraId="43505C64" w14:textId="775C57C5" w:rsidR="00C64F31" w:rsidRPr="00D0206F" w:rsidRDefault="007B6802" w:rsidP="0040292F">
      <w:pPr>
        <w:pBdr>
          <w:top w:val="nil"/>
          <w:left w:val="nil"/>
          <w:bottom w:val="nil"/>
          <w:right w:val="nil"/>
          <w:between w:val="nil"/>
        </w:pBdr>
        <w:tabs>
          <w:tab w:val="left" w:pos="1985"/>
        </w:tabs>
        <w:spacing w:before="120" w:after="120"/>
        <w:jc w:val="left"/>
        <w:rPr>
          <w:rFonts w:eastAsia="Arial"/>
          <w:b/>
          <w:i/>
          <w:sz w:val="36"/>
          <w:szCs w:val="36"/>
        </w:rPr>
      </w:pPr>
      <w:r w:rsidRPr="00D0206F">
        <w:rPr>
          <w:rFonts w:eastAsia="Arial"/>
          <w:b/>
          <w:i/>
          <w:highlight w:val="yellow"/>
        </w:rPr>
        <w:t>[Guidance: This Schedule provides CCS and the Buyer with the option of using Credit Ratings and/or Financial Indicators for the purposes of the Financial Distress Provisions. Buyers may use any combination of these indicators to suit their own requirements subject to the guidance below.]</w:t>
      </w:r>
    </w:p>
    <w:p w14:paraId="7CF5459C" w14:textId="77777777" w:rsidR="00C64F31" w:rsidRDefault="00C64F31" w:rsidP="0040292F">
      <w:pPr>
        <w:pBdr>
          <w:top w:val="nil"/>
          <w:left w:val="nil"/>
          <w:bottom w:val="nil"/>
          <w:right w:val="nil"/>
          <w:between w:val="nil"/>
        </w:pBdr>
        <w:tabs>
          <w:tab w:val="left" w:pos="1985"/>
        </w:tabs>
        <w:spacing w:before="120" w:after="120"/>
        <w:jc w:val="left"/>
        <w:rPr>
          <w:rFonts w:eastAsia="Arial"/>
        </w:rPr>
      </w:pPr>
    </w:p>
    <w:p w14:paraId="687C7758"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Definitions</w:t>
      </w:r>
    </w:p>
    <w:p w14:paraId="07D087C5" w14:textId="362B061E" w:rsidR="00C64F31" w:rsidRPr="00DB546E"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In this Schedule, the following definitions shall apply:</w:t>
      </w:r>
    </w:p>
    <w:tbl>
      <w:tblPr>
        <w:tblStyle w:val="a"/>
        <w:tblW w:w="808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3261"/>
        <w:gridCol w:w="4819"/>
      </w:tblGrid>
      <w:tr w:rsidR="00C64F31" w14:paraId="679AF58C" w14:textId="77777777" w:rsidTr="006D4EC7">
        <w:tc>
          <w:tcPr>
            <w:tcW w:w="3261" w:type="dxa"/>
          </w:tcPr>
          <w:p w14:paraId="65F553C6"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“Applicable Financial Indicators”</w:t>
            </w:r>
          </w:p>
        </w:tc>
        <w:tc>
          <w:tcPr>
            <w:tcW w:w="4819" w:type="dxa"/>
          </w:tcPr>
          <w:p w14:paraId="0F9BD083" w14:textId="7841C5D9" w:rsidR="00C64F31" w:rsidRDefault="007B6802" w:rsidP="0040292F">
            <w:pPr>
              <w:keepNext/>
              <w:pBdr>
                <w:top w:val="nil"/>
                <w:left w:val="nil"/>
                <w:bottom w:val="nil"/>
                <w:right w:val="nil"/>
                <w:between w:val="nil"/>
              </w:pBdr>
              <w:spacing w:before="120" w:after="120"/>
              <w:jc w:val="left"/>
              <w:rPr>
                <w:rFonts w:eastAsia="Arial"/>
                <w:smallCaps/>
                <w:sz w:val="24"/>
                <w:szCs w:val="24"/>
              </w:rPr>
            </w:pPr>
            <w:r>
              <w:rPr>
                <w:rFonts w:eastAsia="Arial"/>
                <w:sz w:val="24"/>
                <w:szCs w:val="24"/>
              </w:rPr>
              <w:t xml:space="preserve">the financial indicators from Paragraph </w:t>
            </w:r>
            <w:r w:rsidR="0040292F">
              <w:rPr>
                <w:rFonts w:eastAsia="Arial"/>
                <w:smallCaps/>
              </w:rPr>
              <w:fldChar w:fldCharType="begin"/>
            </w:r>
            <w:r w:rsidR="0040292F">
              <w:rPr>
                <w:rFonts w:eastAsia="Arial"/>
                <w:sz w:val="24"/>
                <w:szCs w:val="24"/>
              </w:rPr>
              <w:instrText xml:space="preserve"> REF _Ref190943385 \r \h </w:instrText>
            </w:r>
            <w:r w:rsidR="006D4EC7">
              <w:rPr>
                <w:rFonts w:eastAsia="Arial"/>
                <w:smallCaps/>
                <w:sz w:val="24"/>
                <w:szCs w:val="24"/>
              </w:rPr>
              <w:instrText xml:space="preserve"> \* MERGEFORMAT </w:instrText>
            </w:r>
            <w:r w:rsidR="0040292F">
              <w:rPr>
                <w:rFonts w:eastAsia="Arial"/>
                <w:smallCaps/>
              </w:rPr>
            </w:r>
            <w:r w:rsidR="0040292F">
              <w:rPr>
                <w:rFonts w:eastAsia="Arial"/>
                <w:smallCaps/>
              </w:rPr>
              <w:fldChar w:fldCharType="separate"/>
            </w:r>
            <w:r w:rsidR="0040292F">
              <w:rPr>
                <w:rFonts w:eastAsia="Arial"/>
                <w:sz w:val="24"/>
                <w:szCs w:val="24"/>
              </w:rPr>
              <w:t>5.1</w:t>
            </w:r>
            <w:r w:rsidR="0040292F">
              <w:rPr>
                <w:rFonts w:eastAsia="Arial"/>
                <w:smallCaps/>
              </w:rPr>
              <w:fldChar w:fldCharType="end"/>
            </w:r>
            <w:r>
              <w:rPr>
                <w:rFonts w:eastAsia="Arial"/>
                <w:smallCaps/>
                <w:sz w:val="24"/>
                <w:szCs w:val="24"/>
              </w:rPr>
              <w:t xml:space="preserve"> </w:t>
            </w:r>
            <w:r>
              <w:rPr>
                <w:rFonts w:eastAsia="Arial"/>
                <w:sz w:val="24"/>
                <w:szCs w:val="24"/>
              </w:rPr>
              <w:t xml:space="preserve">of this Schedule which are to apply to the Monitored Suppliers as set out in Paragraph </w:t>
            </w:r>
            <w:r w:rsidR="0040292F">
              <w:rPr>
                <w:rFonts w:eastAsia="Arial"/>
              </w:rPr>
              <w:fldChar w:fldCharType="begin"/>
            </w:r>
            <w:r w:rsidR="0040292F">
              <w:rPr>
                <w:rFonts w:eastAsia="Arial"/>
                <w:sz w:val="24"/>
                <w:szCs w:val="24"/>
              </w:rPr>
              <w:instrText xml:space="preserve"> REF _Ref190943392 \r \h </w:instrText>
            </w:r>
            <w:r w:rsidR="006D4EC7">
              <w:rPr>
                <w:rFonts w:eastAsia="Arial"/>
                <w:sz w:val="24"/>
                <w:szCs w:val="24"/>
              </w:rPr>
              <w:instrText xml:space="preserve"> \* MERGEFORMAT </w:instrText>
            </w:r>
            <w:r w:rsidR="0040292F">
              <w:rPr>
                <w:rFonts w:eastAsia="Arial"/>
              </w:rPr>
            </w:r>
            <w:r w:rsidR="0040292F">
              <w:rPr>
                <w:rFonts w:eastAsia="Arial"/>
              </w:rPr>
              <w:fldChar w:fldCharType="separate"/>
            </w:r>
            <w:r w:rsidR="0040292F">
              <w:rPr>
                <w:rFonts w:eastAsia="Arial"/>
                <w:sz w:val="24"/>
                <w:szCs w:val="24"/>
              </w:rPr>
              <w:t>5.2</w:t>
            </w:r>
            <w:r w:rsidR="0040292F">
              <w:rPr>
                <w:rFonts w:eastAsia="Arial"/>
              </w:rPr>
              <w:fldChar w:fldCharType="end"/>
            </w:r>
            <w:r>
              <w:rPr>
                <w:rFonts w:eastAsia="Arial"/>
                <w:sz w:val="24"/>
                <w:szCs w:val="24"/>
              </w:rPr>
              <w:t xml:space="preserve"> of this Schedule;</w:t>
            </w:r>
          </w:p>
        </w:tc>
      </w:tr>
      <w:tr w:rsidR="00C52A89" w14:paraId="522DD59B" w14:textId="77777777" w:rsidTr="006D4EC7">
        <w:tc>
          <w:tcPr>
            <w:tcW w:w="3261" w:type="dxa"/>
          </w:tcPr>
          <w:p w14:paraId="782F1FBA" w14:textId="363C9986" w:rsidR="00C52A89" w:rsidRDefault="00C52A89" w:rsidP="006126FB">
            <w:pPr>
              <w:pBdr>
                <w:top w:val="nil"/>
                <w:left w:val="nil"/>
                <w:bottom w:val="nil"/>
                <w:right w:val="nil"/>
                <w:between w:val="nil"/>
              </w:pBdr>
              <w:tabs>
                <w:tab w:val="left" w:pos="1134"/>
              </w:tabs>
              <w:spacing w:before="120" w:after="120"/>
              <w:jc w:val="left"/>
              <w:rPr>
                <w:rFonts w:eastAsia="Arial"/>
                <w:b/>
                <w:sz w:val="24"/>
                <w:szCs w:val="24"/>
              </w:rPr>
            </w:pPr>
            <w:r w:rsidRPr="00C52A89">
              <w:rPr>
                <w:rFonts w:eastAsia="Arial"/>
                <w:b/>
                <w:sz w:val="24"/>
                <w:szCs w:val="24"/>
              </w:rPr>
              <w:t>“Authorised Financial Representative”</w:t>
            </w:r>
          </w:p>
        </w:tc>
        <w:tc>
          <w:tcPr>
            <w:tcW w:w="4819" w:type="dxa"/>
          </w:tcPr>
          <w:p w14:paraId="42E123F9" w14:textId="429271E5" w:rsidR="00C52A89" w:rsidRDefault="00C52A89" w:rsidP="006126FB">
            <w:pPr>
              <w:keepNext/>
              <w:pBdr>
                <w:top w:val="nil"/>
                <w:left w:val="nil"/>
                <w:bottom w:val="nil"/>
                <w:right w:val="nil"/>
                <w:between w:val="nil"/>
              </w:pBdr>
              <w:spacing w:before="120" w:after="120"/>
              <w:jc w:val="left"/>
              <w:rPr>
                <w:rFonts w:eastAsia="Arial"/>
                <w:sz w:val="24"/>
                <w:szCs w:val="24"/>
              </w:rPr>
            </w:pPr>
            <w:r w:rsidRPr="00C52A89">
              <w:rPr>
                <w:rFonts w:eastAsia="Arial"/>
                <w:sz w:val="24"/>
                <w:szCs w:val="24"/>
              </w:rPr>
              <w:t>a statutory director of the Supplier or a sufficiently senior member of the Supplier’s management team who has the authority to act on behalf of the Supplier in relation to financial matters;</w:t>
            </w:r>
          </w:p>
        </w:tc>
      </w:tr>
      <w:tr w:rsidR="00C64F31" w14:paraId="4DC0E98A" w14:textId="77777777" w:rsidTr="006D4EC7">
        <w:tc>
          <w:tcPr>
            <w:tcW w:w="3261" w:type="dxa"/>
          </w:tcPr>
          <w:p w14:paraId="3ECAF265"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sz w:val="24"/>
                <w:szCs w:val="24"/>
              </w:rPr>
            </w:pPr>
            <w:r>
              <w:rPr>
                <w:rFonts w:eastAsia="Arial"/>
                <w:b/>
                <w:sz w:val="24"/>
                <w:szCs w:val="24"/>
              </w:rPr>
              <w:t>“Board”</w:t>
            </w:r>
          </w:p>
        </w:tc>
        <w:tc>
          <w:tcPr>
            <w:tcW w:w="4819" w:type="dxa"/>
          </w:tcPr>
          <w:p w14:paraId="0AC1F42C" w14:textId="407F21E2"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the Supplier’s board of directors;</w:t>
            </w:r>
          </w:p>
        </w:tc>
      </w:tr>
      <w:tr w:rsidR="00C64F31" w14:paraId="77BB5908" w14:textId="77777777" w:rsidTr="006D4EC7">
        <w:tc>
          <w:tcPr>
            <w:tcW w:w="3261" w:type="dxa"/>
          </w:tcPr>
          <w:p w14:paraId="7CCC3DC1"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“Board Confirmation”</w:t>
            </w:r>
          </w:p>
        </w:tc>
        <w:tc>
          <w:tcPr>
            <w:tcW w:w="4819" w:type="dxa"/>
          </w:tcPr>
          <w:p w14:paraId="426A0129" w14:textId="563036CC" w:rsidR="00C64F31" w:rsidRDefault="007B6802" w:rsidP="0040292F">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 xml:space="preserve">written confirmation from the Board in accordance with Paragraph </w:t>
            </w:r>
            <w:r w:rsidR="0040292F">
              <w:rPr>
                <w:rFonts w:eastAsia="Arial"/>
              </w:rPr>
              <w:fldChar w:fldCharType="begin"/>
            </w:r>
            <w:r w:rsidR="0040292F">
              <w:rPr>
                <w:rFonts w:eastAsia="Arial"/>
                <w:sz w:val="24"/>
                <w:szCs w:val="24"/>
              </w:rPr>
              <w:instrText xml:space="preserve"> REF _Ref190943405 \r \h </w:instrText>
            </w:r>
            <w:r w:rsidR="0040292F">
              <w:rPr>
                <w:rFonts w:eastAsia="Arial"/>
              </w:rPr>
            </w:r>
            <w:r w:rsidR="0040292F">
              <w:rPr>
                <w:rFonts w:eastAsia="Arial"/>
              </w:rPr>
              <w:fldChar w:fldCharType="separate"/>
            </w:r>
            <w:r w:rsidR="0040292F">
              <w:rPr>
                <w:rFonts w:eastAsia="Arial"/>
                <w:sz w:val="24"/>
                <w:szCs w:val="24"/>
              </w:rPr>
              <w:t>8</w:t>
            </w:r>
            <w:r w:rsidR="0040292F">
              <w:rPr>
                <w:rFonts w:eastAsia="Arial"/>
              </w:rPr>
              <w:fldChar w:fldCharType="end"/>
            </w:r>
            <w:r>
              <w:rPr>
                <w:rFonts w:eastAsia="Arial"/>
                <w:sz w:val="24"/>
                <w:szCs w:val="24"/>
              </w:rPr>
              <w:t xml:space="preserve"> of this Schedule;</w:t>
            </w:r>
          </w:p>
        </w:tc>
      </w:tr>
      <w:tr w:rsidR="00C64F31" w14:paraId="4EAA7DC9" w14:textId="77777777" w:rsidTr="006D4EC7">
        <w:tc>
          <w:tcPr>
            <w:tcW w:w="3261" w:type="dxa"/>
          </w:tcPr>
          <w:p w14:paraId="25A161AE"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“Cabinet Office Markets and Suppliers Team”</w:t>
            </w:r>
          </w:p>
        </w:tc>
        <w:tc>
          <w:tcPr>
            <w:tcW w:w="4819" w:type="dxa"/>
          </w:tcPr>
          <w:p w14:paraId="3B2D29D4" w14:textId="06EEE555"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the UK Government’s team responsible for managing the relationship between government and its Strategic Suppliers, or any replacement or successor body carrying out the same function;</w:t>
            </w:r>
          </w:p>
        </w:tc>
      </w:tr>
      <w:tr w:rsidR="00C64F31" w14:paraId="7CE08673" w14:textId="77777777" w:rsidTr="006D4EC7">
        <w:tc>
          <w:tcPr>
            <w:tcW w:w="3261" w:type="dxa"/>
          </w:tcPr>
          <w:p w14:paraId="7DA864B4"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“Credit Rating Threshold”</w:t>
            </w:r>
          </w:p>
        </w:tc>
        <w:tc>
          <w:tcPr>
            <w:tcW w:w="4819" w:type="dxa"/>
          </w:tcPr>
          <w:p w14:paraId="402C41AE" w14:textId="77777777"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the minimum credit rating level for each entity in the FDE Group as set out in Annex 1 to this Schedule;</w:t>
            </w:r>
          </w:p>
        </w:tc>
      </w:tr>
      <w:tr w:rsidR="00C64F31" w14:paraId="78D7CBDC" w14:textId="77777777" w:rsidTr="006D4EC7">
        <w:tc>
          <w:tcPr>
            <w:tcW w:w="3261" w:type="dxa"/>
          </w:tcPr>
          <w:p w14:paraId="4C92EC9A"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sz w:val="24"/>
                <w:szCs w:val="24"/>
              </w:rPr>
            </w:pPr>
            <w:r>
              <w:rPr>
                <w:rFonts w:eastAsia="Arial"/>
                <w:b/>
                <w:sz w:val="24"/>
                <w:szCs w:val="24"/>
              </w:rPr>
              <w:t>“FDE Group”</w:t>
            </w:r>
          </w:p>
        </w:tc>
        <w:tc>
          <w:tcPr>
            <w:tcW w:w="4819" w:type="dxa"/>
          </w:tcPr>
          <w:p w14:paraId="3B8BAF7B" w14:textId="426C8C97"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sidRPr="00A06622">
              <w:rPr>
                <w:rFonts w:eastAsia="Arial"/>
                <w:sz w:val="24"/>
                <w:szCs w:val="24"/>
              </w:rPr>
              <w:t xml:space="preserve">Supplier, Key </w:t>
            </w:r>
            <w:r w:rsidR="00A06622" w:rsidRPr="00A06622">
              <w:rPr>
                <w:rFonts w:eastAsia="Arial"/>
                <w:sz w:val="24"/>
                <w:szCs w:val="24"/>
              </w:rPr>
              <w:t>Sub-contractors, [the Guarantor</w:t>
            </w:r>
            <w:r w:rsidRPr="00A06622">
              <w:rPr>
                <w:rFonts w:eastAsia="Arial"/>
                <w:sz w:val="24"/>
                <w:szCs w:val="24"/>
              </w:rPr>
              <w:t xml:space="preserve"> and</w:t>
            </w:r>
            <w:r w:rsidR="00A06622" w:rsidRPr="00A06622">
              <w:rPr>
                <w:rFonts w:eastAsia="Arial"/>
                <w:sz w:val="24"/>
                <w:szCs w:val="24"/>
              </w:rPr>
              <w:t xml:space="preserve"> the Monitored Suppliers</w:t>
            </w:r>
            <w:r w:rsidRPr="00A06622">
              <w:rPr>
                <w:rFonts w:eastAsia="Arial"/>
                <w:sz w:val="24"/>
                <w:szCs w:val="24"/>
              </w:rPr>
              <w:t>;</w:t>
            </w:r>
          </w:p>
        </w:tc>
      </w:tr>
      <w:tr w:rsidR="00C64F31" w14:paraId="5C0C9AB5" w14:textId="77777777" w:rsidTr="006D4EC7">
        <w:tc>
          <w:tcPr>
            <w:tcW w:w="3261" w:type="dxa"/>
          </w:tcPr>
          <w:p w14:paraId="09B4B062"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“Financial Distress Event”</w:t>
            </w:r>
          </w:p>
        </w:tc>
        <w:tc>
          <w:tcPr>
            <w:tcW w:w="4819" w:type="dxa"/>
          </w:tcPr>
          <w:p w14:paraId="73DF6402" w14:textId="389882D4" w:rsidR="00C64F31" w:rsidRDefault="00C52A89" w:rsidP="0040292F">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a</w:t>
            </w:r>
            <w:r w:rsidR="007B6802">
              <w:rPr>
                <w:rFonts w:eastAsia="Arial"/>
                <w:sz w:val="24"/>
                <w:szCs w:val="24"/>
              </w:rPr>
              <w:t xml:space="preserve">ny of the events listed in Paragraph </w:t>
            </w:r>
            <w:r w:rsidR="0040292F">
              <w:rPr>
                <w:rFonts w:eastAsia="Arial"/>
              </w:rPr>
              <w:fldChar w:fldCharType="begin"/>
            </w:r>
            <w:r w:rsidR="0040292F">
              <w:rPr>
                <w:rFonts w:eastAsia="Arial"/>
                <w:sz w:val="24"/>
                <w:szCs w:val="24"/>
              </w:rPr>
              <w:instrText xml:space="preserve"> REF _Ref190943416 \r \h </w:instrText>
            </w:r>
            <w:r w:rsidR="0040292F">
              <w:rPr>
                <w:rFonts w:eastAsia="Arial"/>
              </w:rPr>
            </w:r>
            <w:r w:rsidR="0040292F">
              <w:rPr>
                <w:rFonts w:eastAsia="Arial"/>
              </w:rPr>
              <w:fldChar w:fldCharType="separate"/>
            </w:r>
            <w:r w:rsidR="0040292F">
              <w:rPr>
                <w:rFonts w:eastAsia="Arial"/>
                <w:sz w:val="24"/>
                <w:szCs w:val="24"/>
              </w:rPr>
              <w:t>3.1</w:t>
            </w:r>
            <w:r w:rsidR="0040292F">
              <w:rPr>
                <w:rFonts w:eastAsia="Arial"/>
              </w:rPr>
              <w:fldChar w:fldCharType="end"/>
            </w:r>
            <w:r w:rsidR="007B6802">
              <w:rPr>
                <w:rFonts w:eastAsia="Arial"/>
                <w:sz w:val="24"/>
                <w:szCs w:val="24"/>
              </w:rPr>
              <w:t xml:space="preserve"> of this Schedule;</w:t>
            </w:r>
          </w:p>
        </w:tc>
      </w:tr>
      <w:tr w:rsidR="00C64F31" w14:paraId="3A924F6B" w14:textId="77777777" w:rsidTr="006D4EC7">
        <w:tc>
          <w:tcPr>
            <w:tcW w:w="3261" w:type="dxa"/>
          </w:tcPr>
          <w:p w14:paraId="6A9806DD"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“Financial Distress Remediation Plan”</w:t>
            </w:r>
          </w:p>
        </w:tc>
        <w:tc>
          <w:tcPr>
            <w:tcW w:w="4819" w:type="dxa"/>
          </w:tcPr>
          <w:p w14:paraId="654C48D0" w14:textId="77777777"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 xml:space="preserve">a plan setting out how the Supplier will ensure the continued performance and delivery of the Deliverables in accordance </w:t>
            </w:r>
            <w:r>
              <w:rPr>
                <w:rFonts w:eastAsia="Arial"/>
                <w:sz w:val="24"/>
                <w:szCs w:val="24"/>
              </w:rPr>
              <w:lastRenderedPageBreak/>
              <w:t>with the Contract in the event that a Financial Distress Event occurs;</w:t>
            </w:r>
          </w:p>
        </w:tc>
      </w:tr>
      <w:tr w:rsidR="00C64F31" w14:paraId="47BBD2AB" w14:textId="77777777" w:rsidTr="006D4EC7">
        <w:tc>
          <w:tcPr>
            <w:tcW w:w="3261" w:type="dxa"/>
          </w:tcPr>
          <w:p w14:paraId="19FD9F61"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bookmarkStart w:id="0" w:name="_heading=h.3dy6vkm" w:colFirst="0" w:colLast="0"/>
            <w:bookmarkEnd w:id="0"/>
            <w:r>
              <w:rPr>
                <w:rFonts w:eastAsia="Arial"/>
                <w:b/>
                <w:sz w:val="24"/>
                <w:szCs w:val="24"/>
              </w:rPr>
              <w:lastRenderedPageBreak/>
              <w:t>“Financial Indicators”</w:t>
            </w:r>
          </w:p>
        </w:tc>
        <w:tc>
          <w:tcPr>
            <w:tcW w:w="4819" w:type="dxa"/>
          </w:tcPr>
          <w:p w14:paraId="31D8081B" w14:textId="39CCF99E" w:rsidR="00C64F31" w:rsidRDefault="007B6802" w:rsidP="0040292F">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in respect of the Supplier, Key Sub-contractors and the Guarantor, means each of the f</w:t>
            </w:r>
            <w:r w:rsidR="0040292F">
              <w:rPr>
                <w:rFonts w:eastAsia="Arial"/>
                <w:sz w:val="24"/>
                <w:szCs w:val="24"/>
              </w:rPr>
              <w:t>inancial indicators set out at P</w:t>
            </w:r>
            <w:r>
              <w:rPr>
                <w:rFonts w:eastAsia="Arial"/>
                <w:sz w:val="24"/>
                <w:szCs w:val="24"/>
              </w:rPr>
              <w:t xml:space="preserve">aragraph </w:t>
            </w:r>
            <w:r w:rsidR="0040292F">
              <w:rPr>
                <w:rFonts w:eastAsia="Arial"/>
              </w:rPr>
              <w:fldChar w:fldCharType="begin"/>
            </w:r>
            <w:r w:rsidR="0040292F">
              <w:rPr>
                <w:rFonts w:eastAsia="Arial"/>
                <w:sz w:val="24"/>
                <w:szCs w:val="24"/>
              </w:rPr>
              <w:instrText xml:space="preserve"> REF _Ref190943385 \r \h </w:instrText>
            </w:r>
            <w:r w:rsidR="0040292F">
              <w:rPr>
                <w:rFonts w:eastAsia="Arial"/>
              </w:rPr>
            </w:r>
            <w:r w:rsidR="0040292F">
              <w:rPr>
                <w:rFonts w:eastAsia="Arial"/>
              </w:rPr>
              <w:fldChar w:fldCharType="separate"/>
            </w:r>
            <w:r w:rsidR="0040292F">
              <w:rPr>
                <w:rFonts w:eastAsia="Arial"/>
                <w:sz w:val="24"/>
                <w:szCs w:val="24"/>
              </w:rPr>
              <w:t>5.1</w:t>
            </w:r>
            <w:r w:rsidR="0040292F">
              <w:rPr>
                <w:rFonts w:eastAsia="Arial"/>
              </w:rPr>
              <w:fldChar w:fldCharType="end"/>
            </w:r>
            <w:r>
              <w:rPr>
                <w:rFonts w:eastAsia="Arial"/>
                <w:sz w:val="24"/>
                <w:szCs w:val="24"/>
              </w:rPr>
              <w:t xml:space="preserve"> of this Schedule and in respect of each Monitored Supplier, means those Applicable Financial Indicators;</w:t>
            </w:r>
          </w:p>
        </w:tc>
      </w:tr>
      <w:tr w:rsidR="00C64F31" w14:paraId="1A4CED6E" w14:textId="77777777" w:rsidTr="006D4EC7">
        <w:tc>
          <w:tcPr>
            <w:tcW w:w="3261" w:type="dxa"/>
          </w:tcPr>
          <w:p w14:paraId="0B8DC251"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“Financial Target Thresholds”</w:t>
            </w:r>
          </w:p>
        </w:tc>
        <w:tc>
          <w:tcPr>
            <w:tcW w:w="4819" w:type="dxa"/>
          </w:tcPr>
          <w:p w14:paraId="586448E2" w14:textId="697C3276" w:rsidR="00C64F31" w:rsidRDefault="007B6802" w:rsidP="0040292F">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the target thresholds for each of the F</w:t>
            </w:r>
            <w:r w:rsidR="0040292F">
              <w:rPr>
                <w:rFonts w:eastAsia="Arial"/>
                <w:sz w:val="24"/>
                <w:szCs w:val="24"/>
              </w:rPr>
              <w:t>inancial Indicators set out at P</w:t>
            </w:r>
            <w:r>
              <w:rPr>
                <w:rFonts w:eastAsia="Arial"/>
                <w:sz w:val="24"/>
                <w:szCs w:val="24"/>
              </w:rPr>
              <w:t xml:space="preserve">aragraph </w:t>
            </w:r>
            <w:r w:rsidR="0040292F">
              <w:rPr>
                <w:rFonts w:eastAsia="Arial"/>
              </w:rPr>
              <w:fldChar w:fldCharType="begin"/>
            </w:r>
            <w:r w:rsidR="0040292F">
              <w:rPr>
                <w:rFonts w:eastAsia="Arial"/>
                <w:sz w:val="24"/>
                <w:szCs w:val="24"/>
              </w:rPr>
              <w:instrText xml:space="preserve"> REF _Ref190943385 \r \h </w:instrText>
            </w:r>
            <w:r w:rsidR="0040292F">
              <w:rPr>
                <w:rFonts w:eastAsia="Arial"/>
              </w:rPr>
            </w:r>
            <w:r w:rsidR="0040292F">
              <w:rPr>
                <w:rFonts w:eastAsia="Arial"/>
              </w:rPr>
              <w:fldChar w:fldCharType="separate"/>
            </w:r>
            <w:r w:rsidR="0040292F">
              <w:rPr>
                <w:rFonts w:eastAsia="Arial"/>
                <w:sz w:val="24"/>
                <w:szCs w:val="24"/>
              </w:rPr>
              <w:t>5.1</w:t>
            </w:r>
            <w:r w:rsidR="0040292F">
              <w:rPr>
                <w:rFonts w:eastAsia="Arial"/>
              </w:rPr>
              <w:fldChar w:fldCharType="end"/>
            </w:r>
            <w:r>
              <w:rPr>
                <w:rFonts w:eastAsia="Arial"/>
                <w:sz w:val="24"/>
                <w:szCs w:val="24"/>
              </w:rPr>
              <w:t xml:space="preserve"> of this Schedule;</w:t>
            </w:r>
          </w:p>
        </w:tc>
      </w:tr>
      <w:tr w:rsidR="00C64F31" w14:paraId="19ED47CF" w14:textId="77777777" w:rsidTr="006D4EC7">
        <w:tc>
          <w:tcPr>
            <w:tcW w:w="3261" w:type="dxa"/>
          </w:tcPr>
          <w:p w14:paraId="143D5AF2" w14:textId="77777777" w:rsidR="00C64F31" w:rsidRDefault="007B6802" w:rsidP="006126FB">
            <w:pPr>
              <w:pBdr>
                <w:top w:val="nil"/>
                <w:left w:val="nil"/>
                <w:bottom w:val="nil"/>
                <w:right w:val="nil"/>
                <w:between w:val="nil"/>
              </w:pBdr>
              <w:tabs>
                <w:tab w:val="left" w:pos="1134"/>
              </w:tabs>
              <w:spacing w:before="120" w:after="120"/>
              <w:jc w:val="left"/>
              <w:rPr>
                <w:rFonts w:eastAsia="Arial"/>
                <w:b/>
                <w:sz w:val="24"/>
                <w:szCs w:val="24"/>
              </w:rPr>
            </w:pPr>
            <w:r>
              <w:rPr>
                <w:rFonts w:eastAsia="Arial"/>
                <w:b/>
                <w:sz w:val="24"/>
                <w:szCs w:val="24"/>
              </w:rPr>
              <w:t>“Monitored Suppliers”</w:t>
            </w:r>
          </w:p>
        </w:tc>
        <w:tc>
          <w:tcPr>
            <w:tcW w:w="4819" w:type="dxa"/>
          </w:tcPr>
          <w:p w14:paraId="10D6C26B" w14:textId="320A89A4" w:rsidR="00C64F31" w:rsidRDefault="0040292F" w:rsidP="0040292F">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those entities specified at P</w:t>
            </w:r>
            <w:r w:rsidR="007B6802">
              <w:rPr>
                <w:rFonts w:eastAsia="Arial"/>
                <w:sz w:val="24"/>
                <w:szCs w:val="24"/>
              </w:rPr>
              <w:t xml:space="preserve">aragraph </w:t>
            </w:r>
            <w:r>
              <w:rPr>
                <w:rFonts w:eastAsia="Arial"/>
              </w:rPr>
              <w:fldChar w:fldCharType="begin"/>
            </w:r>
            <w:r>
              <w:rPr>
                <w:rFonts w:eastAsia="Arial"/>
                <w:sz w:val="24"/>
                <w:szCs w:val="24"/>
              </w:rPr>
              <w:instrText xml:space="preserve"> REF _Ref190943392 \r \h </w:instrText>
            </w:r>
            <w:r>
              <w:rPr>
                <w:rFonts w:eastAsia="Arial"/>
              </w:rPr>
            </w:r>
            <w:r>
              <w:rPr>
                <w:rFonts w:eastAsia="Arial"/>
              </w:rPr>
              <w:fldChar w:fldCharType="separate"/>
            </w:r>
            <w:r>
              <w:rPr>
                <w:rFonts w:eastAsia="Arial"/>
                <w:sz w:val="24"/>
                <w:szCs w:val="24"/>
              </w:rPr>
              <w:t>5.2</w:t>
            </w:r>
            <w:r>
              <w:rPr>
                <w:rFonts w:eastAsia="Arial"/>
              </w:rPr>
              <w:fldChar w:fldCharType="end"/>
            </w:r>
            <w:r w:rsidR="007B6802">
              <w:rPr>
                <w:rFonts w:eastAsia="Arial"/>
                <w:sz w:val="24"/>
                <w:szCs w:val="24"/>
              </w:rPr>
              <w:t xml:space="preserve"> of this Schedule;</w:t>
            </w:r>
          </w:p>
        </w:tc>
      </w:tr>
      <w:tr w:rsidR="00C64F31" w14:paraId="2214D296" w14:textId="77777777" w:rsidTr="006D4EC7">
        <w:tc>
          <w:tcPr>
            <w:tcW w:w="3261" w:type="dxa"/>
          </w:tcPr>
          <w:p w14:paraId="3EE887DF"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sz w:val="24"/>
                <w:szCs w:val="24"/>
              </w:rPr>
            </w:pPr>
            <w:r>
              <w:rPr>
                <w:rFonts w:eastAsia="Arial"/>
                <w:b/>
                <w:sz w:val="24"/>
                <w:szCs w:val="24"/>
              </w:rPr>
              <w:t>“Rating Agencies”</w:t>
            </w:r>
          </w:p>
        </w:tc>
        <w:tc>
          <w:tcPr>
            <w:tcW w:w="4819" w:type="dxa"/>
          </w:tcPr>
          <w:p w14:paraId="79B14E46" w14:textId="1B4F6E29" w:rsidR="00C64F31" w:rsidRDefault="00C52A89"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t</w:t>
            </w:r>
            <w:r w:rsidR="007B6802">
              <w:rPr>
                <w:rFonts w:eastAsia="Arial"/>
                <w:sz w:val="24"/>
                <w:szCs w:val="24"/>
              </w:rPr>
              <w:t>he rating agencies listed in Annex 1 of this Schedule;</w:t>
            </w:r>
            <w:r w:rsidR="00D0206F">
              <w:rPr>
                <w:rFonts w:eastAsia="Arial"/>
                <w:sz w:val="24"/>
                <w:szCs w:val="24"/>
              </w:rPr>
              <w:t xml:space="preserve"> and</w:t>
            </w:r>
          </w:p>
        </w:tc>
      </w:tr>
      <w:tr w:rsidR="00C64F31" w14:paraId="0C8BF4D2" w14:textId="77777777" w:rsidTr="006D4EC7">
        <w:tc>
          <w:tcPr>
            <w:tcW w:w="3261" w:type="dxa"/>
          </w:tcPr>
          <w:p w14:paraId="13DF8169" w14:textId="77777777" w:rsidR="00C64F31" w:rsidRDefault="007B6802" w:rsidP="006126FB">
            <w:pPr>
              <w:pBdr>
                <w:top w:val="nil"/>
                <w:left w:val="nil"/>
                <w:bottom w:val="nil"/>
                <w:right w:val="nil"/>
                <w:between w:val="nil"/>
              </w:pBdr>
              <w:tabs>
                <w:tab w:val="left" w:pos="1134"/>
              </w:tabs>
              <w:spacing w:before="120" w:after="120"/>
              <w:ind w:left="644" w:hanging="644"/>
              <w:jc w:val="left"/>
              <w:rPr>
                <w:rFonts w:eastAsia="Arial"/>
                <w:b/>
                <w:sz w:val="24"/>
                <w:szCs w:val="24"/>
              </w:rPr>
            </w:pPr>
            <w:r>
              <w:rPr>
                <w:rFonts w:eastAsia="Arial"/>
                <w:b/>
                <w:sz w:val="24"/>
                <w:szCs w:val="24"/>
              </w:rPr>
              <w:t>“Strategic Supplier”</w:t>
            </w:r>
          </w:p>
        </w:tc>
        <w:tc>
          <w:tcPr>
            <w:tcW w:w="4819" w:type="dxa"/>
          </w:tcPr>
          <w:p w14:paraId="0074667A" w14:textId="5141D2F1" w:rsidR="00C64F31" w:rsidRDefault="007B6802" w:rsidP="006126FB">
            <w:pPr>
              <w:pBdr>
                <w:top w:val="nil"/>
                <w:left w:val="nil"/>
                <w:bottom w:val="nil"/>
                <w:right w:val="nil"/>
                <w:between w:val="nil"/>
              </w:pBdr>
              <w:tabs>
                <w:tab w:val="left" w:pos="1134"/>
              </w:tabs>
              <w:spacing w:before="120" w:after="120"/>
              <w:jc w:val="left"/>
              <w:rPr>
                <w:rFonts w:eastAsia="Arial"/>
                <w:sz w:val="24"/>
                <w:szCs w:val="24"/>
              </w:rPr>
            </w:pPr>
            <w:r>
              <w:rPr>
                <w:rFonts w:eastAsia="Arial"/>
                <w:sz w:val="24"/>
                <w:szCs w:val="24"/>
              </w:rPr>
              <w:t xml:space="preserve">those suppliers to government listed at </w:t>
            </w:r>
            <w:hyperlink r:id="rId12">
              <w:r>
                <w:rPr>
                  <w:rFonts w:eastAsia="Arial"/>
                  <w:sz w:val="24"/>
                  <w:szCs w:val="24"/>
                </w:rPr>
                <w:t>https://www.gov.uk/government/publications/strategic-suppliers</w:t>
              </w:r>
            </w:hyperlink>
            <w:r>
              <w:rPr>
                <w:rFonts w:eastAsia="Arial"/>
                <w:sz w:val="24"/>
                <w:szCs w:val="24"/>
              </w:rPr>
              <w:t>.</w:t>
            </w:r>
          </w:p>
        </w:tc>
      </w:tr>
    </w:tbl>
    <w:p w14:paraId="703BCCFE" w14:textId="77777777" w:rsidR="00C64F31"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Parties shall comply with the provisions of this Schedule in relation to the assessment of the financial standing of the FDE Group and the consequences of a change to that financial standing.</w:t>
      </w:r>
    </w:p>
    <w:p w14:paraId="41341429" w14:textId="77777777" w:rsidR="00C64F31" w:rsidRDefault="007B6802" w:rsidP="0040292F">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terms of this Schedule shall survive: </w:t>
      </w:r>
    </w:p>
    <w:p w14:paraId="05F6501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76AD5F05" w14:textId="4A930B50" w:rsidR="00C64F31" w:rsidRPr="006126FB"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under the Call-Off Contract until the termination or expiry of the Call-Off Contract.</w:t>
      </w:r>
    </w:p>
    <w:p w14:paraId="74232D5D"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1" w:name="_Ref190943798"/>
      <w:r>
        <w:rPr>
          <w:rFonts w:ascii="Arial Bold" w:eastAsia="Arial Bold" w:hAnsi="Arial Bold" w:cs="Arial Bold"/>
          <w:b/>
        </w:rPr>
        <w:t>Warranties and duty to notify</w:t>
      </w:r>
      <w:bookmarkEnd w:id="1"/>
    </w:p>
    <w:p w14:paraId="04902E04"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warrants and represents to the Relevant Authority for the benefit of the Relevant Authority that as at the Effective Date:</w:t>
      </w:r>
    </w:p>
    <w:p w14:paraId="2A421237"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the long term credit ratings issued for each entity in the FDE Group by each of the Rating Agencies are as set out in Annex 2 to this Schedule; and</w:t>
      </w:r>
    </w:p>
    <w:p w14:paraId="43C19BC0"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the financial position or, as appropriate, the financial performance of each of the Supplier, Guarantor and Key Sub-contractors satisfies the Financial Target Thresholds.</w:t>
      </w:r>
    </w:p>
    <w:p w14:paraId="7580F16F"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The Supplier shall promptly notify (or shall procure that its auditors promptly notify) the Relevant Authority in writing if there is any downgrade in the credit rating issued by any Rating Agency for any entity in the FDE </w:t>
      </w:r>
      <w:r>
        <w:rPr>
          <w:rFonts w:eastAsia="Arial"/>
        </w:rPr>
        <w:lastRenderedPageBreak/>
        <w:t>Group (and in any event within 5 Working Days of the occurrence of the downgrade).</w:t>
      </w:r>
    </w:p>
    <w:p w14:paraId="6EBB239C"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shall:</w:t>
      </w:r>
    </w:p>
    <w:p w14:paraId="1C52144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regularly monitor the credit ratings of each entity in the FDE Group with the Rating Agencies;</w:t>
      </w:r>
    </w:p>
    <w:p w14:paraId="13E0C455" w14:textId="31D1B08A"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2" w:name="_Ref190943528"/>
      <w:r>
        <w:rPr>
          <w:rFonts w:eastAsia="Arial"/>
        </w:rPr>
        <w:t xml:space="preserve">monitor and report on the Financial Indicators for each entity in the FDE Group against the Financial Target Thresholds at least at the frequency set out for each at Paragraph </w:t>
      </w:r>
      <w:r w:rsidR="0040292F">
        <w:rPr>
          <w:rFonts w:eastAsia="Arial"/>
        </w:rPr>
        <w:fldChar w:fldCharType="begin"/>
      </w:r>
      <w:r w:rsidR="0040292F">
        <w:rPr>
          <w:rFonts w:eastAsia="Arial"/>
        </w:rPr>
        <w:instrText xml:space="preserve"> REF _Ref190943385 \r \h </w:instrText>
      </w:r>
      <w:r w:rsidR="0040292F">
        <w:rPr>
          <w:rFonts w:eastAsia="Arial"/>
        </w:rPr>
      </w:r>
      <w:r w:rsidR="0040292F">
        <w:rPr>
          <w:rFonts w:eastAsia="Arial"/>
        </w:rPr>
        <w:fldChar w:fldCharType="separate"/>
      </w:r>
      <w:r w:rsidR="0040292F">
        <w:rPr>
          <w:rFonts w:eastAsia="Arial"/>
        </w:rPr>
        <w:t>5.1</w:t>
      </w:r>
      <w:r w:rsidR="0040292F">
        <w:rPr>
          <w:rFonts w:eastAsia="Arial"/>
        </w:rPr>
        <w:fldChar w:fldCharType="end"/>
      </w:r>
      <w:r>
        <w:rPr>
          <w:rFonts w:eastAsia="Arial"/>
        </w:rPr>
        <w:t xml:space="preserve"> (where specified) and in any event, on a regular basis and no less than once a year within </w:t>
      </w:r>
      <w:r w:rsidR="000C06AB">
        <w:rPr>
          <w:rFonts w:eastAsia="Arial"/>
        </w:rPr>
        <w:t xml:space="preserve">one hundred and twenty </w:t>
      </w:r>
      <w:r>
        <w:rPr>
          <w:rFonts w:eastAsia="Arial"/>
        </w:rPr>
        <w:t>(</w:t>
      </w:r>
      <w:r w:rsidR="000C06AB">
        <w:rPr>
          <w:rFonts w:eastAsia="Arial"/>
        </w:rPr>
        <w:t>120</w:t>
      </w:r>
      <w:r>
        <w:rPr>
          <w:rFonts w:eastAsia="Arial"/>
        </w:rPr>
        <w:t>) days after the Accounting Reference Date; and</w:t>
      </w:r>
      <w:bookmarkEnd w:id="2"/>
    </w:p>
    <w:p w14:paraId="30D8B0DE"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3" w:name="_Ref190943757"/>
      <w:r>
        <w:rPr>
          <w:rFonts w:eastAsia="Arial"/>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3"/>
    </w:p>
    <w:p w14:paraId="02BC52F9" w14:textId="76D309CD" w:rsidR="009C1927" w:rsidRPr="002576E8"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For the purposes of determining whether a Financial Distress Event has occurred pursuant to the provisions of </w:t>
      </w:r>
      <w:r w:rsidR="0040292F">
        <w:rPr>
          <w:rFonts w:eastAsia="Arial"/>
        </w:rPr>
        <w:t xml:space="preserve">Paragraph </w:t>
      </w:r>
      <w:r w:rsidR="0040292F">
        <w:rPr>
          <w:rFonts w:eastAsia="Arial"/>
        </w:rPr>
        <w:fldChar w:fldCharType="begin"/>
      </w:r>
      <w:r w:rsidR="0040292F">
        <w:rPr>
          <w:rFonts w:eastAsia="Arial"/>
        </w:rPr>
        <w:instrText xml:space="preserve"> REF _Ref190943489 \r \h </w:instrText>
      </w:r>
      <w:r w:rsidR="0040292F">
        <w:rPr>
          <w:rFonts w:eastAsia="Arial"/>
        </w:rPr>
      </w:r>
      <w:r w:rsidR="0040292F">
        <w:rPr>
          <w:rFonts w:eastAsia="Arial"/>
        </w:rPr>
        <w:fldChar w:fldCharType="separate"/>
      </w:r>
      <w:r w:rsidR="0040292F">
        <w:rPr>
          <w:rFonts w:eastAsia="Arial"/>
        </w:rPr>
        <w:t>3.1.1</w:t>
      </w:r>
      <w:r w:rsidR="0040292F">
        <w:rPr>
          <w:rFonts w:eastAsia="Arial"/>
        </w:rPr>
        <w:fldChar w:fldCharType="end"/>
      </w:r>
      <w:r>
        <w:rPr>
          <w:rFonts w:eastAsia="Arial"/>
        </w:rPr>
        <w:t xml:space="preserve">, and for the purposes of determining relief under Paragraph </w:t>
      </w:r>
      <w:r w:rsidR="0040292F">
        <w:rPr>
          <w:rFonts w:eastAsia="Arial"/>
        </w:rPr>
        <w:fldChar w:fldCharType="begin"/>
      </w:r>
      <w:r w:rsidR="0040292F">
        <w:rPr>
          <w:rFonts w:eastAsia="Arial"/>
        </w:rPr>
        <w:instrText xml:space="preserve"> REF _Ref190943500 \r \h </w:instrText>
      </w:r>
      <w:r w:rsidR="0040292F">
        <w:rPr>
          <w:rFonts w:eastAsia="Arial"/>
        </w:rPr>
      </w:r>
      <w:r w:rsidR="0040292F">
        <w:rPr>
          <w:rFonts w:eastAsia="Arial"/>
        </w:rPr>
        <w:fldChar w:fldCharType="separate"/>
      </w:r>
      <w:r w:rsidR="0040292F">
        <w:rPr>
          <w:rFonts w:eastAsia="Arial"/>
        </w:rPr>
        <w:t>7.1</w:t>
      </w:r>
      <w:r w:rsidR="0040292F">
        <w:rPr>
          <w:rFonts w:eastAsia="Arial"/>
        </w:rPr>
        <w:fldChar w:fldCharType="end"/>
      </w:r>
      <w:r>
        <w:rPr>
          <w:rFonts w:eastAsia="Arial"/>
        </w:rPr>
        <w:t xml:space="preserve">, the credit rating of an FDE Group </w:t>
      </w:r>
      <w:r w:rsidRPr="002576E8">
        <w:rPr>
          <w:rFonts w:eastAsia="Arial"/>
        </w:rPr>
        <w:t>entity shall be deemed to have dropped below the applicable Credit Rating Threshold if</w:t>
      </w:r>
      <w:r w:rsidR="009C1927" w:rsidRPr="002576E8">
        <w:rPr>
          <w:rFonts w:eastAsia="Arial"/>
        </w:rPr>
        <w:t>:</w:t>
      </w:r>
    </w:p>
    <w:p w14:paraId="04061323" w14:textId="0EC5B840" w:rsidR="00C64F31" w:rsidRPr="002576E8" w:rsidRDefault="007B6802" w:rsidP="006126FB">
      <w:pPr>
        <w:pStyle w:val="GPSL3numberedclause"/>
        <w:ind w:left="1985" w:hanging="851"/>
        <w:rPr>
          <w:rFonts w:eastAsia="Arial"/>
        </w:rPr>
      </w:pPr>
      <w:r w:rsidRPr="002576E8">
        <w:rPr>
          <w:rFonts w:eastAsia="Arial"/>
        </w:rPr>
        <w:t>any of the Rating Agencies have rated that entity at or below the applicable Credit Rating Threshold</w:t>
      </w:r>
      <w:r w:rsidR="002576E8">
        <w:rPr>
          <w:rFonts w:eastAsia="Arial"/>
        </w:rPr>
        <w:t>; or</w:t>
      </w:r>
    </w:p>
    <w:p w14:paraId="7818DB10" w14:textId="1CB777D7" w:rsidR="00E06007" w:rsidRPr="002576E8" w:rsidRDefault="00E06007" w:rsidP="006126FB">
      <w:pPr>
        <w:pStyle w:val="GPSL3numberedclause"/>
        <w:ind w:left="1985" w:hanging="851"/>
        <w:rPr>
          <w:rFonts w:eastAsia="Arial"/>
        </w:rPr>
      </w:pPr>
      <w:r w:rsidRPr="00DB546E">
        <w:rPr>
          <w:rFonts w:eastAsia="Arial"/>
        </w:rPr>
        <w:t xml:space="preserve">a Rating Agency that is specified as holding a Credit Rating for an entity as set out at Annex </w:t>
      </w:r>
      <w:r w:rsidRPr="00DB546E">
        <w:rPr>
          <w:rFonts w:eastAsia="Arial"/>
        </w:rPr>
        <w:fldChar w:fldCharType="begin"/>
      </w:r>
      <w:r w:rsidRPr="00DB546E">
        <w:rPr>
          <w:rFonts w:eastAsia="Arial"/>
        </w:rPr>
        <w:instrText xml:space="preserve"> REF ANNEX2_SCHEDULE18 \h  \* MERGEFORMAT </w:instrText>
      </w:r>
      <w:r w:rsidRPr="00DB546E">
        <w:rPr>
          <w:rFonts w:eastAsia="Arial"/>
        </w:rPr>
      </w:r>
      <w:r w:rsidRPr="00DB546E">
        <w:rPr>
          <w:rFonts w:eastAsia="Arial"/>
        </w:rPr>
        <w:fldChar w:fldCharType="separate"/>
      </w:r>
      <w:r w:rsidRPr="00DB546E">
        <w:rPr>
          <w:rFonts w:eastAsia="Arial"/>
        </w:rPr>
        <w:t>2</w:t>
      </w:r>
      <w:r w:rsidRPr="00DB546E">
        <w:rPr>
          <w:rFonts w:eastAsia="Arial"/>
        </w:rPr>
        <w:fldChar w:fldCharType="end"/>
      </w:r>
      <w:r w:rsidRPr="00DB546E">
        <w:rPr>
          <w:rFonts w:eastAsia="Arial"/>
        </w:rPr>
        <w:t xml:space="preserve"> of this Schedule ceases to hold a Credit Rating for that entity.</w:t>
      </w:r>
    </w:p>
    <w:p w14:paraId="6C98DB3D" w14:textId="4B898611"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sidRPr="002576E8">
        <w:rPr>
          <w:rFonts w:eastAsia="Arial"/>
        </w:rPr>
        <w:t>Each report submitted by the Supplier</w:t>
      </w:r>
      <w:r w:rsidR="0040292F">
        <w:rPr>
          <w:rFonts w:eastAsia="Arial"/>
        </w:rPr>
        <w:t xml:space="preserve"> pursuant to P</w:t>
      </w:r>
      <w:r>
        <w:rPr>
          <w:rFonts w:eastAsia="Arial"/>
        </w:rPr>
        <w:t xml:space="preserve">aragraph </w:t>
      </w:r>
      <w:r w:rsidR="0040292F">
        <w:rPr>
          <w:rFonts w:eastAsia="Arial"/>
        </w:rPr>
        <w:fldChar w:fldCharType="begin"/>
      </w:r>
      <w:r w:rsidR="0040292F">
        <w:rPr>
          <w:rFonts w:eastAsia="Arial"/>
        </w:rPr>
        <w:instrText xml:space="preserve"> REF _Ref190943528 \r \h </w:instrText>
      </w:r>
      <w:r w:rsidR="0040292F">
        <w:rPr>
          <w:rFonts w:eastAsia="Arial"/>
        </w:rPr>
      </w:r>
      <w:r w:rsidR="0040292F">
        <w:rPr>
          <w:rFonts w:eastAsia="Arial"/>
        </w:rPr>
        <w:fldChar w:fldCharType="separate"/>
      </w:r>
      <w:r w:rsidR="0040292F">
        <w:rPr>
          <w:rFonts w:eastAsia="Arial"/>
        </w:rPr>
        <w:t>2.3.2</w:t>
      </w:r>
      <w:r w:rsidR="0040292F">
        <w:rPr>
          <w:rFonts w:eastAsia="Arial"/>
        </w:rPr>
        <w:fldChar w:fldCharType="end"/>
      </w:r>
      <w:r>
        <w:rPr>
          <w:rFonts w:eastAsia="Arial"/>
        </w:rPr>
        <w:t xml:space="preserve"> shall:</w:t>
      </w:r>
    </w:p>
    <w:p w14:paraId="3F1F98B0"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be a single report with separate sections for each of the FDE Group entities;</w:t>
      </w:r>
    </w:p>
    <w:p w14:paraId="3A31769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contain a sufficient level of information to enable the Relevant Authority to verify the calculations that have been made in respect of the Financial Indicators;</w:t>
      </w:r>
    </w:p>
    <w:p w14:paraId="169EA8B1"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include key financial and other supporting information (including any accounts data that has been relied on) as separate annexes;</w:t>
      </w:r>
    </w:p>
    <w:p w14:paraId="5FBA461F"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820F97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lastRenderedPageBreak/>
        <w:t>include a history of the Financial Indicators reported by the Supplier in graph form to enable the Relevant Authority to easily analyse and assess the trends in financial performance.</w:t>
      </w:r>
    </w:p>
    <w:p w14:paraId="740F1AC7"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Financial Distress events</w:t>
      </w:r>
    </w:p>
    <w:p w14:paraId="0283284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4" w:name="_Ref190943416"/>
      <w:r>
        <w:rPr>
          <w:rFonts w:eastAsia="Arial"/>
        </w:rPr>
        <w:t>The following shall be Financial Distress Events:</w:t>
      </w:r>
      <w:bookmarkEnd w:id="4"/>
    </w:p>
    <w:p w14:paraId="7CABDEB6"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5" w:name="_Ref190943489"/>
      <w:r>
        <w:rPr>
          <w:rFonts w:eastAsia="Arial"/>
        </w:rPr>
        <w:t>the credit rating of an FDE Group entity dropping below the applicable Credit Rating Threshold;</w:t>
      </w:r>
      <w:bookmarkEnd w:id="5"/>
    </w:p>
    <w:p w14:paraId="688BE68D"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6" w:name="_Ref190943809"/>
      <w:r>
        <w:rPr>
          <w:rFonts w:eastAsia="Arial"/>
        </w:rPr>
        <w:t>an FDE Group entity issuing a profits warning to a stock exchange or making any other public announcement, in each case about a material deterioration in its financial position or prospects;</w:t>
      </w:r>
      <w:bookmarkEnd w:id="6"/>
    </w:p>
    <w:p w14:paraId="5A18987F"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there being a public investigation into improper financial accounting and reporting, suspected fraud or any other impropriety of an FDE Group entity;</w:t>
      </w:r>
    </w:p>
    <w:p w14:paraId="7C9F21D7"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an FDE Group entity committing a material breach of covenant to its lenders;</w:t>
      </w:r>
    </w:p>
    <w:p w14:paraId="7FE22FE9" w14:textId="77777777" w:rsidR="008A4F3B"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7" w:name="_Ref190943587"/>
      <w:r>
        <w:rPr>
          <w:rFonts w:eastAsia="Arial"/>
        </w:rPr>
        <w:t>a Key Sub-contractor notifying CCS or the Buyer that the Supplier has not satisfied any material sums properly due under a specified invoice and not subject to a genuine dispute;</w:t>
      </w:r>
      <w:bookmarkEnd w:id="7"/>
    </w:p>
    <w:p w14:paraId="2354F2C2" w14:textId="77777777" w:rsid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sidRPr="008A4F3B">
        <w:rPr>
          <w:rFonts w:eastAsia="Arial"/>
        </w:rPr>
        <w:t>any FDE Group entity extends the filing period for filing its accounts with the Registrar of Companies so that the filing period ends more than 9 months after its accounting reference date without an explanation to the Authority which the Authority (acting reasonably) considers to be adequate;</w:t>
      </w:r>
    </w:p>
    <w:p w14:paraId="0CF1D2B9" w14:textId="77777777" w:rsid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8" w:name="_Ref190943833"/>
      <w:r w:rsidRPr="008A4F3B">
        <w:rPr>
          <w:rFonts w:eastAsia="Arial"/>
        </w:rPr>
        <w:t>any FDE Group entity is late to file its annual accounts without a public notification or an explanation to the Authority which the Authority, acting reasonably, considers to be adequate;</w:t>
      </w:r>
      <w:bookmarkEnd w:id="8"/>
    </w:p>
    <w:p w14:paraId="342DB94E" w14:textId="77777777" w:rsidR="008A4F3B" w:rsidRPr="008A4F3B" w:rsidRDefault="008A4F3B"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sidRPr="008A4F3B">
        <w:rPr>
          <w:rFonts w:eastAsia="Arial"/>
        </w:rPr>
        <w:t>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14:paraId="592AC4B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any of the following:</w:t>
      </w:r>
    </w:p>
    <w:p w14:paraId="58C9A973" w14:textId="77777777" w:rsidR="008A4F3B" w:rsidRPr="00DB546E" w:rsidRDefault="008A4F3B" w:rsidP="006126FB">
      <w:pPr>
        <w:pStyle w:val="GPSL4numberedclause"/>
        <w:ind w:hanging="862"/>
        <w:rPr>
          <w:rFonts w:eastAsia="Times New Roman"/>
        </w:rPr>
      </w:pPr>
      <w:r w:rsidRPr="00BA56A1">
        <w:t>any FDE Group entity makes a public announcement which contains adverse commentary with regards to that FDE Group entity</w:t>
      </w:r>
      <w:r>
        <w:t>’</w:t>
      </w:r>
      <w:r w:rsidRPr="00BA56A1">
        <w:t xml:space="preserve">s liquidity and trading and trading prospects, such as but not limited to, a profit warning or ability </w:t>
      </w:r>
      <w:r w:rsidRPr="00190AA9">
        <w:t>to trade as a going concern;</w:t>
      </w:r>
    </w:p>
    <w:p w14:paraId="4B767C1D"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 xml:space="preserve">commencement of any litigation against an FDE Group entity with respect to financial indebtedness greater than £5m or obligations under a service contract with a total contract value greater than £5m; </w:t>
      </w:r>
    </w:p>
    <w:p w14:paraId="1B844E7C"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lastRenderedPageBreak/>
        <w:t>non-payment by an FDE Group entity of any financial indebtedness;</w:t>
      </w:r>
    </w:p>
    <w:p w14:paraId="3DC3BEBE"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any financial indebtedness of an FDE Group entity becoming due as a result of an event of default;</w:t>
      </w:r>
    </w:p>
    <w:p w14:paraId="197954BE" w14:textId="77777777" w:rsidR="00C64F31"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the cancellation or suspension of any financial indebtedness in respect of an FDE Group entity; or</w:t>
      </w:r>
    </w:p>
    <w:p w14:paraId="5EB4CF12" w14:textId="77777777" w:rsidR="00E06007" w:rsidRPr="008A4F3B" w:rsidRDefault="007B6802" w:rsidP="006126FB">
      <w:pPr>
        <w:numPr>
          <w:ilvl w:val="3"/>
          <w:numId w:val="2"/>
        </w:numPr>
        <w:pBdr>
          <w:top w:val="nil"/>
          <w:left w:val="nil"/>
          <w:bottom w:val="nil"/>
          <w:right w:val="nil"/>
          <w:between w:val="nil"/>
        </w:pBdr>
        <w:tabs>
          <w:tab w:val="left" w:pos="1985"/>
        </w:tabs>
        <w:spacing w:before="120" w:after="120"/>
        <w:ind w:hanging="862"/>
        <w:rPr>
          <w:rFonts w:eastAsia="Arial"/>
        </w:rPr>
      </w:pPr>
      <w:r>
        <w:rPr>
          <w:rFonts w:eastAsia="Arial"/>
        </w:rPr>
        <w:t>the external auditor of an FDE Group entity expressing a qualified opinion on, or including an emphasis of matter in, its opinion on the statutory accounts of that FDE entity;</w:t>
      </w:r>
    </w:p>
    <w:p w14:paraId="5978BB68" w14:textId="77777777" w:rsidR="00C64F31" w:rsidRDefault="007B6802" w:rsidP="006126FB">
      <w:pPr>
        <w:pBdr>
          <w:top w:val="nil"/>
          <w:left w:val="nil"/>
          <w:bottom w:val="nil"/>
          <w:right w:val="nil"/>
          <w:between w:val="nil"/>
        </w:pBdr>
        <w:tabs>
          <w:tab w:val="left" w:pos="1985"/>
        </w:tabs>
        <w:spacing w:before="120" w:after="120"/>
        <w:ind w:left="1985"/>
        <w:rPr>
          <w:rFonts w:eastAsia="Arial"/>
        </w:rPr>
      </w:pPr>
      <w:r>
        <w:rPr>
          <w:rFonts w:eastAsia="Arial"/>
        </w:rPr>
        <w:t>in each case which the Relevant Authority reasonably believes (or would be likely reasonably to believe) could directly impact on the continued performance and delivery of the Deliverables in accordance with the Contract; and</w:t>
      </w:r>
    </w:p>
    <w:p w14:paraId="07BA64C5" w14:textId="3CA034CA"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cs="Calibri"/>
          <w:b/>
        </w:rPr>
      </w:pPr>
      <w:r>
        <w:rPr>
          <w:rFonts w:eastAsia="Arial"/>
        </w:rPr>
        <w:t xml:space="preserve">any of the Financial Indicators set out at Paragraph </w:t>
      </w:r>
      <w:r w:rsidR="0040292F">
        <w:rPr>
          <w:rFonts w:eastAsia="Arial"/>
        </w:rPr>
        <w:fldChar w:fldCharType="begin"/>
      </w:r>
      <w:r w:rsidR="0040292F">
        <w:rPr>
          <w:rFonts w:eastAsia="Arial"/>
        </w:rPr>
        <w:instrText xml:space="preserve"> REF _Ref190943549 \r \h </w:instrText>
      </w:r>
      <w:r w:rsidR="0040292F">
        <w:rPr>
          <w:rFonts w:eastAsia="Arial"/>
        </w:rPr>
      </w:r>
      <w:r w:rsidR="0040292F">
        <w:rPr>
          <w:rFonts w:eastAsia="Arial"/>
        </w:rPr>
        <w:fldChar w:fldCharType="separate"/>
      </w:r>
      <w:r w:rsidR="0040292F">
        <w:rPr>
          <w:rFonts w:eastAsia="Arial"/>
        </w:rPr>
        <w:t>5</w:t>
      </w:r>
      <w:r w:rsidR="0040292F">
        <w:rPr>
          <w:rFonts w:eastAsia="Arial"/>
        </w:rPr>
        <w:fldChar w:fldCharType="end"/>
      </w:r>
      <w:r>
        <w:rPr>
          <w:rFonts w:eastAsia="Arial"/>
        </w:rPr>
        <w:t xml:space="preserve"> for any of the FDE Group entities failing to meet the required Financial Target Threshold.</w:t>
      </w:r>
    </w:p>
    <w:p w14:paraId="14B880D5"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smallCaps/>
        </w:rPr>
      </w:pPr>
      <w:r>
        <w:rPr>
          <w:rFonts w:ascii="Arial Bold" w:eastAsia="Arial Bold" w:hAnsi="Arial Bold" w:cs="Arial Bold"/>
          <w:b/>
        </w:rPr>
        <w:t>Consequences</w:t>
      </w:r>
      <w:r>
        <w:rPr>
          <w:rFonts w:ascii="Arial Bold" w:eastAsia="Arial Bold" w:hAnsi="Arial Bold" w:cs="Arial Bold"/>
        </w:rPr>
        <w:t xml:space="preserve"> of Financial Distress Events</w:t>
      </w:r>
    </w:p>
    <w:p w14:paraId="053325C1" w14:textId="3E7FDA74"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9" w:name="_Ref190943680"/>
      <w:r>
        <w:rPr>
          <w:rFonts w:eastAsia="Arial"/>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40292F">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40292F">
        <w:rPr>
          <w:rFonts w:eastAsia="Arial"/>
        </w:rPr>
        <w:t>4.6</w:t>
      </w:r>
      <w:r w:rsidR="0040292F">
        <w:rPr>
          <w:rFonts w:eastAsia="Arial"/>
        </w:rPr>
        <w:fldChar w:fldCharType="end"/>
      </w:r>
      <w:r>
        <w:rPr>
          <w:rFonts w:eastAsia="Arial"/>
        </w:rPr>
        <w:t>.</w:t>
      </w:r>
      <w:bookmarkEnd w:id="9"/>
    </w:p>
    <w:p w14:paraId="163BFD56" w14:textId="0DA6232D"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 xml:space="preserve">In the event of a late or non-payment of a Key Sub-contractor pursuant to Paragraph </w:t>
      </w:r>
      <w:r w:rsidR="0040292F">
        <w:rPr>
          <w:rFonts w:eastAsia="Arial"/>
        </w:rPr>
        <w:fldChar w:fldCharType="begin"/>
      </w:r>
      <w:r w:rsidR="0040292F">
        <w:rPr>
          <w:rFonts w:eastAsia="Arial"/>
        </w:rPr>
        <w:instrText xml:space="preserve"> REF _Ref190943587 \r \h </w:instrText>
      </w:r>
      <w:r w:rsidR="0040292F">
        <w:rPr>
          <w:rFonts w:eastAsia="Arial"/>
        </w:rPr>
      </w:r>
      <w:r w:rsidR="0040292F">
        <w:rPr>
          <w:rFonts w:eastAsia="Arial"/>
        </w:rPr>
        <w:fldChar w:fldCharType="separate"/>
      </w:r>
      <w:r w:rsidR="0040292F">
        <w:rPr>
          <w:rFonts w:eastAsia="Arial"/>
        </w:rPr>
        <w:t>3.1.5</w:t>
      </w:r>
      <w:r w:rsidR="0040292F">
        <w:rPr>
          <w:rFonts w:eastAsia="Arial"/>
        </w:rPr>
        <w:fldChar w:fldCharType="end"/>
      </w:r>
      <w:r>
        <w:rPr>
          <w:rFonts w:eastAsia="Arial"/>
        </w:rPr>
        <w:t xml:space="preserve">, the Relevant Authority shall not exercise any of its rights or remedies under Paragraph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40292F">
        <w:rPr>
          <w:rFonts w:eastAsia="Arial"/>
        </w:rPr>
        <w:t>4.3</w:t>
      </w:r>
      <w:r w:rsidR="0040292F">
        <w:rPr>
          <w:rFonts w:eastAsia="Arial"/>
        </w:rPr>
        <w:fldChar w:fldCharType="end"/>
      </w:r>
      <w:r>
        <w:rPr>
          <w:rFonts w:eastAsia="Arial"/>
        </w:rPr>
        <w:t xml:space="preserve"> without first giving the Supplier 10 Working Days to:</w:t>
      </w:r>
    </w:p>
    <w:p w14:paraId="167283C4"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rectify such late or non-payment; or</w:t>
      </w:r>
    </w:p>
    <w:p w14:paraId="4235C088"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demonstrate to the Relevant Authority’s reasonable satisfaction that there is a valid reason for late or non-payment.</w:t>
      </w:r>
    </w:p>
    <w:p w14:paraId="23280271" w14:textId="77777777"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bookmarkStart w:id="10" w:name="_Ref190943562"/>
      <w:r>
        <w:rPr>
          <w:rFonts w:eastAsia="Arial"/>
        </w:rPr>
        <w:t>The Supplier shall (and shall procure that any Monitored Supplier, the Guarantor and/or any relevant Key Sub-contractor shall):</w:t>
      </w:r>
      <w:bookmarkEnd w:id="10"/>
    </w:p>
    <w:p w14:paraId="50F26524"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1" w:name="_Ref190943610"/>
      <w:r>
        <w:rPr>
          <w:rFonts w:eastAsia="Arial"/>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bookmarkEnd w:id="11"/>
    </w:p>
    <w:p w14:paraId="7E1F09D7" w14:textId="24A53A12"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where the Relevant Authority reasonably believes (taking into account the discussions and any representations made under Paragraph </w:t>
      </w:r>
      <w:r w:rsidR="0040292F">
        <w:rPr>
          <w:rFonts w:eastAsia="Arial"/>
        </w:rPr>
        <w:fldChar w:fldCharType="begin"/>
      </w:r>
      <w:r w:rsidR="0040292F">
        <w:rPr>
          <w:rFonts w:eastAsia="Arial"/>
        </w:rPr>
        <w:instrText xml:space="preserve"> REF _Ref190943610 \r \h </w:instrText>
      </w:r>
      <w:r w:rsidR="0040292F">
        <w:rPr>
          <w:rFonts w:eastAsia="Arial"/>
        </w:rPr>
      </w:r>
      <w:r w:rsidR="0040292F">
        <w:rPr>
          <w:rFonts w:eastAsia="Arial"/>
        </w:rPr>
        <w:fldChar w:fldCharType="separate"/>
      </w:r>
      <w:r w:rsidR="0040292F">
        <w:rPr>
          <w:rFonts w:eastAsia="Arial"/>
        </w:rPr>
        <w:t>4.3.1</w:t>
      </w:r>
      <w:r w:rsidR="0040292F">
        <w:rPr>
          <w:rFonts w:eastAsia="Arial"/>
        </w:rPr>
        <w:fldChar w:fldCharType="end"/>
      </w:r>
      <w:r>
        <w:rPr>
          <w:rFonts w:eastAsia="Arial"/>
        </w:rPr>
        <w:t>) that the Financial Distress Event could impact on the continued performance and delivery of the Deliverables in accordance with the Contract:</w:t>
      </w:r>
    </w:p>
    <w:p w14:paraId="07C96F4D" w14:textId="77777777" w:rsidR="00C64F31" w:rsidRDefault="007B6802" w:rsidP="006126FB">
      <w:pPr>
        <w:numPr>
          <w:ilvl w:val="3"/>
          <w:numId w:val="2"/>
        </w:numPr>
        <w:pBdr>
          <w:top w:val="nil"/>
          <w:left w:val="nil"/>
          <w:bottom w:val="nil"/>
          <w:right w:val="nil"/>
          <w:between w:val="nil"/>
        </w:pBdr>
        <w:tabs>
          <w:tab w:val="left" w:pos="2835"/>
        </w:tabs>
        <w:spacing w:before="120" w:after="120"/>
        <w:ind w:left="2835" w:hanging="850"/>
        <w:rPr>
          <w:rFonts w:eastAsia="Arial"/>
        </w:rPr>
      </w:pPr>
      <w:r>
        <w:rPr>
          <w:rFonts w:eastAsia="Arial"/>
        </w:rPr>
        <w:lastRenderedPageBreak/>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55BF898E" w14:textId="20759688" w:rsidR="00C64F31" w:rsidRDefault="007B6802" w:rsidP="006126FB">
      <w:pPr>
        <w:numPr>
          <w:ilvl w:val="3"/>
          <w:numId w:val="2"/>
        </w:numPr>
        <w:pBdr>
          <w:top w:val="nil"/>
          <w:left w:val="nil"/>
          <w:bottom w:val="nil"/>
          <w:right w:val="nil"/>
          <w:between w:val="nil"/>
        </w:pBdr>
        <w:tabs>
          <w:tab w:val="left" w:pos="2835"/>
        </w:tabs>
        <w:spacing w:before="120" w:after="120"/>
        <w:ind w:left="2835" w:hanging="850"/>
        <w:rPr>
          <w:rFonts w:eastAsia="Arial"/>
        </w:rPr>
      </w:pPr>
      <w:bookmarkStart w:id="12" w:name="_Ref190943718"/>
      <w:r>
        <w:rPr>
          <w:rFonts w:eastAsia="Arial"/>
        </w:rPr>
        <w:t xml:space="preserve">to the extent that it is legally permitted to do so and subject to Paragraph </w:t>
      </w:r>
      <w:r w:rsidR="0040292F">
        <w:rPr>
          <w:rFonts w:eastAsia="Arial"/>
        </w:rPr>
        <w:fldChar w:fldCharType="begin"/>
      </w:r>
      <w:r w:rsidR="0040292F">
        <w:rPr>
          <w:rFonts w:eastAsia="Arial"/>
        </w:rPr>
        <w:instrText xml:space="preserve"> REF _Ref190943619 \r \h </w:instrText>
      </w:r>
      <w:r w:rsidR="0040292F">
        <w:rPr>
          <w:rFonts w:eastAsia="Arial"/>
        </w:rPr>
      </w:r>
      <w:r w:rsidR="0040292F">
        <w:rPr>
          <w:rFonts w:eastAsia="Arial"/>
        </w:rPr>
        <w:fldChar w:fldCharType="separate"/>
      </w:r>
      <w:r w:rsidR="0040292F">
        <w:rPr>
          <w:rFonts w:eastAsia="Arial"/>
        </w:rPr>
        <w:t>4.8</w:t>
      </w:r>
      <w:r w:rsidR="0040292F">
        <w:rPr>
          <w:rFonts w:eastAsia="Arial"/>
        </w:rPr>
        <w:fldChar w:fldCharType="end"/>
      </w:r>
      <w:r>
        <w:rPr>
          <w:rFonts w:eastAsia="Arial"/>
        </w:rPr>
        <w:t>,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bookmarkEnd w:id="12"/>
    </w:p>
    <w:p w14:paraId="300CE959" w14:textId="61CE234E"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3" w:name="_Ref190943665"/>
      <w:r>
        <w:rPr>
          <w:rFonts w:eastAsia="Arial"/>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w:t>
      </w:r>
      <w:r w:rsidR="007113AF">
        <w:rPr>
          <w:rFonts w:eastAsia="Arial"/>
        </w:rPr>
        <w:t>8</w:t>
      </w:r>
      <w:r>
        <w:rPr>
          <w:rFonts w:eastAsia="Arial"/>
        </w:rPr>
        <w:t xml:space="preserve"> </w:t>
      </w:r>
      <w:r w:rsidR="009152D9" w:rsidRPr="009152D9">
        <w:rPr>
          <w:rFonts w:eastAsia="Arial"/>
          <w:i/>
        </w:rPr>
        <w:t>(Resolving disputes)</w:t>
      </w:r>
      <w:r w:rsidR="009152D9">
        <w:rPr>
          <w:rFonts w:eastAsia="Arial"/>
        </w:rPr>
        <w:t xml:space="preserve"> </w:t>
      </w:r>
      <w:r>
        <w:rPr>
          <w:rFonts w:eastAsia="Arial"/>
        </w:rPr>
        <w:t xml:space="preserve">of the </w:t>
      </w:r>
      <w:r w:rsidR="00EF154A">
        <w:rPr>
          <w:rFonts w:eastAsia="Arial"/>
        </w:rPr>
        <w:t xml:space="preserve">General </w:t>
      </w:r>
      <w:r>
        <w:rPr>
          <w:rFonts w:eastAsia="Arial"/>
        </w:rPr>
        <w:t xml:space="preserve">Terms under Paragraph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40292F">
        <w:rPr>
          <w:rFonts w:eastAsia="Arial"/>
        </w:rPr>
        <w:t>4.5</w:t>
      </w:r>
      <w:r w:rsidR="0040292F">
        <w:rPr>
          <w:rFonts w:eastAsia="Arial"/>
        </w:rPr>
        <w:fldChar w:fldCharType="end"/>
      </w:r>
      <w:r>
        <w:rPr>
          <w:rFonts w:eastAsia="Arial"/>
        </w:rPr>
        <w:t>.</w:t>
      </w:r>
      <w:bookmarkEnd w:id="13"/>
    </w:p>
    <w:p w14:paraId="7A60D039" w14:textId="29741929"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4" w:name="_Ref190943637"/>
      <w:r>
        <w:rPr>
          <w:rFonts w:eastAsia="Arial"/>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w:t>
      </w:r>
      <w:r w:rsidR="007113AF">
        <w:rPr>
          <w:rFonts w:eastAsia="Arial"/>
        </w:rPr>
        <w:t>8</w:t>
      </w:r>
      <w:r>
        <w:rPr>
          <w:rFonts w:eastAsia="Arial"/>
        </w:rPr>
        <w:t xml:space="preserve"> </w:t>
      </w:r>
      <w:r w:rsidR="009152D9" w:rsidRPr="009152D9">
        <w:rPr>
          <w:rFonts w:eastAsia="Arial"/>
          <w:i/>
        </w:rPr>
        <w:t>(Resolving disputes)</w:t>
      </w:r>
      <w:r w:rsidR="009152D9">
        <w:rPr>
          <w:rFonts w:eastAsia="Arial"/>
        </w:rPr>
        <w:t xml:space="preserve"> </w:t>
      </w:r>
      <w:r>
        <w:rPr>
          <w:rFonts w:eastAsia="Arial"/>
        </w:rPr>
        <w:t xml:space="preserve">of the </w:t>
      </w:r>
      <w:r w:rsidR="00EF154A">
        <w:rPr>
          <w:rFonts w:eastAsia="Arial"/>
        </w:rPr>
        <w:t xml:space="preserve">General </w:t>
      </w:r>
      <w:r>
        <w:rPr>
          <w:rFonts w:eastAsia="Arial"/>
        </w:rPr>
        <w:t>Terms.</w:t>
      </w:r>
      <w:bookmarkEnd w:id="14"/>
    </w:p>
    <w:p w14:paraId="6F21133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15" w:name="_Ref190943568"/>
      <w:r>
        <w:rPr>
          <w:rFonts w:eastAsia="Arial"/>
        </w:rPr>
        <w:t>Following approval of the Financial Distress Remediation Plan by the Relevant Authority, the Supplier shall:</w:t>
      </w:r>
      <w:bookmarkEnd w:id="15"/>
    </w:p>
    <w:p w14:paraId="62EA1BA3"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6" w:name="_Ref190943657"/>
      <w:r>
        <w:rPr>
          <w:rFonts w:eastAsia="Arial"/>
        </w:rPr>
        <w:t>on a regular basis (which shall not be less than fortnightly):</w:t>
      </w:r>
      <w:bookmarkEnd w:id="16"/>
    </w:p>
    <w:p w14:paraId="4A331827" w14:textId="2710DB3F" w:rsidR="00C64F31" w:rsidRDefault="007B6802" w:rsidP="006126FB">
      <w:pPr>
        <w:numPr>
          <w:ilvl w:val="3"/>
          <w:numId w:val="2"/>
        </w:numPr>
        <w:pBdr>
          <w:top w:val="nil"/>
          <w:left w:val="nil"/>
          <w:bottom w:val="nil"/>
          <w:right w:val="nil"/>
          <w:between w:val="nil"/>
        </w:pBdr>
        <w:tabs>
          <w:tab w:val="left" w:pos="1985"/>
        </w:tabs>
        <w:spacing w:before="120" w:after="120"/>
        <w:ind w:left="2835" w:hanging="850"/>
        <w:rPr>
          <w:rFonts w:eastAsia="Arial"/>
        </w:rPr>
      </w:pPr>
      <w:r>
        <w:rPr>
          <w:rFonts w:eastAsia="Arial"/>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w:t>
      </w:r>
      <w:r w:rsidR="0040292F">
        <w:rPr>
          <w:rFonts w:eastAsia="Arial"/>
        </w:rPr>
        <w:t>verables in accordance with the</w:t>
      </w:r>
      <w:r>
        <w:rPr>
          <w:rFonts w:eastAsia="Arial"/>
        </w:rPr>
        <w:t xml:space="preserve"> Contract; and</w:t>
      </w:r>
    </w:p>
    <w:p w14:paraId="25326523" w14:textId="77777777" w:rsidR="00C64F31" w:rsidRDefault="007B6802" w:rsidP="006126FB">
      <w:pPr>
        <w:numPr>
          <w:ilvl w:val="3"/>
          <w:numId w:val="2"/>
        </w:numPr>
        <w:pBdr>
          <w:top w:val="nil"/>
          <w:left w:val="nil"/>
          <w:bottom w:val="nil"/>
          <w:right w:val="nil"/>
          <w:between w:val="nil"/>
        </w:pBdr>
        <w:tabs>
          <w:tab w:val="left" w:pos="1985"/>
        </w:tabs>
        <w:spacing w:before="120" w:after="120"/>
        <w:ind w:left="2835" w:hanging="850"/>
        <w:rPr>
          <w:rFonts w:eastAsia="Arial"/>
        </w:rPr>
      </w:pPr>
      <w:r>
        <w:rPr>
          <w:rFonts w:eastAsia="Arial"/>
        </w:rPr>
        <w:t xml:space="preserve">provide a written report to the Relevant Authority setting out its progress against the Financial Distress Remediation </w:t>
      </w:r>
      <w:r>
        <w:rPr>
          <w:rFonts w:eastAsia="Arial"/>
        </w:rPr>
        <w:lastRenderedPageBreak/>
        <w:t>Plan, the reasons for any changes made to the Financial Distress Remediation Plan by the Supplier and/or the reasons why the Supplier may have decided not to make any changes;</w:t>
      </w:r>
    </w:p>
    <w:p w14:paraId="195EC8CF" w14:textId="48B9A798"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where updates are made to the Financial Distress Remediation Plan in accordance with Paragraph </w:t>
      </w:r>
      <w:r w:rsidR="0040292F">
        <w:rPr>
          <w:rFonts w:eastAsia="Arial"/>
        </w:rPr>
        <w:fldChar w:fldCharType="begin"/>
      </w:r>
      <w:r w:rsidR="0040292F">
        <w:rPr>
          <w:rFonts w:eastAsia="Arial"/>
        </w:rPr>
        <w:instrText xml:space="preserve"> REF _Ref190943657 \r \h </w:instrText>
      </w:r>
      <w:r w:rsidR="0040292F">
        <w:rPr>
          <w:rFonts w:eastAsia="Arial"/>
        </w:rPr>
      </w:r>
      <w:r w:rsidR="0040292F">
        <w:rPr>
          <w:rFonts w:eastAsia="Arial"/>
        </w:rPr>
        <w:fldChar w:fldCharType="separate"/>
      </w:r>
      <w:r w:rsidR="0040292F">
        <w:rPr>
          <w:rFonts w:eastAsia="Arial"/>
        </w:rPr>
        <w:t>4.6.1</w:t>
      </w:r>
      <w:r w:rsidR="0040292F">
        <w:rPr>
          <w:rFonts w:eastAsia="Arial"/>
        </w:rPr>
        <w:fldChar w:fldCharType="end"/>
      </w:r>
      <w:r>
        <w:rPr>
          <w:rFonts w:eastAsia="Arial"/>
        </w:rPr>
        <w:t xml:space="preserve">, submit an updated Financial Distress Remediation Plan to the Relevant Authority for its approval, and the provisions of Paragraphs </w:t>
      </w:r>
      <w:r w:rsidR="0040292F">
        <w:rPr>
          <w:rFonts w:eastAsia="Arial"/>
        </w:rPr>
        <w:fldChar w:fldCharType="begin"/>
      </w:r>
      <w:r w:rsidR="0040292F">
        <w:rPr>
          <w:rFonts w:eastAsia="Arial"/>
        </w:rPr>
        <w:instrText xml:space="preserve"> REF _Ref190943665 \r \h </w:instrText>
      </w:r>
      <w:r w:rsidR="0040292F">
        <w:rPr>
          <w:rFonts w:eastAsia="Arial"/>
        </w:rPr>
      </w:r>
      <w:r w:rsidR="0040292F">
        <w:rPr>
          <w:rFonts w:eastAsia="Arial"/>
        </w:rPr>
        <w:fldChar w:fldCharType="separate"/>
      </w:r>
      <w:r w:rsidR="0040292F">
        <w:rPr>
          <w:rFonts w:eastAsia="Arial"/>
        </w:rPr>
        <w:t>4.4</w:t>
      </w:r>
      <w:r w:rsidR="0040292F">
        <w:rPr>
          <w:rFonts w:eastAsia="Arial"/>
        </w:rPr>
        <w:fldChar w:fldCharType="end"/>
      </w:r>
      <w:r>
        <w:rPr>
          <w:rFonts w:eastAsia="Arial"/>
        </w:rPr>
        <w:t xml:space="preserve"> and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40292F">
        <w:rPr>
          <w:rFonts w:eastAsia="Arial"/>
        </w:rPr>
        <w:t>4.5</w:t>
      </w:r>
      <w:r w:rsidR="0040292F">
        <w:rPr>
          <w:rFonts w:eastAsia="Arial"/>
        </w:rPr>
        <w:fldChar w:fldCharType="end"/>
      </w:r>
      <w:r>
        <w:rPr>
          <w:rFonts w:eastAsia="Arial"/>
        </w:rPr>
        <w:t xml:space="preserve"> shall apply to the review and approval process for the updated Financial Distress Remediation Plan; and</w:t>
      </w:r>
    </w:p>
    <w:p w14:paraId="644A5F8D"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bookmarkStart w:id="17" w:name="_Ref190943784"/>
      <w:r>
        <w:rPr>
          <w:rFonts w:eastAsia="Arial"/>
        </w:rPr>
        <w:t>comply with the Financial Distress Remediation Plan (including any updated Financial Distress Remediation Plan) and ensure that it achieves the financial and performance requirements set out in the Financial Distress Remediation Plan.</w:t>
      </w:r>
      <w:bookmarkEnd w:id="17"/>
    </w:p>
    <w:p w14:paraId="14408076" w14:textId="2ACC55A8"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r>
        <w:rPr>
          <w:rFonts w:eastAsia="Arial"/>
        </w:rPr>
        <w:t xml:space="preserve">Where the Supplier reasonably believes that the relevant Financial Distress Event under Paragraph </w:t>
      </w:r>
      <w:r w:rsidR="0040292F">
        <w:rPr>
          <w:rFonts w:eastAsia="Arial"/>
        </w:rPr>
        <w:fldChar w:fldCharType="begin"/>
      </w:r>
      <w:r w:rsidR="0040292F">
        <w:rPr>
          <w:rFonts w:eastAsia="Arial"/>
        </w:rPr>
        <w:instrText xml:space="preserve"> REF _Ref190943680 \r \h </w:instrText>
      </w:r>
      <w:r w:rsidR="0040292F">
        <w:rPr>
          <w:rFonts w:eastAsia="Arial"/>
        </w:rPr>
      </w:r>
      <w:r w:rsidR="0040292F">
        <w:rPr>
          <w:rFonts w:eastAsia="Arial"/>
        </w:rPr>
        <w:fldChar w:fldCharType="separate"/>
      </w:r>
      <w:r w:rsidR="0040292F">
        <w:rPr>
          <w:rFonts w:eastAsia="Arial"/>
        </w:rPr>
        <w:t>4.1</w:t>
      </w:r>
      <w:r w:rsidR="0040292F">
        <w:rPr>
          <w:rFonts w:eastAsia="Arial"/>
        </w:rPr>
        <w:fldChar w:fldCharType="end"/>
      </w:r>
      <w:r>
        <w:rPr>
          <w:rFonts w:eastAsia="Arial"/>
        </w:rPr>
        <w:t xml:space="preserve"> (or the circumstance or matter which has caused or otherwise led to it) no longer exists, it shall notify the Relevant Authority and the Parties may agree that the Supplier shall be relieved of its obligations under Paragraph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40292F">
        <w:rPr>
          <w:rFonts w:eastAsia="Arial"/>
        </w:rPr>
        <w:t>4.6</w:t>
      </w:r>
      <w:r w:rsidR="0040292F">
        <w:rPr>
          <w:rFonts w:eastAsia="Arial"/>
        </w:rPr>
        <w:fldChar w:fldCharType="end"/>
      </w:r>
      <w:r>
        <w:rPr>
          <w:rFonts w:eastAsia="Arial"/>
        </w:rPr>
        <w:t>.</w:t>
      </w:r>
    </w:p>
    <w:p w14:paraId="098CF959" w14:textId="734D6CE0" w:rsidR="00C64F31" w:rsidRDefault="007B6802" w:rsidP="006126FB">
      <w:pPr>
        <w:numPr>
          <w:ilvl w:val="1"/>
          <w:numId w:val="2"/>
        </w:numPr>
        <w:pBdr>
          <w:top w:val="nil"/>
          <w:left w:val="nil"/>
          <w:bottom w:val="nil"/>
          <w:right w:val="nil"/>
          <w:between w:val="nil"/>
        </w:pBdr>
        <w:tabs>
          <w:tab w:val="left" w:pos="1276"/>
        </w:tabs>
        <w:spacing w:before="120" w:after="120"/>
        <w:ind w:left="1134" w:hanging="708"/>
        <w:jc w:val="left"/>
        <w:rPr>
          <w:rFonts w:eastAsia="Arial"/>
        </w:rPr>
      </w:pPr>
      <w:bookmarkStart w:id="18" w:name="_Ref190943619"/>
      <w:r>
        <w:rPr>
          <w:rFonts w:eastAsia="Arial"/>
        </w:rPr>
        <w:t>The Supplier shall use reasonable endeavours to put in place the necessary measures to ensure tha</w:t>
      </w:r>
      <w:r w:rsidR="0040292F">
        <w:rPr>
          <w:rFonts w:eastAsia="Arial"/>
        </w:rPr>
        <w:t>t the information specified at P</w:t>
      </w:r>
      <w:r>
        <w:rPr>
          <w:rFonts w:eastAsia="Arial"/>
        </w:rPr>
        <w:t xml:space="preserve">aragraph </w:t>
      </w:r>
      <w:r w:rsidR="0040292F">
        <w:rPr>
          <w:rFonts w:eastAsia="Arial"/>
        </w:rPr>
        <w:fldChar w:fldCharType="begin"/>
      </w:r>
      <w:r w:rsidR="0040292F">
        <w:rPr>
          <w:rFonts w:eastAsia="Arial"/>
        </w:rPr>
        <w:instrText xml:space="preserve"> REF _Ref190943718 \r \h </w:instrText>
      </w:r>
      <w:r w:rsidR="0040292F">
        <w:rPr>
          <w:rFonts w:eastAsia="Arial"/>
        </w:rPr>
      </w:r>
      <w:r w:rsidR="0040292F">
        <w:rPr>
          <w:rFonts w:eastAsia="Arial"/>
        </w:rPr>
        <w:fldChar w:fldCharType="separate"/>
      </w:r>
      <w:r w:rsidR="0040292F">
        <w:rPr>
          <w:rFonts w:eastAsia="Arial"/>
        </w:rPr>
        <w:t>4.3.2(b)</w:t>
      </w:r>
      <w:r w:rsidR="0040292F">
        <w:rPr>
          <w:rFonts w:eastAsia="Arial"/>
        </w:rPr>
        <w:fldChar w:fldCharType="end"/>
      </w:r>
      <w:r>
        <w:rPr>
          <w:rFonts w:eastAsia="Arial"/>
        </w:rPr>
        <w:t xml:space="preserve"> is available when required and on request from the Relevant Authority and within reasonable timescales. Such measures may include:</w:t>
      </w:r>
      <w:bookmarkEnd w:id="18"/>
    </w:p>
    <w:p w14:paraId="004693F1"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obtaining in advance written authority from Key Sub-contractors, the Guarantor and/or Monitored Suppliers authorising the disclosure of the information to the Buyer and/or entering into confidentiality agreements which permit disclosure;</w:t>
      </w:r>
    </w:p>
    <w:p w14:paraId="2EA63867"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agreeing in advance with the Relevant Authority, Key Sub-contractors, the Guarantor and/or Monitored Suppliers a form of confidentiality agreement to be entered by the relevant parties to enable the disclosure of the information to the Relevant Authority;</w:t>
      </w:r>
    </w:p>
    <w:p w14:paraId="39CE9592"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54CD536" w14:textId="77777777" w:rsidR="00C64F31" w:rsidRDefault="007B6802" w:rsidP="006126FB">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disclosing the information to the fullest extent that it is lawfully entitled to do so, including through the use of redaction, anonymisation and any other techniques to permit disclosure of the information without breaching a duty of confidentiality.</w:t>
      </w:r>
    </w:p>
    <w:p w14:paraId="2F9C43EC"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19" w:name="_Ref190943549"/>
      <w:r>
        <w:rPr>
          <w:rFonts w:ascii="Arial Bold" w:eastAsia="Arial Bold" w:hAnsi="Arial Bold" w:cs="Arial Bold"/>
          <w:b/>
        </w:rPr>
        <w:t>Financial Indicators</w:t>
      </w:r>
      <w:bookmarkEnd w:id="19"/>
    </w:p>
    <w:p w14:paraId="5740788C" w14:textId="5110CED5" w:rsidR="00C64F31" w:rsidRPr="0040292F" w:rsidRDefault="00A06622" w:rsidP="006126FB">
      <w:pPr>
        <w:spacing w:before="120" w:after="120"/>
        <w:rPr>
          <w:rFonts w:eastAsia="Arial"/>
          <w:b/>
          <w:i/>
          <w:highlight w:val="yellow"/>
        </w:rPr>
      </w:pPr>
      <w:r w:rsidRPr="0040292F">
        <w:rPr>
          <w:rFonts w:eastAsia="Arial"/>
          <w:b/>
          <w:i/>
          <w:highlight w:val="yellow"/>
        </w:rPr>
        <w:t xml:space="preserve"> </w:t>
      </w:r>
      <w:r w:rsidR="007B6802" w:rsidRPr="0040292F">
        <w:rPr>
          <w:rFonts w:eastAsia="Arial"/>
          <w:b/>
          <w:i/>
          <w:highlight w:val="yellow"/>
        </w:rPr>
        <w:t>[</w:t>
      </w:r>
      <w:r w:rsidR="005D7CAD" w:rsidRPr="0040292F">
        <w:rPr>
          <w:rFonts w:eastAsia="Arial"/>
          <w:b/>
          <w:i/>
          <w:highlight w:val="yellow"/>
        </w:rPr>
        <w:t xml:space="preserve">Buyer Guidance: The Financial Indicators set out in the table at paragraph 5.1 have been established at Framework level to satisfy Cabinet Office Contract Tiering Tool requirements. Any assessment of conditions of participation that are included as part of a competitive selection process under a framework is not </w:t>
      </w:r>
      <w:r w:rsidR="005D7CAD" w:rsidRPr="0040292F">
        <w:rPr>
          <w:rFonts w:eastAsia="Arial"/>
          <w:b/>
          <w:i/>
          <w:highlight w:val="yellow"/>
        </w:rPr>
        <w:lastRenderedPageBreak/>
        <w:t>legally a ‘reassessment’ of any conditions of participation that applied to the award of the framework. However, a condition of participation for the award of a call-off contract may include a requirement that the conditions of participation for the award of the framework must be met or may include some or all of the same conditions of participation. It may also include additional conditions that did not apply to the award of the framework.  Please take your own legal advice if you are uncertain how to proceed.</w:t>
      </w:r>
    </w:p>
    <w:p w14:paraId="5F5D7DA1"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0" w:name="_Ref190943385"/>
      <w:r>
        <w:rPr>
          <w:rFonts w:eastAsia="Arial"/>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bookmarkEnd w:id="20"/>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C64F31" w14:paraId="019E1B94" w14:textId="77777777">
        <w:tc>
          <w:tcPr>
            <w:tcW w:w="2253" w:type="dxa"/>
            <w:shd w:val="clear" w:color="auto" w:fill="D9D9D9"/>
            <w:vAlign w:val="center"/>
          </w:tcPr>
          <w:p w14:paraId="20A98379" w14:textId="77777777" w:rsidR="00C64F31" w:rsidRPr="0040292F" w:rsidRDefault="007B6802" w:rsidP="006126FB">
            <w:pPr>
              <w:pBdr>
                <w:top w:val="nil"/>
                <w:left w:val="nil"/>
                <w:bottom w:val="nil"/>
                <w:right w:val="nil"/>
                <w:between w:val="nil"/>
              </w:pBdr>
              <w:spacing w:before="120" w:after="120"/>
              <w:jc w:val="center"/>
              <w:rPr>
                <w:rFonts w:eastAsia="Arial"/>
                <w:b/>
                <w:color w:val="000000" w:themeColor="text1"/>
                <w:sz w:val="24"/>
                <w:szCs w:val="24"/>
              </w:rPr>
            </w:pPr>
            <w:r w:rsidRPr="0040292F">
              <w:rPr>
                <w:rFonts w:eastAsia="Arial"/>
                <w:b/>
                <w:color w:val="000000" w:themeColor="text1"/>
                <w:sz w:val="24"/>
                <w:szCs w:val="24"/>
              </w:rPr>
              <w:t>Financial Indicator</w:t>
            </w:r>
          </w:p>
        </w:tc>
        <w:tc>
          <w:tcPr>
            <w:tcW w:w="1977" w:type="dxa"/>
            <w:shd w:val="clear" w:color="auto" w:fill="D9D9D9"/>
            <w:vAlign w:val="center"/>
          </w:tcPr>
          <w:p w14:paraId="222587B5" w14:textId="77777777" w:rsidR="00C64F31" w:rsidRPr="0040292F" w:rsidRDefault="007B6802" w:rsidP="006126FB">
            <w:pPr>
              <w:pBdr>
                <w:top w:val="nil"/>
                <w:left w:val="nil"/>
                <w:bottom w:val="nil"/>
                <w:right w:val="nil"/>
                <w:between w:val="nil"/>
              </w:pBdr>
              <w:spacing w:before="120" w:after="120"/>
              <w:jc w:val="center"/>
              <w:rPr>
                <w:rFonts w:eastAsia="Arial"/>
                <w:b/>
                <w:color w:val="000000" w:themeColor="text1"/>
                <w:sz w:val="24"/>
                <w:szCs w:val="24"/>
              </w:rPr>
            </w:pPr>
            <w:r w:rsidRPr="0040292F">
              <w:rPr>
                <w:rFonts w:eastAsia="Arial"/>
                <w:b/>
                <w:color w:val="000000" w:themeColor="text1"/>
                <w:sz w:val="24"/>
                <w:szCs w:val="24"/>
              </w:rPr>
              <w:t>Calculation</w:t>
            </w:r>
            <w:r w:rsidRPr="0040292F">
              <w:rPr>
                <w:rFonts w:eastAsia="Arial"/>
                <w:b/>
                <w:color w:val="000000" w:themeColor="text1"/>
                <w:sz w:val="24"/>
                <w:szCs w:val="24"/>
                <w:vertAlign w:val="superscript"/>
              </w:rPr>
              <w:t>1</w:t>
            </w:r>
          </w:p>
        </w:tc>
        <w:tc>
          <w:tcPr>
            <w:tcW w:w="1697" w:type="dxa"/>
            <w:shd w:val="clear" w:color="auto" w:fill="D9D9D9"/>
            <w:vAlign w:val="center"/>
          </w:tcPr>
          <w:p w14:paraId="14D400ED" w14:textId="77777777" w:rsidR="00C64F31" w:rsidRPr="0040292F" w:rsidRDefault="007B6802" w:rsidP="006126FB">
            <w:pPr>
              <w:pBdr>
                <w:top w:val="nil"/>
                <w:left w:val="nil"/>
                <w:bottom w:val="nil"/>
                <w:right w:val="nil"/>
                <w:between w:val="nil"/>
              </w:pBdr>
              <w:spacing w:before="120" w:after="120"/>
              <w:jc w:val="center"/>
              <w:rPr>
                <w:rFonts w:eastAsia="Arial"/>
                <w:b/>
                <w:color w:val="000000" w:themeColor="text1"/>
                <w:sz w:val="24"/>
                <w:szCs w:val="24"/>
              </w:rPr>
            </w:pPr>
            <w:r w:rsidRPr="0040292F">
              <w:rPr>
                <w:rFonts w:eastAsia="Arial"/>
                <w:b/>
                <w:color w:val="000000" w:themeColor="text1"/>
                <w:sz w:val="24"/>
                <w:szCs w:val="24"/>
              </w:rPr>
              <w:t>Financial Target Threshold:</w:t>
            </w:r>
          </w:p>
        </w:tc>
        <w:tc>
          <w:tcPr>
            <w:tcW w:w="3089" w:type="dxa"/>
            <w:shd w:val="clear" w:color="auto" w:fill="D9D9D9"/>
            <w:vAlign w:val="center"/>
          </w:tcPr>
          <w:p w14:paraId="2434333B" w14:textId="542F7191" w:rsidR="00C64F31" w:rsidRPr="0040292F" w:rsidRDefault="007B6802" w:rsidP="00A06622">
            <w:pPr>
              <w:pBdr>
                <w:top w:val="nil"/>
                <w:left w:val="nil"/>
                <w:bottom w:val="nil"/>
                <w:right w:val="nil"/>
                <w:between w:val="nil"/>
              </w:pBdr>
              <w:spacing w:before="120" w:after="120"/>
              <w:jc w:val="center"/>
              <w:rPr>
                <w:rFonts w:eastAsia="Arial"/>
                <w:b/>
                <w:color w:val="000000" w:themeColor="text1"/>
                <w:sz w:val="24"/>
                <w:szCs w:val="24"/>
              </w:rPr>
            </w:pPr>
            <w:bookmarkStart w:id="21" w:name="_heading=h.1ci93xb" w:colFirst="0" w:colLast="0"/>
            <w:bookmarkEnd w:id="21"/>
            <w:r w:rsidRPr="0040292F">
              <w:rPr>
                <w:rFonts w:eastAsia="Arial"/>
                <w:b/>
                <w:color w:val="000000" w:themeColor="text1"/>
                <w:sz w:val="24"/>
                <w:szCs w:val="24"/>
              </w:rPr>
              <w:t>Monitoring and Reporting Frequency</w:t>
            </w:r>
          </w:p>
        </w:tc>
      </w:tr>
      <w:tr w:rsidR="00C64F31" w14:paraId="64495F97" w14:textId="77777777">
        <w:tc>
          <w:tcPr>
            <w:tcW w:w="2253" w:type="dxa"/>
            <w:vAlign w:val="center"/>
          </w:tcPr>
          <w:p w14:paraId="2994B8A3"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1</w:t>
            </w:r>
          </w:p>
          <w:p w14:paraId="6DFB6FB4" w14:textId="0D61BAFA"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Operating Margin</w:t>
            </w:r>
          </w:p>
        </w:tc>
        <w:tc>
          <w:tcPr>
            <w:tcW w:w="1977" w:type="dxa"/>
            <w:vAlign w:val="center"/>
          </w:tcPr>
          <w:p w14:paraId="61F94ACB" w14:textId="157D230A"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A37034">
              <w:rPr>
                <w:rFonts w:eastAsia="Arial"/>
                <w:i/>
                <w:color w:val="000000" w:themeColor="text1"/>
                <w:sz w:val="24"/>
                <w:szCs w:val="24"/>
              </w:rPr>
              <w:t>Operating Margin = Operating Profit / Revenue</w:t>
            </w:r>
          </w:p>
        </w:tc>
        <w:tc>
          <w:tcPr>
            <w:tcW w:w="1697" w:type="dxa"/>
            <w:vAlign w:val="center"/>
          </w:tcPr>
          <w:p w14:paraId="33B73812" w14:textId="44DB4876" w:rsidR="00C64F31" w:rsidRPr="0040292F" w:rsidRDefault="00255772" w:rsidP="006126FB">
            <w:pPr>
              <w:pBdr>
                <w:top w:val="nil"/>
                <w:left w:val="nil"/>
                <w:bottom w:val="nil"/>
                <w:right w:val="nil"/>
                <w:between w:val="nil"/>
              </w:pBdr>
              <w:spacing w:before="120" w:after="120"/>
              <w:jc w:val="center"/>
              <w:rPr>
                <w:rFonts w:eastAsia="Arial"/>
                <w:i/>
                <w:color w:val="000000" w:themeColor="text1"/>
                <w:sz w:val="24"/>
                <w:szCs w:val="24"/>
                <w:highlight w:val="yellow"/>
              </w:rPr>
            </w:pPr>
            <w:r w:rsidRPr="00255772">
              <w:rPr>
                <w:rFonts w:eastAsia="Arial"/>
                <w:i/>
                <w:color w:val="000000" w:themeColor="text1"/>
                <w:sz w:val="24"/>
                <w:szCs w:val="24"/>
              </w:rPr>
              <w:t>&lt;5%</w:t>
            </w:r>
          </w:p>
        </w:tc>
        <w:tc>
          <w:tcPr>
            <w:tcW w:w="3089" w:type="dxa"/>
            <w:vAlign w:val="center"/>
          </w:tcPr>
          <w:p w14:paraId="16EEDAB7" w14:textId="3BB9F99A" w:rsidR="00C64F31" w:rsidRPr="0040292F" w:rsidRDefault="007B6802" w:rsidP="00B9564B">
            <w:pPr>
              <w:pBdr>
                <w:top w:val="nil"/>
                <w:left w:val="nil"/>
                <w:bottom w:val="nil"/>
                <w:right w:val="nil"/>
                <w:between w:val="nil"/>
              </w:pBdr>
              <w:spacing w:before="120" w:after="120"/>
              <w:jc w:val="center"/>
              <w:rPr>
                <w:rFonts w:eastAsia="Arial"/>
                <w:i/>
                <w:color w:val="000000" w:themeColor="text1"/>
                <w:sz w:val="24"/>
                <w:szCs w:val="24"/>
              </w:rPr>
            </w:pPr>
            <w:r w:rsidRPr="00856C85">
              <w:rPr>
                <w:rFonts w:eastAsia="Arial"/>
                <w:i/>
                <w:color w:val="000000" w:themeColor="text1"/>
                <w:sz w:val="24"/>
                <w:szCs w:val="24"/>
              </w:rPr>
              <w:t xml:space="preserve">Tested and reported yearly in arrears within 120days of each accounting reference date based upon figures for the 12 months ending on the relevant accounting reference date </w:t>
            </w:r>
          </w:p>
        </w:tc>
      </w:tr>
      <w:tr w:rsidR="00C64F31" w14:paraId="2F0E84C7" w14:textId="77777777">
        <w:tc>
          <w:tcPr>
            <w:tcW w:w="2253" w:type="dxa"/>
            <w:vAlign w:val="center"/>
          </w:tcPr>
          <w:p w14:paraId="6DE51E23"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2</w:t>
            </w:r>
          </w:p>
          <w:p w14:paraId="67A5C7BE" w14:textId="3A7C79D8"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Net Debt to EBITDA Ratio</w:t>
            </w:r>
          </w:p>
        </w:tc>
        <w:tc>
          <w:tcPr>
            <w:tcW w:w="1977" w:type="dxa"/>
            <w:vAlign w:val="center"/>
          </w:tcPr>
          <w:p w14:paraId="2C111CA9" w14:textId="0052F61F" w:rsidR="00C64F31" w:rsidRPr="0040292F" w:rsidRDefault="00A37034" w:rsidP="006126FB">
            <w:pPr>
              <w:pBdr>
                <w:top w:val="nil"/>
                <w:left w:val="nil"/>
                <w:bottom w:val="nil"/>
                <w:right w:val="nil"/>
                <w:between w:val="nil"/>
              </w:pBdr>
              <w:spacing w:before="120" w:after="120"/>
              <w:jc w:val="center"/>
              <w:rPr>
                <w:rFonts w:eastAsia="Arial"/>
                <w:i/>
                <w:color w:val="000000" w:themeColor="text1"/>
                <w:sz w:val="24"/>
                <w:szCs w:val="24"/>
              </w:rPr>
            </w:pPr>
            <w:r w:rsidRPr="0040292F" w:rsidDel="00A37034">
              <w:rPr>
                <w:rFonts w:eastAsia="Arial"/>
                <w:i/>
                <w:color w:val="000000" w:themeColor="text1"/>
                <w:sz w:val="24"/>
                <w:szCs w:val="24"/>
              </w:rPr>
              <w:t xml:space="preserve"> </w:t>
            </w:r>
            <w:r w:rsidR="007B6802" w:rsidRPr="00A37034">
              <w:rPr>
                <w:rFonts w:eastAsia="Arial"/>
                <w:i/>
                <w:color w:val="000000" w:themeColor="text1"/>
                <w:sz w:val="24"/>
                <w:szCs w:val="24"/>
              </w:rPr>
              <w:t>Net Debt to EBITDA ratio = Net Debt / EBITDA</w:t>
            </w:r>
          </w:p>
        </w:tc>
        <w:tc>
          <w:tcPr>
            <w:tcW w:w="1697" w:type="dxa"/>
            <w:vAlign w:val="center"/>
          </w:tcPr>
          <w:p w14:paraId="1E56F12E" w14:textId="50902771" w:rsidR="00C64F31" w:rsidRPr="0040292F" w:rsidRDefault="0025577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&gt;3.5</w:t>
            </w:r>
            <w:r w:rsidR="007B6802" w:rsidRPr="00255772">
              <w:rPr>
                <w:rFonts w:eastAsia="Arial"/>
                <w:i/>
                <w:color w:val="000000" w:themeColor="text1"/>
                <w:sz w:val="24"/>
                <w:szCs w:val="24"/>
              </w:rPr>
              <w:t>times</w:t>
            </w:r>
          </w:p>
        </w:tc>
        <w:tc>
          <w:tcPr>
            <w:tcW w:w="3089" w:type="dxa"/>
            <w:vAlign w:val="center"/>
          </w:tcPr>
          <w:p w14:paraId="086F409D" w14:textId="3EBB3124" w:rsidR="00C64F31" w:rsidRPr="00856C85" w:rsidRDefault="007B6802" w:rsidP="00856C85">
            <w:pPr>
              <w:pBdr>
                <w:top w:val="nil"/>
                <w:left w:val="nil"/>
                <w:bottom w:val="nil"/>
                <w:right w:val="nil"/>
                <w:between w:val="nil"/>
              </w:pBdr>
              <w:spacing w:before="120" w:after="120"/>
              <w:jc w:val="center"/>
              <w:rPr>
                <w:rFonts w:eastAsia="Arial"/>
                <w:i/>
                <w:color w:val="000000" w:themeColor="text1"/>
                <w:sz w:val="24"/>
                <w:szCs w:val="24"/>
              </w:rPr>
            </w:pPr>
            <w:r w:rsidRPr="00856C85">
              <w:rPr>
                <w:rFonts w:eastAsia="Arial"/>
                <w:i/>
                <w:color w:val="000000" w:themeColor="text1"/>
                <w:sz w:val="24"/>
                <w:szCs w:val="24"/>
              </w:rPr>
              <w:t>Tested and reported yearly</w:t>
            </w:r>
            <w:r w:rsidR="00A06622">
              <w:rPr>
                <w:rFonts w:eastAsia="Arial"/>
                <w:i/>
                <w:color w:val="000000" w:themeColor="text1"/>
                <w:sz w:val="24"/>
                <w:szCs w:val="24"/>
              </w:rPr>
              <w:t xml:space="preserve"> </w:t>
            </w:r>
            <w:r w:rsidRPr="00856C85">
              <w:rPr>
                <w:rFonts w:eastAsia="Arial"/>
                <w:i/>
                <w:color w:val="000000" w:themeColor="text1"/>
                <w:sz w:val="24"/>
                <w:szCs w:val="24"/>
              </w:rPr>
              <w:t>in arrears within 120days of each accounting reference based upon EBITDA for the 12 months ending on, and Net Debt at, the relevant accounting reference date</w:t>
            </w:r>
          </w:p>
        </w:tc>
      </w:tr>
      <w:tr w:rsidR="00C64F31" w14:paraId="5E3A8DF5" w14:textId="77777777">
        <w:tc>
          <w:tcPr>
            <w:tcW w:w="2253" w:type="dxa"/>
            <w:vAlign w:val="center"/>
          </w:tcPr>
          <w:p w14:paraId="5B08938B"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3</w:t>
            </w:r>
          </w:p>
          <w:p w14:paraId="73111FBF" w14:textId="50FD275F"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Net Debt + Net Pension Deficit to EBITDA ratio</w:t>
            </w:r>
          </w:p>
        </w:tc>
        <w:tc>
          <w:tcPr>
            <w:tcW w:w="1977" w:type="dxa"/>
            <w:vAlign w:val="center"/>
          </w:tcPr>
          <w:p w14:paraId="72FBE3EF" w14:textId="47A3297B"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A37034">
              <w:rPr>
                <w:rFonts w:eastAsia="Arial"/>
                <w:i/>
                <w:color w:val="000000" w:themeColor="text1"/>
                <w:sz w:val="24"/>
                <w:szCs w:val="24"/>
              </w:rPr>
              <w:t>Net Debt + Net Pension Deficit to EBITDA Ratio = (Net Debt + Net Pension Deficit) / EBITDA</w:t>
            </w:r>
          </w:p>
        </w:tc>
        <w:tc>
          <w:tcPr>
            <w:tcW w:w="1697" w:type="dxa"/>
            <w:vAlign w:val="center"/>
          </w:tcPr>
          <w:p w14:paraId="44644A46" w14:textId="7C3D2059" w:rsidR="00C64F31" w:rsidRPr="0040292F" w:rsidRDefault="0025577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&gt; 5.0</w:t>
            </w:r>
            <w:r w:rsidR="007B6802" w:rsidRPr="00255772">
              <w:rPr>
                <w:rFonts w:eastAsia="Arial"/>
                <w:i/>
                <w:color w:val="000000" w:themeColor="text1"/>
                <w:sz w:val="24"/>
                <w:szCs w:val="24"/>
              </w:rPr>
              <w:t>times</w:t>
            </w:r>
          </w:p>
        </w:tc>
        <w:tc>
          <w:tcPr>
            <w:tcW w:w="3089" w:type="dxa"/>
            <w:vAlign w:val="center"/>
          </w:tcPr>
          <w:p w14:paraId="56824269" w14:textId="77777777"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40292F">
              <w:rPr>
                <w:rFonts w:eastAsia="Arial"/>
                <w:i/>
                <w:color w:val="000000" w:themeColor="text1"/>
                <w:sz w:val="24"/>
                <w:szCs w:val="24"/>
              </w:rPr>
              <w:t>Tested and reported yearly in arrears within 90 days of each accounting reference date based upon EBITDA for the 12 months ending on, and the Net Debt and Net Pension Deficit at, the relevant accounting reference date</w:t>
            </w:r>
          </w:p>
        </w:tc>
      </w:tr>
      <w:tr w:rsidR="00C64F31" w14:paraId="174393B0" w14:textId="77777777">
        <w:tc>
          <w:tcPr>
            <w:tcW w:w="2253" w:type="dxa"/>
            <w:vAlign w:val="center"/>
          </w:tcPr>
          <w:p w14:paraId="0764EBB7"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4</w:t>
            </w:r>
          </w:p>
          <w:p w14:paraId="45B37AAF" w14:textId="375ADF00"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Net Interest Paid Cover</w:t>
            </w:r>
          </w:p>
        </w:tc>
        <w:tc>
          <w:tcPr>
            <w:tcW w:w="1977" w:type="dxa"/>
            <w:vAlign w:val="center"/>
          </w:tcPr>
          <w:p w14:paraId="1176760D" w14:textId="77777777"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40292F">
              <w:rPr>
                <w:rFonts w:eastAsia="Arial"/>
                <w:i/>
                <w:color w:val="000000" w:themeColor="text1"/>
                <w:sz w:val="24"/>
                <w:szCs w:val="24"/>
              </w:rPr>
              <w:t>[Net Interest Paid Cover = Earnings Before Interest and Tax / Net Interest Paid]</w:t>
            </w:r>
          </w:p>
        </w:tc>
        <w:tc>
          <w:tcPr>
            <w:tcW w:w="1697" w:type="dxa"/>
            <w:vAlign w:val="center"/>
          </w:tcPr>
          <w:p w14:paraId="089B8879" w14:textId="26BCBA90" w:rsidR="00C64F31" w:rsidRPr="0040292F" w:rsidRDefault="0025577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&lt;3.0</w:t>
            </w:r>
            <w:r w:rsidR="007B6802" w:rsidRPr="00255772">
              <w:rPr>
                <w:rFonts w:eastAsia="Arial"/>
                <w:i/>
                <w:color w:val="000000" w:themeColor="text1"/>
                <w:sz w:val="24"/>
                <w:szCs w:val="24"/>
              </w:rPr>
              <w:t>times</w:t>
            </w:r>
          </w:p>
        </w:tc>
        <w:tc>
          <w:tcPr>
            <w:tcW w:w="3089" w:type="dxa"/>
            <w:vAlign w:val="center"/>
          </w:tcPr>
          <w:p w14:paraId="51CF42D4" w14:textId="259D6229" w:rsidR="00C64F31" w:rsidRPr="0040292F" w:rsidRDefault="007B6802" w:rsidP="00856C85">
            <w:pPr>
              <w:pBdr>
                <w:top w:val="nil"/>
                <w:left w:val="nil"/>
                <w:bottom w:val="nil"/>
                <w:right w:val="nil"/>
                <w:between w:val="nil"/>
              </w:pBdr>
              <w:spacing w:before="120" w:after="120"/>
              <w:jc w:val="center"/>
              <w:rPr>
                <w:rFonts w:eastAsia="Arial"/>
                <w:i/>
                <w:color w:val="000000" w:themeColor="text1"/>
                <w:sz w:val="24"/>
                <w:szCs w:val="24"/>
              </w:rPr>
            </w:pPr>
            <w:r w:rsidRPr="00856C85">
              <w:rPr>
                <w:rFonts w:eastAsia="Arial"/>
                <w:i/>
                <w:color w:val="000000" w:themeColor="text1"/>
                <w:sz w:val="24"/>
                <w:szCs w:val="24"/>
              </w:rPr>
              <w:t>Tested and reported yearly</w:t>
            </w:r>
            <w:r w:rsidR="00A06622">
              <w:rPr>
                <w:rFonts w:eastAsia="Arial"/>
                <w:i/>
                <w:color w:val="000000" w:themeColor="text1"/>
                <w:sz w:val="24"/>
                <w:szCs w:val="24"/>
              </w:rPr>
              <w:t xml:space="preserve"> </w:t>
            </w:r>
            <w:r w:rsidRPr="00856C85">
              <w:rPr>
                <w:rFonts w:eastAsia="Arial"/>
                <w:i/>
                <w:color w:val="000000" w:themeColor="text1"/>
                <w:sz w:val="24"/>
                <w:szCs w:val="24"/>
              </w:rPr>
              <w:t xml:space="preserve">in arrears within 120days of each accounting reference datebased upon figures for the 12 months </w:t>
            </w:r>
            <w:r w:rsidRPr="00856C85">
              <w:rPr>
                <w:rFonts w:eastAsia="Arial"/>
                <w:i/>
                <w:color w:val="000000" w:themeColor="text1"/>
                <w:sz w:val="24"/>
                <w:szCs w:val="24"/>
              </w:rPr>
              <w:lastRenderedPageBreak/>
              <w:t xml:space="preserve">ending on the relevant accounting reference date </w:t>
            </w:r>
          </w:p>
        </w:tc>
      </w:tr>
      <w:tr w:rsidR="00C64F31" w14:paraId="1ED3DAB8" w14:textId="77777777">
        <w:tc>
          <w:tcPr>
            <w:tcW w:w="2253" w:type="dxa"/>
            <w:vAlign w:val="center"/>
          </w:tcPr>
          <w:p w14:paraId="16858428"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lastRenderedPageBreak/>
              <w:t>5</w:t>
            </w:r>
          </w:p>
          <w:p w14:paraId="1B2BB55F" w14:textId="451F4D18"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Acid Ratio</w:t>
            </w:r>
          </w:p>
        </w:tc>
        <w:tc>
          <w:tcPr>
            <w:tcW w:w="1977" w:type="dxa"/>
            <w:vAlign w:val="center"/>
          </w:tcPr>
          <w:p w14:paraId="76D9B1E2" w14:textId="279A36BD"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A37034">
              <w:rPr>
                <w:rFonts w:eastAsia="Arial"/>
                <w:i/>
                <w:color w:val="000000" w:themeColor="text1"/>
                <w:sz w:val="24"/>
                <w:szCs w:val="24"/>
              </w:rPr>
              <w:t>Acid Ratio = (Current Assets – Inventories) / Current Liabilities</w:t>
            </w:r>
          </w:p>
        </w:tc>
        <w:tc>
          <w:tcPr>
            <w:tcW w:w="1697" w:type="dxa"/>
            <w:vAlign w:val="center"/>
          </w:tcPr>
          <w:p w14:paraId="188A2A08" w14:textId="1C5B3689" w:rsidR="00C64F31" w:rsidRPr="00255772" w:rsidRDefault="0025577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&lt;0.8</w:t>
            </w:r>
            <w:r w:rsidR="007B6802" w:rsidRPr="00255772">
              <w:rPr>
                <w:rFonts w:eastAsia="Arial"/>
                <w:i/>
                <w:color w:val="000000" w:themeColor="text1"/>
                <w:sz w:val="24"/>
                <w:szCs w:val="24"/>
              </w:rPr>
              <w:t>times</w:t>
            </w:r>
          </w:p>
        </w:tc>
        <w:tc>
          <w:tcPr>
            <w:tcW w:w="3089" w:type="dxa"/>
            <w:vAlign w:val="center"/>
          </w:tcPr>
          <w:p w14:paraId="077B435C" w14:textId="2DF66392" w:rsidR="00C64F31" w:rsidRPr="0040292F" w:rsidRDefault="007B6802" w:rsidP="00856C85">
            <w:pPr>
              <w:pBdr>
                <w:top w:val="nil"/>
                <w:left w:val="nil"/>
                <w:bottom w:val="nil"/>
                <w:right w:val="nil"/>
                <w:between w:val="nil"/>
              </w:pBdr>
              <w:spacing w:before="120" w:after="120"/>
              <w:jc w:val="center"/>
              <w:rPr>
                <w:rFonts w:eastAsia="Arial"/>
                <w:i/>
                <w:color w:val="000000" w:themeColor="text1"/>
                <w:sz w:val="24"/>
                <w:szCs w:val="24"/>
              </w:rPr>
            </w:pPr>
            <w:r w:rsidRPr="00856C85">
              <w:rPr>
                <w:rFonts w:eastAsia="Arial"/>
                <w:i/>
                <w:color w:val="000000" w:themeColor="text1"/>
                <w:sz w:val="24"/>
                <w:szCs w:val="24"/>
              </w:rPr>
              <w:t>Tested and reported yearly</w:t>
            </w:r>
            <w:r w:rsidR="00A06622">
              <w:rPr>
                <w:rFonts w:eastAsia="Arial"/>
                <w:i/>
                <w:color w:val="000000" w:themeColor="text1"/>
                <w:sz w:val="24"/>
                <w:szCs w:val="24"/>
              </w:rPr>
              <w:t xml:space="preserve"> </w:t>
            </w:r>
            <w:r w:rsidRPr="00856C85">
              <w:rPr>
                <w:rFonts w:eastAsia="Arial"/>
                <w:i/>
                <w:color w:val="000000" w:themeColor="text1"/>
                <w:sz w:val="24"/>
                <w:szCs w:val="24"/>
              </w:rPr>
              <w:t>in arrears within 120 days of each accounting reference date</w:t>
            </w:r>
            <w:r w:rsidR="00A06622">
              <w:rPr>
                <w:rFonts w:eastAsia="Arial"/>
                <w:i/>
                <w:color w:val="000000" w:themeColor="text1"/>
                <w:sz w:val="24"/>
                <w:szCs w:val="24"/>
              </w:rPr>
              <w:t xml:space="preserve"> </w:t>
            </w:r>
            <w:r w:rsidRPr="00856C85">
              <w:rPr>
                <w:rFonts w:eastAsia="Arial"/>
                <w:i/>
                <w:color w:val="000000" w:themeColor="text1"/>
                <w:sz w:val="24"/>
                <w:szCs w:val="24"/>
              </w:rPr>
              <w:t>based upon figures at the relevant accounting reference date</w:t>
            </w:r>
          </w:p>
        </w:tc>
      </w:tr>
      <w:tr w:rsidR="00C64F31" w14:paraId="698BE7C3" w14:textId="77777777">
        <w:tc>
          <w:tcPr>
            <w:tcW w:w="2253" w:type="dxa"/>
            <w:vAlign w:val="center"/>
          </w:tcPr>
          <w:p w14:paraId="407A8475"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6</w:t>
            </w:r>
          </w:p>
          <w:p w14:paraId="37385E83" w14:textId="499C0DFA"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Net Asset value</w:t>
            </w:r>
          </w:p>
        </w:tc>
        <w:tc>
          <w:tcPr>
            <w:tcW w:w="1977" w:type="dxa"/>
            <w:vAlign w:val="center"/>
          </w:tcPr>
          <w:p w14:paraId="088E918C" w14:textId="1074F3CE"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A37034">
              <w:rPr>
                <w:rFonts w:eastAsia="Arial"/>
                <w:i/>
                <w:color w:val="000000" w:themeColor="text1"/>
                <w:sz w:val="24"/>
                <w:szCs w:val="24"/>
              </w:rPr>
              <w:t>Net Asset Value = Net Assets</w:t>
            </w:r>
          </w:p>
        </w:tc>
        <w:tc>
          <w:tcPr>
            <w:tcW w:w="1697" w:type="dxa"/>
            <w:vAlign w:val="center"/>
          </w:tcPr>
          <w:p w14:paraId="6072660C" w14:textId="240CAE62"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 xml:space="preserve">&gt; </w:t>
            </w:r>
            <w:r w:rsidR="00255772" w:rsidRPr="00255772">
              <w:rPr>
                <w:rFonts w:eastAsia="Arial"/>
                <w:i/>
                <w:color w:val="000000" w:themeColor="text1"/>
                <w:sz w:val="24"/>
                <w:szCs w:val="24"/>
              </w:rPr>
              <w:t>Nil</w:t>
            </w:r>
          </w:p>
        </w:tc>
        <w:tc>
          <w:tcPr>
            <w:tcW w:w="3089" w:type="dxa"/>
            <w:vAlign w:val="center"/>
          </w:tcPr>
          <w:p w14:paraId="1FC1D16C" w14:textId="4B12CAEB" w:rsidR="00C64F31" w:rsidRPr="0040292F" w:rsidRDefault="007B6802" w:rsidP="007C17BD">
            <w:pPr>
              <w:pBdr>
                <w:top w:val="nil"/>
                <w:left w:val="nil"/>
                <w:bottom w:val="nil"/>
                <w:right w:val="nil"/>
                <w:between w:val="nil"/>
              </w:pBdr>
              <w:spacing w:before="120" w:after="120"/>
              <w:jc w:val="center"/>
              <w:rPr>
                <w:rFonts w:eastAsia="Arial"/>
                <w:i/>
                <w:color w:val="000000" w:themeColor="text1"/>
                <w:sz w:val="24"/>
                <w:szCs w:val="24"/>
              </w:rPr>
            </w:pPr>
            <w:r w:rsidRPr="007C17BD">
              <w:rPr>
                <w:rFonts w:eastAsia="Arial"/>
                <w:i/>
                <w:color w:val="000000" w:themeColor="text1"/>
                <w:sz w:val="24"/>
                <w:szCs w:val="24"/>
              </w:rPr>
              <w:t>Tested and reported yearly</w:t>
            </w:r>
            <w:r w:rsidR="00A06622">
              <w:rPr>
                <w:rFonts w:eastAsia="Arial"/>
                <w:i/>
                <w:color w:val="000000" w:themeColor="text1"/>
                <w:sz w:val="24"/>
                <w:szCs w:val="24"/>
              </w:rPr>
              <w:t xml:space="preserve"> </w:t>
            </w:r>
            <w:r w:rsidRPr="007C17BD">
              <w:rPr>
                <w:rFonts w:eastAsia="Arial"/>
                <w:i/>
                <w:color w:val="000000" w:themeColor="text1"/>
                <w:sz w:val="24"/>
                <w:szCs w:val="24"/>
              </w:rPr>
              <w:t>in arrears within 120days of each accounting reference date</w:t>
            </w:r>
            <w:r w:rsidR="00A06622">
              <w:rPr>
                <w:rFonts w:eastAsia="Arial"/>
                <w:i/>
                <w:color w:val="000000" w:themeColor="text1"/>
                <w:sz w:val="24"/>
                <w:szCs w:val="24"/>
              </w:rPr>
              <w:t xml:space="preserve"> </w:t>
            </w:r>
            <w:r w:rsidRPr="007C17BD">
              <w:rPr>
                <w:rFonts w:eastAsia="Arial"/>
                <w:i/>
                <w:color w:val="000000" w:themeColor="text1"/>
                <w:sz w:val="24"/>
                <w:szCs w:val="24"/>
              </w:rPr>
              <w:t>based upon figures at the relevant accounting reference date</w:t>
            </w:r>
          </w:p>
        </w:tc>
      </w:tr>
      <w:tr w:rsidR="00C64F31" w14:paraId="59D12299" w14:textId="77777777">
        <w:tc>
          <w:tcPr>
            <w:tcW w:w="2253" w:type="dxa"/>
            <w:vAlign w:val="center"/>
          </w:tcPr>
          <w:p w14:paraId="37470147" w14:textId="77777777"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40292F">
              <w:rPr>
                <w:rFonts w:eastAsia="Arial"/>
                <w:b/>
                <w:color w:val="000000" w:themeColor="text1"/>
                <w:sz w:val="24"/>
                <w:szCs w:val="24"/>
              </w:rPr>
              <w:t>7</w:t>
            </w:r>
          </w:p>
          <w:p w14:paraId="3A08C7AD" w14:textId="03716530" w:rsidR="00C64F31" w:rsidRPr="0040292F" w:rsidRDefault="007B6802" w:rsidP="006126FB">
            <w:pPr>
              <w:pBdr>
                <w:top w:val="nil"/>
                <w:left w:val="nil"/>
                <w:bottom w:val="nil"/>
                <w:right w:val="nil"/>
                <w:between w:val="nil"/>
              </w:pBdr>
              <w:spacing w:before="120" w:after="120"/>
              <w:jc w:val="left"/>
              <w:rPr>
                <w:rFonts w:eastAsia="Arial"/>
                <w:b/>
                <w:color w:val="000000" w:themeColor="text1"/>
                <w:sz w:val="24"/>
                <w:szCs w:val="24"/>
              </w:rPr>
            </w:pPr>
            <w:r w:rsidRPr="00255772">
              <w:rPr>
                <w:rFonts w:eastAsia="Arial"/>
                <w:b/>
                <w:color w:val="000000" w:themeColor="text1"/>
                <w:sz w:val="24"/>
                <w:szCs w:val="24"/>
              </w:rPr>
              <w:t>Group Exposure Ratio</w:t>
            </w:r>
          </w:p>
        </w:tc>
        <w:tc>
          <w:tcPr>
            <w:tcW w:w="1977" w:type="dxa"/>
            <w:vAlign w:val="center"/>
          </w:tcPr>
          <w:p w14:paraId="7DE10B3D" w14:textId="70B9D080"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A37034">
              <w:rPr>
                <w:rFonts w:eastAsia="Arial"/>
                <w:i/>
                <w:color w:val="000000" w:themeColor="text1"/>
                <w:sz w:val="24"/>
                <w:szCs w:val="24"/>
              </w:rPr>
              <w:t>Group Exposure / Gross Assets</w:t>
            </w:r>
          </w:p>
        </w:tc>
        <w:tc>
          <w:tcPr>
            <w:tcW w:w="1697" w:type="dxa"/>
            <w:vAlign w:val="center"/>
          </w:tcPr>
          <w:p w14:paraId="3D7929BB" w14:textId="56AEC30C" w:rsidR="00C64F31" w:rsidRPr="0040292F" w:rsidRDefault="00255772" w:rsidP="006126FB">
            <w:pPr>
              <w:pBdr>
                <w:top w:val="nil"/>
                <w:left w:val="nil"/>
                <w:bottom w:val="nil"/>
                <w:right w:val="nil"/>
                <w:between w:val="nil"/>
              </w:pBdr>
              <w:spacing w:before="120" w:after="120"/>
              <w:jc w:val="center"/>
              <w:rPr>
                <w:rFonts w:eastAsia="Arial"/>
                <w:i/>
                <w:color w:val="000000" w:themeColor="text1"/>
                <w:sz w:val="24"/>
                <w:szCs w:val="24"/>
              </w:rPr>
            </w:pPr>
            <w:r w:rsidRPr="00255772">
              <w:rPr>
                <w:rFonts w:eastAsia="Arial"/>
                <w:i/>
                <w:color w:val="000000" w:themeColor="text1"/>
                <w:sz w:val="24"/>
                <w:szCs w:val="24"/>
              </w:rPr>
              <w:t>&gt; 50%</w:t>
            </w:r>
          </w:p>
        </w:tc>
        <w:tc>
          <w:tcPr>
            <w:tcW w:w="3089" w:type="dxa"/>
            <w:vAlign w:val="center"/>
          </w:tcPr>
          <w:p w14:paraId="6C42CD76" w14:textId="77777777" w:rsidR="00C64F31" w:rsidRPr="0040292F" w:rsidRDefault="007B6802" w:rsidP="006126FB">
            <w:pPr>
              <w:pBdr>
                <w:top w:val="nil"/>
                <w:left w:val="nil"/>
                <w:bottom w:val="nil"/>
                <w:right w:val="nil"/>
                <w:between w:val="nil"/>
              </w:pBdr>
              <w:spacing w:before="120" w:after="120"/>
              <w:jc w:val="center"/>
              <w:rPr>
                <w:rFonts w:eastAsia="Arial"/>
                <w:i/>
                <w:color w:val="000000" w:themeColor="text1"/>
                <w:sz w:val="24"/>
                <w:szCs w:val="24"/>
              </w:rPr>
            </w:pPr>
            <w:r w:rsidRPr="0040292F">
              <w:rPr>
                <w:rFonts w:eastAsia="Arial"/>
                <w:i/>
                <w:color w:val="000000" w:themeColor="text1"/>
                <w:sz w:val="24"/>
                <w:szCs w:val="24"/>
              </w:rPr>
              <w:t>Tested and reported yearly in arrears within 90 days of each accounting reference date based upon figures at the relevant accounting reference date</w:t>
            </w:r>
          </w:p>
        </w:tc>
      </w:tr>
    </w:tbl>
    <w:p w14:paraId="472935CD" w14:textId="1EF95662" w:rsidR="00C64F31" w:rsidRDefault="007B6802" w:rsidP="006126FB">
      <w:pPr>
        <w:pBdr>
          <w:top w:val="nil"/>
          <w:left w:val="nil"/>
          <w:bottom w:val="nil"/>
          <w:right w:val="nil"/>
          <w:between w:val="nil"/>
        </w:pBdr>
        <w:tabs>
          <w:tab w:val="left" w:pos="142"/>
        </w:tabs>
        <w:spacing w:before="120" w:after="120"/>
        <w:rPr>
          <w:rFonts w:eastAsia="Arial"/>
          <w:smallCaps/>
        </w:rPr>
      </w:pPr>
      <w:r>
        <w:rPr>
          <w:rFonts w:eastAsia="Arial"/>
        </w:rPr>
        <w:t xml:space="preserve">Key: 1 – see Annex 3 to this Schedule which sets out the calculation methodology to be used in the calculation of each </w:t>
      </w:r>
      <w:r w:rsidR="008A4F3B">
        <w:rPr>
          <w:rFonts w:eastAsia="Arial"/>
        </w:rPr>
        <w:t>F</w:t>
      </w:r>
      <w:r>
        <w:rPr>
          <w:rFonts w:eastAsia="Arial"/>
        </w:rPr>
        <w:t xml:space="preserve">inancial </w:t>
      </w:r>
      <w:r w:rsidR="008A4F3B">
        <w:rPr>
          <w:rFonts w:eastAsia="Arial"/>
        </w:rPr>
        <w:t>I</w:t>
      </w:r>
      <w:r>
        <w:rPr>
          <w:rFonts w:eastAsia="Arial"/>
        </w:rPr>
        <w:t>ndicator.</w:t>
      </w:r>
    </w:p>
    <w:p w14:paraId="1301DABC"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pPr>
      <w:bookmarkStart w:id="22" w:name="_Ref190943392"/>
      <w:r>
        <w:rPr>
          <w:rFonts w:eastAsia="Arial"/>
        </w:rPr>
        <w:t>Monitored Suppliers</w:t>
      </w:r>
      <w:bookmarkEnd w:id="22"/>
      <w:r>
        <w:rPr>
          <w:rFonts w:cs="Calibri"/>
        </w:rPr>
        <w:t xml:space="preserve"> </w:t>
      </w:r>
    </w:p>
    <w:p w14:paraId="493108EE" w14:textId="46A5D4C6" w:rsidR="00C64F31" w:rsidRPr="006126FB" w:rsidRDefault="007B6802" w:rsidP="006126FB">
      <w:pPr>
        <w:pBdr>
          <w:top w:val="nil"/>
          <w:left w:val="nil"/>
          <w:bottom w:val="nil"/>
          <w:right w:val="nil"/>
          <w:between w:val="nil"/>
        </w:pBdr>
        <w:tabs>
          <w:tab w:val="left" w:pos="1134"/>
        </w:tabs>
        <w:spacing w:before="120" w:after="120"/>
        <w:ind w:left="1134"/>
        <w:jc w:val="left"/>
        <w:rPr>
          <w:rFonts w:eastAsia="Arial"/>
          <w:b/>
          <w:i/>
        </w:rPr>
      </w:pPr>
      <w:r w:rsidRPr="006126FB">
        <w:rPr>
          <w:rFonts w:eastAsia="Arial"/>
          <w:b/>
          <w:i/>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1"/>
        <w:tblW w:w="788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4223"/>
      </w:tblGrid>
      <w:tr w:rsidR="00C64F31" w14:paraId="3D2A15AD" w14:textId="77777777" w:rsidTr="006126FB">
        <w:tc>
          <w:tcPr>
            <w:tcW w:w="3664" w:type="dxa"/>
            <w:shd w:val="clear" w:color="auto" w:fill="D9D9D9"/>
          </w:tcPr>
          <w:p w14:paraId="793079DC"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Monitored Supplier</w:t>
            </w:r>
          </w:p>
        </w:tc>
        <w:tc>
          <w:tcPr>
            <w:tcW w:w="4223" w:type="dxa"/>
            <w:shd w:val="clear" w:color="auto" w:fill="D9D9D9"/>
          </w:tcPr>
          <w:p w14:paraId="53BFE03C"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Applicable Financial Indicators</w:t>
            </w:r>
          </w:p>
          <w:p w14:paraId="030A4C9F" w14:textId="77777777" w:rsidR="00C64F31" w:rsidRDefault="007B6802" w:rsidP="006126FB">
            <w:pPr>
              <w:pBdr>
                <w:top w:val="nil"/>
                <w:left w:val="nil"/>
                <w:bottom w:val="nil"/>
                <w:right w:val="nil"/>
                <w:between w:val="nil"/>
              </w:pBdr>
              <w:spacing w:before="120" w:after="120"/>
              <w:jc w:val="left"/>
              <w:rPr>
                <w:rFonts w:eastAsia="Arial"/>
                <w:sz w:val="24"/>
                <w:szCs w:val="24"/>
              </w:rPr>
            </w:pPr>
            <w:bookmarkStart w:id="23" w:name="_heading=h.3whwml4" w:colFirst="0" w:colLast="0"/>
            <w:bookmarkEnd w:id="23"/>
            <w:r>
              <w:rPr>
                <w:rFonts w:eastAsia="Arial"/>
                <w:sz w:val="24"/>
                <w:szCs w:val="24"/>
              </w:rPr>
              <w:t>(these are the Financial Indicators from the table in Paragraph 5.1 which are to apply to the Monitored Suppliers)</w:t>
            </w:r>
          </w:p>
        </w:tc>
      </w:tr>
      <w:tr w:rsidR="00C64F31" w14:paraId="23F20067" w14:textId="77777777" w:rsidTr="006126FB">
        <w:tc>
          <w:tcPr>
            <w:tcW w:w="3664" w:type="dxa"/>
          </w:tcPr>
          <w:p w14:paraId="128E643F" w14:textId="52A6ADEB" w:rsidR="00C64F31" w:rsidRDefault="00CF61BA" w:rsidP="006126FB">
            <w:pPr>
              <w:pBdr>
                <w:top w:val="nil"/>
                <w:left w:val="nil"/>
                <w:bottom w:val="nil"/>
                <w:right w:val="nil"/>
                <w:between w:val="nil"/>
              </w:pBdr>
              <w:spacing w:before="120" w:after="120"/>
              <w:jc w:val="left"/>
              <w:rPr>
                <w:rFonts w:eastAsia="Arial"/>
                <w:sz w:val="24"/>
                <w:szCs w:val="24"/>
              </w:rPr>
            </w:pPr>
            <w:r>
              <w:rPr>
                <w:rFonts w:eastAsia="Arial"/>
                <w:sz w:val="24"/>
                <w:szCs w:val="24"/>
                <w:highlight w:val="yellow"/>
              </w:rPr>
              <w:t>Guarantor</w:t>
            </w:r>
            <w:r w:rsidR="007B6802">
              <w:rPr>
                <w:rFonts w:eastAsia="Arial"/>
                <w:sz w:val="24"/>
                <w:szCs w:val="24"/>
                <w:highlight w:val="yellow"/>
              </w:rPr>
              <w:t xml:space="preserve"> </w:t>
            </w:r>
          </w:p>
        </w:tc>
        <w:tc>
          <w:tcPr>
            <w:tcW w:w="4223" w:type="dxa"/>
          </w:tcPr>
          <w:p w14:paraId="27F8DF46"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1</w:t>
            </w:r>
          </w:p>
          <w:p w14:paraId="119A55ED" w14:textId="0AF628D3"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Operating Margin</w:t>
            </w:r>
          </w:p>
          <w:p w14:paraId="68DF223D"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2</w:t>
            </w:r>
          </w:p>
          <w:p w14:paraId="53316064"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 xml:space="preserve"> Net Debt to EBITDA Ratio</w:t>
            </w:r>
          </w:p>
          <w:p w14:paraId="284BBB30"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3</w:t>
            </w:r>
          </w:p>
          <w:p w14:paraId="7C58F8A0"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lastRenderedPageBreak/>
              <w:t>Net Debt + Net Pension Deficit to EBITDA ratio</w:t>
            </w:r>
          </w:p>
          <w:p w14:paraId="7C470A4E"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4</w:t>
            </w:r>
          </w:p>
          <w:p w14:paraId="4C636006"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Net Interest Paid Cover</w:t>
            </w:r>
          </w:p>
          <w:p w14:paraId="1B67B29A"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5</w:t>
            </w:r>
          </w:p>
          <w:p w14:paraId="743B916A"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Acid Ratio</w:t>
            </w:r>
          </w:p>
          <w:p w14:paraId="2C4676B0"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6</w:t>
            </w:r>
          </w:p>
          <w:p w14:paraId="2643F610"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Net Asset value</w:t>
            </w:r>
          </w:p>
          <w:p w14:paraId="1843792A"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7</w:t>
            </w:r>
          </w:p>
          <w:p w14:paraId="50C1554B" w14:textId="6F8C0052" w:rsidR="00C64F31"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Group Exposure Ratio</w:t>
            </w:r>
          </w:p>
        </w:tc>
      </w:tr>
      <w:tr w:rsidR="00CF61BA" w14:paraId="6FD9CBFC" w14:textId="77777777" w:rsidTr="006126FB">
        <w:tc>
          <w:tcPr>
            <w:tcW w:w="3664" w:type="dxa"/>
          </w:tcPr>
          <w:p w14:paraId="16064750" w14:textId="70858E21" w:rsidR="00CF61BA" w:rsidRDefault="00CF61BA" w:rsidP="00CF61BA">
            <w:pPr>
              <w:pBdr>
                <w:top w:val="nil"/>
                <w:left w:val="nil"/>
                <w:bottom w:val="nil"/>
                <w:right w:val="nil"/>
                <w:between w:val="nil"/>
              </w:pBdr>
              <w:spacing w:before="120" w:after="120"/>
              <w:jc w:val="left"/>
              <w:rPr>
                <w:rFonts w:eastAsia="Arial"/>
                <w:sz w:val="24"/>
                <w:szCs w:val="24"/>
                <w:highlight w:val="yellow"/>
              </w:rPr>
            </w:pPr>
            <w:r>
              <w:rPr>
                <w:rFonts w:eastAsia="Arial"/>
                <w:sz w:val="24"/>
                <w:szCs w:val="24"/>
                <w:highlight w:val="yellow"/>
              </w:rPr>
              <w:lastRenderedPageBreak/>
              <w:t>Subcontractors</w:t>
            </w:r>
          </w:p>
        </w:tc>
        <w:tc>
          <w:tcPr>
            <w:tcW w:w="4223" w:type="dxa"/>
          </w:tcPr>
          <w:p w14:paraId="208F140D"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1</w:t>
            </w:r>
          </w:p>
          <w:p w14:paraId="2C010C4B"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Operating Margin</w:t>
            </w:r>
          </w:p>
          <w:p w14:paraId="3F41745C"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2</w:t>
            </w:r>
          </w:p>
          <w:p w14:paraId="4D19C277"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 xml:space="preserve"> Net Debt to EBITDA Ratio</w:t>
            </w:r>
          </w:p>
          <w:p w14:paraId="70462F49"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3</w:t>
            </w:r>
          </w:p>
          <w:p w14:paraId="4F90FE7A"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Net Debt + Net Pension Deficit to EBITDA ratio</w:t>
            </w:r>
          </w:p>
          <w:p w14:paraId="087F6B03"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4</w:t>
            </w:r>
          </w:p>
          <w:p w14:paraId="1B38F9A8"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Net Interest Paid Cover</w:t>
            </w:r>
          </w:p>
          <w:p w14:paraId="73CE51E8"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5</w:t>
            </w:r>
          </w:p>
          <w:p w14:paraId="4D29341B"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Acid Ratio</w:t>
            </w:r>
          </w:p>
          <w:p w14:paraId="40C0CF58"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6</w:t>
            </w:r>
          </w:p>
          <w:p w14:paraId="3FDF2D26"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Net Asset value</w:t>
            </w:r>
          </w:p>
          <w:p w14:paraId="6FD3DDE6" w14:textId="77777777" w:rsidR="00CF61BA" w:rsidRPr="00CF61BA" w:rsidRDefault="00CF61BA" w:rsidP="00CF61BA">
            <w:pPr>
              <w:pBdr>
                <w:top w:val="nil"/>
                <w:left w:val="nil"/>
                <w:bottom w:val="nil"/>
                <w:right w:val="nil"/>
                <w:between w:val="nil"/>
              </w:pBdr>
              <w:spacing w:before="120" w:after="120"/>
              <w:jc w:val="left"/>
              <w:rPr>
                <w:rFonts w:eastAsia="Arial"/>
                <w:sz w:val="24"/>
                <w:szCs w:val="24"/>
              </w:rPr>
            </w:pPr>
            <w:r w:rsidRPr="00CF61BA">
              <w:rPr>
                <w:rFonts w:eastAsia="Arial"/>
                <w:sz w:val="24"/>
                <w:szCs w:val="24"/>
              </w:rPr>
              <w:t>7</w:t>
            </w:r>
          </w:p>
          <w:p w14:paraId="512E149E" w14:textId="2DF4AB41" w:rsidR="00CF61BA" w:rsidRDefault="00CF61BA" w:rsidP="00CF61BA">
            <w:pPr>
              <w:pBdr>
                <w:top w:val="nil"/>
                <w:left w:val="nil"/>
                <w:bottom w:val="nil"/>
                <w:right w:val="nil"/>
                <w:between w:val="nil"/>
              </w:pBdr>
              <w:spacing w:before="120" w:after="120"/>
              <w:jc w:val="left"/>
              <w:rPr>
                <w:rFonts w:eastAsia="Arial"/>
                <w:sz w:val="24"/>
                <w:szCs w:val="24"/>
                <w:highlight w:val="yellow"/>
              </w:rPr>
            </w:pPr>
            <w:r w:rsidRPr="00CF61BA">
              <w:rPr>
                <w:rFonts w:eastAsia="Arial"/>
                <w:sz w:val="24"/>
                <w:szCs w:val="24"/>
              </w:rPr>
              <w:t>Group Exposure Ratio</w:t>
            </w:r>
          </w:p>
        </w:tc>
      </w:tr>
    </w:tbl>
    <w:p w14:paraId="12513031" w14:textId="77777777" w:rsidR="00C64F31" w:rsidRDefault="00C64F31" w:rsidP="006126FB">
      <w:pPr>
        <w:pBdr>
          <w:top w:val="nil"/>
          <w:left w:val="nil"/>
          <w:bottom w:val="nil"/>
          <w:right w:val="nil"/>
          <w:between w:val="nil"/>
        </w:pBdr>
        <w:tabs>
          <w:tab w:val="left" w:pos="1134"/>
        </w:tabs>
        <w:spacing w:before="120" w:after="120"/>
        <w:ind w:left="360" w:hanging="1004"/>
        <w:jc w:val="left"/>
        <w:rPr>
          <w:rFonts w:cs="Calibri"/>
        </w:rPr>
      </w:pPr>
    </w:p>
    <w:p w14:paraId="4FB2858B"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Termination rights</w:t>
      </w:r>
    </w:p>
    <w:p w14:paraId="0EB9F2C0" w14:textId="77777777" w:rsidR="00C64F31" w:rsidRDefault="007B6802" w:rsidP="006126FB">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Relevant Authority shall be entitled to terminate the Contract if:</w:t>
      </w:r>
    </w:p>
    <w:p w14:paraId="0EA26DA5" w14:textId="70E6373E"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fails to notify the Relevant Authority of a Financial Distress Event in accordance with Paragraph </w:t>
      </w:r>
      <w:r w:rsidR="0040292F">
        <w:rPr>
          <w:rFonts w:eastAsia="Arial"/>
        </w:rPr>
        <w:fldChar w:fldCharType="begin"/>
      </w:r>
      <w:r w:rsidR="0040292F">
        <w:rPr>
          <w:rFonts w:eastAsia="Arial"/>
        </w:rPr>
        <w:instrText xml:space="preserve"> REF _Ref190943757 \r \h </w:instrText>
      </w:r>
      <w:r w:rsidR="0040292F">
        <w:rPr>
          <w:rFonts w:eastAsia="Arial"/>
        </w:rPr>
      </w:r>
      <w:r w:rsidR="0040292F">
        <w:rPr>
          <w:rFonts w:eastAsia="Arial"/>
        </w:rPr>
        <w:fldChar w:fldCharType="separate"/>
      </w:r>
      <w:r w:rsidR="0040292F">
        <w:rPr>
          <w:rFonts w:eastAsia="Arial"/>
        </w:rPr>
        <w:t>2.3.3</w:t>
      </w:r>
      <w:r w:rsidR="0040292F">
        <w:rPr>
          <w:rFonts w:eastAsia="Arial"/>
        </w:rPr>
        <w:fldChar w:fldCharType="end"/>
      </w:r>
      <w:r>
        <w:rPr>
          <w:rFonts w:eastAsia="Arial"/>
        </w:rPr>
        <w:t>;</w:t>
      </w:r>
    </w:p>
    <w:p w14:paraId="085507C5" w14:textId="68C659BB"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Parties fail to agree a Financial Distress Remediation Plan (or any updated Financial Distress Remediation Plan) in accordance with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40292F">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_Ref190943637 \r \h </w:instrText>
      </w:r>
      <w:r w:rsidR="0040292F">
        <w:rPr>
          <w:rFonts w:eastAsia="Arial"/>
        </w:rPr>
      </w:r>
      <w:r w:rsidR="0040292F">
        <w:rPr>
          <w:rFonts w:eastAsia="Arial"/>
        </w:rPr>
        <w:fldChar w:fldCharType="separate"/>
      </w:r>
      <w:r w:rsidR="0040292F">
        <w:rPr>
          <w:rFonts w:eastAsia="Arial"/>
        </w:rPr>
        <w:t>4.5</w:t>
      </w:r>
      <w:r w:rsidR="0040292F">
        <w:rPr>
          <w:rFonts w:eastAsia="Arial"/>
        </w:rPr>
        <w:fldChar w:fldCharType="end"/>
      </w:r>
      <w:r>
        <w:rPr>
          <w:rFonts w:eastAsia="Arial"/>
        </w:rPr>
        <w:t>; and/or</w:t>
      </w:r>
    </w:p>
    <w:p w14:paraId="4117C637" w14:textId="69585C41"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fails to comply with the terms of the Financial Distress Remediation Plan (or any updated Financial Distress Remediation Plan) in accordance with Paragraph </w:t>
      </w:r>
      <w:r w:rsidR="0040292F">
        <w:rPr>
          <w:rFonts w:eastAsia="Arial"/>
        </w:rPr>
        <w:fldChar w:fldCharType="begin"/>
      </w:r>
      <w:r w:rsidR="0040292F">
        <w:rPr>
          <w:rFonts w:eastAsia="Arial"/>
        </w:rPr>
        <w:instrText xml:space="preserve"> REF _Ref190943784 \r \h </w:instrText>
      </w:r>
      <w:r w:rsidR="0040292F">
        <w:rPr>
          <w:rFonts w:eastAsia="Arial"/>
        </w:rPr>
      </w:r>
      <w:r w:rsidR="0040292F">
        <w:rPr>
          <w:rFonts w:eastAsia="Arial"/>
        </w:rPr>
        <w:fldChar w:fldCharType="separate"/>
      </w:r>
      <w:r w:rsidR="0040292F">
        <w:rPr>
          <w:rFonts w:eastAsia="Arial"/>
        </w:rPr>
        <w:t>4.6.3</w:t>
      </w:r>
      <w:r w:rsidR="0040292F">
        <w:rPr>
          <w:rFonts w:eastAsia="Arial"/>
        </w:rPr>
        <w:fldChar w:fldCharType="end"/>
      </w:r>
      <w:r>
        <w:rPr>
          <w:rFonts w:eastAsia="Arial"/>
        </w:rPr>
        <w:t>,</w:t>
      </w:r>
    </w:p>
    <w:p w14:paraId="481C07EB" w14:textId="18BE977E" w:rsidR="00C64F31" w:rsidRDefault="007B6802" w:rsidP="00822306">
      <w:pPr>
        <w:pBdr>
          <w:top w:val="nil"/>
          <w:left w:val="nil"/>
          <w:bottom w:val="nil"/>
          <w:right w:val="nil"/>
          <w:between w:val="nil"/>
        </w:pBdr>
        <w:tabs>
          <w:tab w:val="left" w:pos="1985"/>
        </w:tabs>
        <w:spacing w:before="120" w:after="120"/>
        <w:ind w:left="1134"/>
        <w:rPr>
          <w:rFonts w:eastAsia="Arial"/>
        </w:rPr>
      </w:pPr>
      <w:r>
        <w:rPr>
          <w:rFonts w:eastAsia="Arial"/>
        </w:rPr>
        <w:lastRenderedPageBreak/>
        <w:t xml:space="preserve">which shall be deemed to be an event to which Clause </w:t>
      </w:r>
      <w:r w:rsidR="009152D9">
        <w:rPr>
          <w:rFonts w:eastAsia="Arial"/>
        </w:rPr>
        <w:t>13.3</w:t>
      </w:r>
      <w:r>
        <w:rPr>
          <w:rFonts w:eastAsia="Arial"/>
        </w:rPr>
        <w:t xml:space="preserve"> </w:t>
      </w:r>
      <w:r w:rsidR="009152D9" w:rsidRPr="009152D9">
        <w:rPr>
          <w:rFonts w:eastAsia="Arial"/>
          <w:i/>
        </w:rPr>
        <w:t>(When CCS or the Buyer can end a contract)</w:t>
      </w:r>
      <w:r w:rsidR="009152D9">
        <w:rPr>
          <w:rFonts w:eastAsia="Arial"/>
        </w:rPr>
        <w:t xml:space="preserve"> </w:t>
      </w:r>
      <w:r>
        <w:rPr>
          <w:rFonts w:eastAsia="Arial"/>
        </w:rPr>
        <w:t xml:space="preserve">of the </w:t>
      </w:r>
      <w:r w:rsidR="00EF154A">
        <w:rPr>
          <w:rFonts w:eastAsia="Arial"/>
        </w:rPr>
        <w:t xml:space="preserve">General </w:t>
      </w:r>
      <w:r>
        <w:rPr>
          <w:rFonts w:eastAsia="Arial"/>
        </w:rPr>
        <w:t xml:space="preserve">Terms applies and Clause </w:t>
      </w:r>
      <w:r w:rsidR="007113AF">
        <w:rPr>
          <w:rFonts w:eastAsia="Arial"/>
        </w:rPr>
        <w:t>13.4.1</w:t>
      </w:r>
      <w:r>
        <w:rPr>
          <w:rFonts w:eastAsia="Arial"/>
        </w:rPr>
        <w:t xml:space="preserve"> of the </w:t>
      </w:r>
      <w:r w:rsidR="00EF154A">
        <w:rPr>
          <w:rFonts w:eastAsia="Arial"/>
        </w:rPr>
        <w:t xml:space="preserve">General </w:t>
      </w:r>
      <w:r>
        <w:rPr>
          <w:rFonts w:eastAsia="Arial"/>
        </w:rPr>
        <w:t>Terms shall apply accordingly.</w:t>
      </w:r>
    </w:p>
    <w:p w14:paraId="76689756"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r>
        <w:rPr>
          <w:rFonts w:ascii="Arial Bold" w:eastAsia="Arial Bold" w:hAnsi="Arial Bold" w:cs="Arial Bold"/>
          <w:b/>
        </w:rPr>
        <w:t>Primacy of Credit Ratings</w:t>
      </w:r>
    </w:p>
    <w:p w14:paraId="2582BDB2" w14:textId="00C88C35"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4" w:name="_Ref190943500"/>
      <w:r>
        <w:rPr>
          <w:rFonts w:eastAsia="Arial"/>
        </w:rPr>
        <w:t xml:space="preserve">Without prejudice to the Supplier’s obligations and the Relevant Authority’s rights and remedies under Paragraph </w:t>
      </w:r>
      <w:r w:rsidR="0040292F">
        <w:rPr>
          <w:rFonts w:eastAsia="Arial"/>
        </w:rPr>
        <w:fldChar w:fldCharType="begin"/>
      </w:r>
      <w:r w:rsidR="0040292F">
        <w:rPr>
          <w:rFonts w:eastAsia="Arial"/>
        </w:rPr>
        <w:instrText xml:space="preserve"> REF _Ref190943798 \r \h </w:instrText>
      </w:r>
      <w:r w:rsidR="0040292F">
        <w:rPr>
          <w:rFonts w:eastAsia="Arial"/>
        </w:rPr>
      </w:r>
      <w:r w:rsidR="0040292F">
        <w:rPr>
          <w:rFonts w:eastAsia="Arial"/>
        </w:rPr>
        <w:fldChar w:fldCharType="separate"/>
      </w:r>
      <w:r w:rsidR="0040292F">
        <w:rPr>
          <w:rFonts w:eastAsia="Arial"/>
        </w:rPr>
        <w:t>2</w:t>
      </w:r>
      <w:r w:rsidR="0040292F">
        <w:rPr>
          <w:rFonts w:eastAsia="Arial"/>
        </w:rPr>
        <w:fldChar w:fldCharType="end"/>
      </w:r>
      <w:r>
        <w:rPr>
          <w:rFonts w:eastAsia="Arial"/>
        </w:rPr>
        <w:t xml:space="preserve">, if, following the occurrence of a Financial Distress Event pursuant to any of Paragraphs </w:t>
      </w:r>
      <w:r w:rsidR="0040292F">
        <w:rPr>
          <w:rFonts w:eastAsia="Arial"/>
        </w:rPr>
        <w:fldChar w:fldCharType="begin"/>
      </w:r>
      <w:r w:rsidR="0040292F">
        <w:rPr>
          <w:rFonts w:eastAsia="Arial"/>
        </w:rPr>
        <w:instrText xml:space="preserve"> REF _Ref190943809 \r \h </w:instrText>
      </w:r>
      <w:r w:rsidR="0040292F">
        <w:rPr>
          <w:rFonts w:eastAsia="Arial"/>
        </w:rPr>
      </w:r>
      <w:r w:rsidR="0040292F">
        <w:rPr>
          <w:rFonts w:eastAsia="Arial"/>
        </w:rPr>
        <w:fldChar w:fldCharType="separate"/>
      </w:r>
      <w:r w:rsidR="0040292F">
        <w:rPr>
          <w:rFonts w:eastAsia="Arial"/>
        </w:rPr>
        <w:t>3.1.2</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_Ref190943833 \r \h </w:instrText>
      </w:r>
      <w:r w:rsidR="0040292F">
        <w:rPr>
          <w:rFonts w:eastAsia="Arial"/>
        </w:rPr>
      </w:r>
      <w:r w:rsidR="0040292F">
        <w:rPr>
          <w:rFonts w:eastAsia="Arial"/>
        </w:rPr>
        <w:fldChar w:fldCharType="separate"/>
      </w:r>
      <w:r w:rsidR="0040292F">
        <w:rPr>
          <w:rFonts w:eastAsia="Arial"/>
        </w:rPr>
        <w:t>3.1.7</w:t>
      </w:r>
      <w:r w:rsidR="0040292F">
        <w:rPr>
          <w:rFonts w:eastAsia="Arial"/>
        </w:rPr>
        <w:fldChar w:fldCharType="end"/>
      </w:r>
      <w:r>
        <w:rPr>
          <w:rFonts w:eastAsia="Arial"/>
        </w:rPr>
        <w:t>, the Rating Agencies review and report subsequently that the credit ratings for the FDE Group entities do not drop below the relevant Credit Rating Thresholds specified for those entities in Annex 2 to this Schedule, then:</w:t>
      </w:r>
      <w:bookmarkEnd w:id="24"/>
    </w:p>
    <w:p w14:paraId="23B42E75" w14:textId="50DC8C89"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Supplier shall be relieved automatically of its obligations under Paragraphs </w:t>
      </w:r>
      <w:r w:rsidR="0040292F">
        <w:rPr>
          <w:rFonts w:eastAsia="Arial"/>
        </w:rPr>
        <w:fldChar w:fldCharType="begin"/>
      </w:r>
      <w:r w:rsidR="0040292F">
        <w:rPr>
          <w:rFonts w:eastAsia="Arial"/>
        </w:rPr>
        <w:instrText xml:space="preserve"> REF _Ref190943562 \r \h </w:instrText>
      </w:r>
      <w:r w:rsidR="0040292F">
        <w:rPr>
          <w:rFonts w:eastAsia="Arial"/>
        </w:rPr>
      </w:r>
      <w:r w:rsidR="0040292F">
        <w:rPr>
          <w:rFonts w:eastAsia="Arial"/>
        </w:rPr>
        <w:fldChar w:fldCharType="separate"/>
      </w:r>
      <w:r w:rsidR="0040292F">
        <w:rPr>
          <w:rFonts w:eastAsia="Arial"/>
        </w:rPr>
        <w:t>4.3</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_Ref190943568 \r \h </w:instrText>
      </w:r>
      <w:r w:rsidR="0040292F">
        <w:rPr>
          <w:rFonts w:eastAsia="Arial"/>
        </w:rPr>
      </w:r>
      <w:r w:rsidR="0040292F">
        <w:rPr>
          <w:rFonts w:eastAsia="Arial"/>
        </w:rPr>
        <w:fldChar w:fldCharType="separate"/>
      </w:r>
      <w:r w:rsidR="0040292F">
        <w:rPr>
          <w:rFonts w:eastAsia="Arial"/>
        </w:rPr>
        <w:t>4.6</w:t>
      </w:r>
      <w:r w:rsidR="0040292F">
        <w:rPr>
          <w:rFonts w:eastAsia="Arial"/>
        </w:rPr>
        <w:fldChar w:fldCharType="end"/>
      </w:r>
      <w:r>
        <w:rPr>
          <w:rFonts w:eastAsia="Arial"/>
        </w:rPr>
        <w:t>; and</w:t>
      </w:r>
    </w:p>
    <w:p w14:paraId="5266FB58" w14:textId="6BF6C047"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 xml:space="preserve">the Relevant Authority shall not be entitled to require the Supplier to provide financial information in accordance with Paragraph </w:t>
      </w:r>
      <w:r w:rsidR="0040292F">
        <w:rPr>
          <w:rFonts w:eastAsia="Arial"/>
        </w:rPr>
        <w:fldChar w:fldCharType="begin"/>
      </w:r>
      <w:r w:rsidR="0040292F">
        <w:rPr>
          <w:rFonts w:eastAsia="Arial"/>
        </w:rPr>
        <w:instrText xml:space="preserve"> REF _Ref190943718 \r \h </w:instrText>
      </w:r>
      <w:r w:rsidR="0040292F">
        <w:rPr>
          <w:rFonts w:eastAsia="Arial"/>
        </w:rPr>
      </w:r>
      <w:r w:rsidR="0040292F">
        <w:rPr>
          <w:rFonts w:eastAsia="Arial"/>
        </w:rPr>
        <w:fldChar w:fldCharType="separate"/>
      </w:r>
      <w:r w:rsidR="0040292F">
        <w:rPr>
          <w:rFonts w:eastAsia="Arial"/>
        </w:rPr>
        <w:t>4.3.2(b)</w:t>
      </w:r>
      <w:r w:rsidR="0040292F">
        <w:rPr>
          <w:rFonts w:eastAsia="Arial"/>
        </w:rPr>
        <w:fldChar w:fldCharType="end"/>
      </w:r>
      <w:r>
        <w:rPr>
          <w:rFonts w:eastAsia="Arial"/>
        </w:rPr>
        <w:t>.</w:t>
      </w:r>
    </w:p>
    <w:p w14:paraId="53C54BB0" w14:textId="77777777" w:rsidR="00C64F31" w:rsidRDefault="007B6802" w:rsidP="0040292F">
      <w:pPr>
        <w:keepNext/>
        <w:numPr>
          <w:ilvl w:val="0"/>
          <w:numId w:val="2"/>
        </w:numPr>
        <w:pBdr>
          <w:top w:val="nil"/>
          <w:left w:val="nil"/>
          <w:bottom w:val="nil"/>
          <w:right w:val="nil"/>
          <w:between w:val="nil"/>
        </w:pBdr>
        <w:tabs>
          <w:tab w:val="left" w:pos="426"/>
        </w:tabs>
        <w:spacing w:before="120" w:after="120"/>
        <w:ind w:left="426" w:hanging="426"/>
        <w:jc w:val="left"/>
        <w:rPr>
          <w:rFonts w:ascii="Arial Bold" w:eastAsia="Arial Bold" w:hAnsi="Arial Bold" w:cs="Arial Bold"/>
          <w:b/>
        </w:rPr>
      </w:pPr>
      <w:bookmarkStart w:id="25" w:name="_Ref190943405"/>
      <w:r>
        <w:rPr>
          <w:rFonts w:ascii="Arial Bold" w:eastAsia="Arial Bold" w:hAnsi="Arial Bold" w:cs="Arial Bold"/>
          <w:b/>
        </w:rPr>
        <w:t>Board confirmation</w:t>
      </w:r>
      <w:bookmarkEnd w:id="25"/>
    </w:p>
    <w:p w14:paraId="52F58E48" w14:textId="26D8EA8E"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6" w:name="_Ref190943895"/>
      <w:r w:rsidRPr="0040292F">
        <w:rPr>
          <w:rFonts w:eastAsia="Arial"/>
        </w:rPr>
        <w:t xml:space="preserve">If the Contract has been specified as a Critical Service Contract under Paragraph 1.1 of Call-Off Schedule 24 </w:t>
      </w:r>
      <w:r w:rsidRPr="0040292F">
        <w:rPr>
          <w:rFonts w:eastAsia="Arial"/>
          <w:i/>
        </w:rPr>
        <w:t>(Corporate Resolution Planning)</w:t>
      </w:r>
      <w:r w:rsidRPr="0040292F">
        <w:rPr>
          <w:rFonts w:eastAsia="Arial"/>
        </w:rPr>
        <w:t xml:space="preserve"> (</w:t>
      </w:r>
      <w:r>
        <w:rPr>
          <w:rFonts w:eastAsia="Arial"/>
        </w:rPr>
        <w:t xml:space="preserve">if applicable) then, subject to Paragraph </w:t>
      </w:r>
      <w:r w:rsidR="0040292F">
        <w:rPr>
          <w:rFonts w:eastAsia="Arial"/>
        </w:rPr>
        <w:fldChar w:fldCharType="begin"/>
      </w:r>
      <w:r w:rsidR="0040292F">
        <w:rPr>
          <w:rFonts w:eastAsia="Arial"/>
        </w:rPr>
        <w:instrText xml:space="preserve"> REF _Ref190943883 \r \h </w:instrText>
      </w:r>
      <w:r w:rsidR="0040292F">
        <w:rPr>
          <w:rFonts w:eastAsia="Arial"/>
        </w:rPr>
      </w:r>
      <w:r w:rsidR="0040292F">
        <w:rPr>
          <w:rFonts w:eastAsia="Arial"/>
        </w:rPr>
        <w:fldChar w:fldCharType="separate"/>
      </w:r>
      <w:r w:rsidR="0040292F">
        <w:rPr>
          <w:rFonts w:eastAsia="Arial"/>
        </w:rPr>
        <w:t>8.4</w:t>
      </w:r>
      <w:r w:rsidR="0040292F">
        <w:rPr>
          <w:rFonts w:eastAsia="Arial"/>
        </w:rPr>
        <w:fldChar w:fldCharType="end"/>
      </w:r>
      <w:r>
        <w:rPr>
          <w:rFonts w:eastAsia="Arial"/>
        </w:rPr>
        <w:t xml:space="preserve">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bookmarkEnd w:id="26"/>
    </w:p>
    <w:p w14:paraId="316036D9" w14:textId="77777777"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that a Financial Distress Event has occurred since the later of the Effective Date or the previous Board Confirmation or is subsisting; or</w:t>
      </w:r>
    </w:p>
    <w:p w14:paraId="532502BD" w14:textId="77777777" w:rsidR="00C64F31" w:rsidRDefault="007B6802" w:rsidP="00822306">
      <w:pPr>
        <w:numPr>
          <w:ilvl w:val="2"/>
          <w:numId w:val="2"/>
        </w:numPr>
        <w:pBdr>
          <w:top w:val="nil"/>
          <w:left w:val="nil"/>
          <w:bottom w:val="nil"/>
          <w:right w:val="nil"/>
          <w:between w:val="nil"/>
        </w:pBdr>
        <w:tabs>
          <w:tab w:val="left" w:pos="1985"/>
        </w:tabs>
        <w:spacing w:before="120" w:after="120"/>
        <w:ind w:left="1985" w:hanging="851"/>
        <w:rPr>
          <w:rFonts w:eastAsia="Arial"/>
        </w:rPr>
      </w:pPr>
      <w:r>
        <w:rPr>
          <w:rFonts w:eastAsia="Arial"/>
        </w:rPr>
        <w:t>of any matters which have occurred or are subsisting that could reasonably be expected to cause a Financial Distress Event.</w:t>
      </w:r>
    </w:p>
    <w:p w14:paraId="4DE6F9AE" w14:textId="77777777"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r>
        <w:rPr>
          <w:rFonts w:eastAsia="Arial"/>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31056D11" w14:textId="1EA54BA6"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7" w:name="_Ref190943908"/>
      <w:r>
        <w:rPr>
          <w:rFonts w:eastAsia="Arial"/>
        </w:rPr>
        <w:t>In respect of the first Board Confir</w:t>
      </w:r>
      <w:r w:rsidR="0040292F">
        <w:rPr>
          <w:rFonts w:eastAsia="Arial"/>
        </w:rPr>
        <w:t>mation to be provided under the</w:t>
      </w:r>
      <w:r>
        <w:rPr>
          <w:rFonts w:eastAsia="Arial"/>
        </w:rPr>
        <w:t xml:space="preserve"> Contract, the Supplier shall provide the Board Confirmation within 15 months of the Effective Date if earlier than the timescale for submission set out in Paragraph </w:t>
      </w:r>
      <w:r w:rsidR="0040292F">
        <w:rPr>
          <w:rFonts w:eastAsia="Arial"/>
        </w:rPr>
        <w:fldChar w:fldCharType="begin"/>
      </w:r>
      <w:r w:rsidR="0040292F">
        <w:rPr>
          <w:rFonts w:eastAsia="Arial"/>
        </w:rPr>
        <w:instrText xml:space="preserve"> REF _Ref190943895 \r \h </w:instrText>
      </w:r>
      <w:r w:rsidR="0040292F">
        <w:rPr>
          <w:rFonts w:eastAsia="Arial"/>
        </w:rPr>
      </w:r>
      <w:r w:rsidR="0040292F">
        <w:rPr>
          <w:rFonts w:eastAsia="Arial"/>
        </w:rPr>
        <w:fldChar w:fldCharType="separate"/>
      </w:r>
      <w:r w:rsidR="0040292F">
        <w:rPr>
          <w:rFonts w:eastAsia="Arial"/>
        </w:rPr>
        <w:t>8.1</w:t>
      </w:r>
      <w:r w:rsidR="0040292F">
        <w:rPr>
          <w:rFonts w:eastAsia="Arial"/>
        </w:rPr>
        <w:fldChar w:fldCharType="end"/>
      </w:r>
      <w:r>
        <w:rPr>
          <w:rFonts w:eastAsia="Arial"/>
        </w:rPr>
        <w:t xml:space="preserve"> of this Schedule.</w:t>
      </w:r>
      <w:bookmarkEnd w:id="27"/>
    </w:p>
    <w:p w14:paraId="3835EB62" w14:textId="640127A9" w:rsidR="00C64F31" w:rsidRDefault="007B6802" w:rsidP="00822306">
      <w:pPr>
        <w:numPr>
          <w:ilvl w:val="1"/>
          <w:numId w:val="2"/>
        </w:numPr>
        <w:pBdr>
          <w:top w:val="nil"/>
          <w:left w:val="nil"/>
          <w:bottom w:val="nil"/>
          <w:right w:val="nil"/>
          <w:between w:val="nil"/>
        </w:pBdr>
        <w:tabs>
          <w:tab w:val="left" w:pos="1134"/>
        </w:tabs>
        <w:spacing w:before="120" w:after="120"/>
        <w:ind w:left="1134" w:hanging="708"/>
        <w:jc w:val="left"/>
        <w:rPr>
          <w:rFonts w:eastAsia="Arial"/>
        </w:rPr>
      </w:pPr>
      <w:bookmarkStart w:id="28" w:name="_Ref190943883"/>
      <w:r>
        <w:rPr>
          <w:rFonts w:eastAsia="Arial"/>
        </w:rPr>
        <w:t xml:space="preserve">Where the Supplier is unable to provide a Board Confirmation in accordance with Paragraphs </w:t>
      </w:r>
      <w:r w:rsidR="0040292F">
        <w:rPr>
          <w:rFonts w:eastAsia="Arial"/>
        </w:rPr>
        <w:fldChar w:fldCharType="begin"/>
      </w:r>
      <w:r w:rsidR="0040292F">
        <w:rPr>
          <w:rFonts w:eastAsia="Arial"/>
        </w:rPr>
        <w:instrText xml:space="preserve"> REF _Ref190943895 \r \h </w:instrText>
      </w:r>
      <w:r w:rsidR="0040292F">
        <w:rPr>
          <w:rFonts w:eastAsia="Arial"/>
        </w:rPr>
      </w:r>
      <w:r w:rsidR="0040292F">
        <w:rPr>
          <w:rFonts w:eastAsia="Arial"/>
        </w:rPr>
        <w:fldChar w:fldCharType="separate"/>
      </w:r>
      <w:r w:rsidR="0040292F">
        <w:rPr>
          <w:rFonts w:eastAsia="Arial"/>
        </w:rPr>
        <w:t>8.1</w:t>
      </w:r>
      <w:r w:rsidR="0040292F">
        <w:rPr>
          <w:rFonts w:eastAsia="Arial"/>
        </w:rPr>
        <w:fldChar w:fldCharType="end"/>
      </w:r>
      <w:r>
        <w:rPr>
          <w:rFonts w:eastAsia="Arial"/>
        </w:rPr>
        <w:t xml:space="preserve"> to </w:t>
      </w:r>
      <w:r w:rsidR="0040292F">
        <w:rPr>
          <w:rFonts w:eastAsia="Arial"/>
        </w:rPr>
        <w:fldChar w:fldCharType="begin"/>
      </w:r>
      <w:r w:rsidR="0040292F">
        <w:rPr>
          <w:rFonts w:eastAsia="Arial"/>
        </w:rPr>
        <w:instrText xml:space="preserve"> REF _Ref190943908 \r \h </w:instrText>
      </w:r>
      <w:r w:rsidR="0040292F">
        <w:rPr>
          <w:rFonts w:eastAsia="Arial"/>
        </w:rPr>
      </w:r>
      <w:r w:rsidR="0040292F">
        <w:rPr>
          <w:rFonts w:eastAsia="Arial"/>
        </w:rPr>
        <w:fldChar w:fldCharType="separate"/>
      </w:r>
      <w:r w:rsidR="0040292F">
        <w:rPr>
          <w:rFonts w:eastAsia="Arial"/>
        </w:rPr>
        <w:t>8.3</w:t>
      </w:r>
      <w:r w:rsidR="0040292F">
        <w:rPr>
          <w:rFonts w:eastAsia="Arial"/>
        </w:rPr>
        <w:fldChar w:fldCharType="end"/>
      </w:r>
      <w:r>
        <w:rPr>
          <w:rFonts w:eastAsia="Arial"/>
        </w:rPr>
        <w:t xml:space="preserve"> of this Schedule due to the occurrence of a Financial Distress Event or knowledge of subsisting matters which could reasonably be expected to cause a Financial Distress Event, it will be sufficient for the Supplier to submit in place of the Board Confirmation, a statement from </w:t>
      </w:r>
      <w:r w:rsidR="00C52A89">
        <w:rPr>
          <w:rFonts w:eastAsia="Arial"/>
        </w:rPr>
        <w:t>an Authorised Financial Representative</w:t>
      </w:r>
      <w:r>
        <w:rPr>
          <w:rFonts w:eastAsia="Arial"/>
        </w:rPr>
        <w:t xml:space="preserve"> to the Buyer (and where the Supplier is a Strategic Supplier, the Supplier </w:t>
      </w:r>
      <w:r>
        <w:rPr>
          <w:rFonts w:eastAsia="Arial"/>
        </w:rPr>
        <w:lastRenderedPageBreak/>
        <w:t>shall send a copy of the statement to the Cabinet Office Markets and Suppliers Team) setting out full details of any Financial Distress Events that have occurred and/or the matters which could reasonably be expected to cause a Financial Distress Event.</w:t>
      </w:r>
      <w:bookmarkEnd w:id="28"/>
    </w:p>
    <w:p w14:paraId="0793F003" w14:textId="77777777" w:rsidR="00C64F31" w:rsidRDefault="00C64F31" w:rsidP="006126FB">
      <w:pPr>
        <w:pBdr>
          <w:top w:val="nil"/>
          <w:left w:val="nil"/>
          <w:bottom w:val="nil"/>
          <w:right w:val="nil"/>
          <w:between w:val="nil"/>
        </w:pBdr>
        <w:tabs>
          <w:tab w:val="left" w:pos="142"/>
        </w:tabs>
        <w:spacing w:before="120" w:after="120"/>
        <w:ind w:left="360" w:hanging="360"/>
        <w:rPr>
          <w:rFonts w:cs="Calibri"/>
          <w:b/>
          <w:smallCaps/>
        </w:rPr>
      </w:pPr>
    </w:p>
    <w:p w14:paraId="516B5BA9" w14:textId="77777777" w:rsidR="00C64F31" w:rsidRPr="00085A89" w:rsidRDefault="007B6802" w:rsidP="006126FB">
      <w:pPr>
        <w:spacing w:before="120" w:after="120"/>
        <w:jc w:val="left"/>
        <w:rPr>
          <w:rFonts w:eastAsia="Arial"/>
          <w:b/>
          <w:sz w:val="36"/>
          <w:szCs w:val="36"/>
        </w:rPr>
      </w:pPr>
      <w:r w:rsidRPr="00085A89">
        <w:rPr>
          <w:sz w:val="36"/>
          <w:szCs w:val="36"/>
        </w:rPr>
        <w:br w:type="page"/>
      </w:r>
      <w:r w:rsidRPr="00085A89">
        <w:rPr>
          <w:rFonts w:eastAsia="Arial"/>
          <w:b/>
          <w:sz w:val="36"/>
          <w:szCs w:val="36"/>
        </w:rPr>
        <w:lastRenderedPageBreak/>
        <w:t>Annex 1: Rating Agencies and their standard Rating System</w:t>
      </w:r>
    </w:p>
    <w:p w14:paraId="37E7B24A" w14:textId="073BE696" w:rsidR="00C64F31" w:rsidRDefault="007369D7" w:rsidP="00822306">
      <w:pPr>
        <w:keepNext/>
        <w:pBdr>
          <w:top w:val="nil"/>
          <w:left w:val="nil"/>
          <w:bottom w:val="nil"/>
          <w:right w:val="nil"/>
          <w:between w:val="nil"/>
        </w:pBdr>
        <w:spacing w:before="120" w:after="120"/>
        <w:jc w:val="left"/>
        <w:rPr>
          <w:rFonts w:eastAsia="Arial"/>
        </w:rPr>
      </w:pPr>
      <w:r>
        <w:rPr>
          <w:rFonts w:eastAsia="Arial"/>
        </w:rPr>
        <w:t>Duns and Bradstreet</w:t>
      </w:r>
    </w:p>
    <w:p w14:paraId="4EAF8238" w14:textId="77777777" w:rsidR="00C64F31" w:rsidRDefault="007B6802" w:rsidP="006126FB">
      <w:pPr>
        <w:spacing w:before="120" w:after="120"/>
        <w:jc w:val="left"/>
        <w:rPr>
          <w:rFonts w:eastAsia="Arial"/>
        </w:rPr>
      </w:pPr>
      <w:r>
        <w:br w:type="page"/>
      </w:r>
    </w:p>
    <w:p w14:paraId="3E23872B" w14:textId="77777777" w:rsidR="00C64F31" w:rsidRPr="00085A89" w:rsidRDefault="007B6802" w:rsidP="006126FB">
      <w:pPr>
        <w:pBdr>
          <w:top w:val="nil"/>
          <w:left w:val="nil"/>
          <w:bottom w:val="nil"/>
          <w:right w:val="nil"/>
          <w:between w:val="nil"/>
        </w:pBdr>
        <w:spacing w:before="120" w:after="120"/>
        <w:rPr>
          <w:rFonts w:ascii="Arial Bold" w:eastAsia="Arial Bold" w:hAnsi="Arial Bold" w:cs="Arial Bold"/>
          <w:b/>
          <w:smallCaps/>
          <w:sz w:val="36"/>
          <w:szCs w:val="36"/>
        </w:rPr>
      </w:pPr>
      <w:bookmarkStart w:id="29" w:name="_heading=h.2bn6wsx" w:colFirst="0" w:colLast="0"/>
      <w:bookmarkEnd w:id="29"/>
      <w:r w:rsidRPr="00085A89">
        <w:rPr>
          <w:rFonts w:ascii="Arial Bold" w:eastAsia="Arial Bold" w:hAnsi="Arial Bold" w:cs="Arial Bold"/>
          <w:b/>
          <w:sz w:val="36"/>
          <w:szCs w:val="36"/>
        </w:rPr>
        <w:lastRenderedPageBreak/>
        <w:t>Annex 2</w:t>
      </w:r>
      <w:r w:rsidRPr="00085A89">
        <w:rPr>
          <w:rFonts w:ascii="Arial Bold" w:eastAsia="Arial Bold" w:hAnsi="Arial Bold" w:cs="Arial Bold"/>
          <w:b/>
          <w:smallCaps/>
          <w:sz w:val="36"/>
          <w:szCs w:val="36"/>
        </w:rPr>
        <w:t xml:space="preserve">: </w:t>
      </w:r>
      <w:r w:rsidRPr="00085A89">
        <w:rPr>
          <w:rFonts w:ascii="Arial Bold" w:eastAsia="Arial Bold" w:hAnsi="Arial Bold" w:cs="Arial Bold"/>
          <w:b/>
          <w:sz w:val="36"/>
          <w:szCs w:val="36"/>
        </w:rPr>
        <w:t>Credit Ratings and Credit Rating Thresholds</w:t>
      </w:r>
    </w:p>
    <w:tbl>
      <w:tblPr>
        <w:tblStyle w:val="a2"/>
        <w:tblW w:w="924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3081"/>
      </w:tblGrid>
      <w:tr w:rsidR="009C1927" w14:paraId="191EF526" w14:textId="67953C1E" w:rsidTr="00DB546E">
        <w:tc>
          <w:tcPr>
            <w:tcW w:w="3080" w:type="dxa"/>
            <w:tcBorders>
              <w:top w:val="single" w:sz="4" w:space="0" w:color="000000"/>
            </w:tcBorders>
            <w:shd w:val="clear" w:color="auto" w:fill="FFFFFF"/>
          </w:tcPr>
          <w:p w14:paraId="74055AE1" w14:textId="77777777" w:rsidR="009C1927" w:rsidRDefault="009C1927" w:rsidP="006126FB">
            <w:pPr>
              <w:keepNext/>
              <w:pBdr>
                <w:top w:val="nil"/>
                <w:left w:val="nil"/>
                <w:bottom w:val="nil"/>
                <w:right w:val="nil"/>
                <w:between w:val="nil"/>
              </w:pBdr>
              <w:spacing w:before="120" w:after="120"/>
              <w:ind w:left="142"/>
              <w:jc w:val="left"/>
              <w:rPr>
                <w:rFonts w:eastAsia="Arial"/>
                <w:b/>
              </w:rPr>
            </w:pPr>
            <w:r>
              <w:rPr>
                <w:rFonts w:eastAsia="Arial"/>
                <w:b/>
              </w:rPr>
              <w:t>Entity</w:t>
            </w:r>
          </w:p>
        </w:tc>
        <w:tc>
          <w:tcPr>
            <w:tcW w:w="3081" w:type="dxa"/>
            <w:tcBorders>
              <w:top w:val="single" w:sz="4" w:space="0" w:color="000000"/>
            </w:tcBorders>
            <w:shd w:val="clear" w:color="auto" w:fill="FFFFFF"/>
          </w:tcPr>
          <w:p w14:paraId="0C7C56EA" w14:textId="77777777" w:rsidR="009C1927" w:rsidRDefault="009C1927" w:rsidP="006126FB">
            <w:pPr>
              <w:keepNext/>
              <w:pBdr>
                <w:top w:val="nil"/>
                <w:left w:val="nil"/>
                <w:bottom w:val="nil"/>
                <w:right w:val="nil"/>
                <w:between w:val="nil"/>
              </w:pBdr>
              <w:spacing w:before="120" w:after="120"/>
              <w:ind w:left="142"/>
              <w:jc w:val="left"/>
              <w:rPr>
                <w:rFonts w:eastAsia="Arial"/>
                <w:b/>
              </w:rPr>
            </w:pPr>
            <w:r>
              <w:rPr>
                <w:rFonts w:eastAsia="Arial"/>
                <w:b/>
              </w:rPr>
              <w:t>Credit rating (long term)</w:t>
            </w:r>
          </w:p>
        </w:tc>
        <w:tc>
          <w:tcPr>
            <w:tcW w:w="3081" w:type="dxa"/>
            <w:tcBorders>
              <w:top w:val="single" w:sz="4" w:space="0" w:color="000000"/>
            </w:tcBorders>
            <w:shd w:val="clear" w:color="auto" w:fill="FFFFFF"/>
          </w:tcPr>
          <w:p w14:paraId="63303D76" w14:textId="24BABB38" w:rsidR="009C1927" w:rsidRDefault="009C1927" w:rsidP="006126FB">
            <w:pPr>
              <w:keepNext/>
              <w:pBdr>
                <w:top w:val="nil"/>
                <w:left w:val="nil"/>
                <w:bottom w:val="nil"/>
                <w:right w:val="nil"/>
                <w:between w:val="nil"/>
              </w:pBdr>
              <w:spacing w:before="120" w:after="120"/>
              <w:ind w:left="142"/>
              <w:jc w:val="left"/>
              <w:rPr>
                <w:rFonts w:eastAsia="Arial"/>
                <w:b/>
              </w:rPr>
            </w:pPr>
            <w:r>
              <w:rPr>
                <w:rFonts w:eastAsia="Arial"/>
                <w:b/>
              </w:rPr>
              <w:t>Credit Rating Threshold</w:t>
            </w:r>
          </w:p>
        </w:tc>
      </w:tr>
      <w:tr w:rsidR="009C1927" w14:paraId="1EDD63EF" w14:textId="4CB2CDA7" w:rsidTr="00DB546E">
        <w:tc>
          <w:tcPr>
            <w:tcW w:w="3080" w:type="dxa"/>
            <w:shd w:val="clear" w:color="auto" w:fill="FFFFFF"/>
          </w:tcPr>
          <w:p w14:paraId="53AF77BD" w14:textId="77777777" w:rsidR="009C1927" w:rsidRDefault="009C1927" w:rsidP="006126FB">
            <w:pPr>
              <w:keepNext/>
              <w:pBdr>
                <w:top w:val="nil"/>
                <w:left w:val="nil"/>
                <w:bottom w:val="nil"/>
                <w:right w:val="nil"/>
                <w:between w:val="nil"/>
              </w:pBdr>
              <w:spacing w:before="120" w:after="120"/>
              <w:ind w:left="142"/>
              <w:jc w:val="left"/>
              <w:rPr>
                <w:rFonts w:eastAsia="Arial"/>
              </w:rPr>
            </w:pPr>
            <w:r>
              <w:rPr>
                <w:rFonts w:eastAsia="Arial"/>
              </w:rPr>
              <w:t>Supplier</w:t>
            </w:r>
          </w:p>
        </w:tc>
        <w:tc>
          <w:tcPr>
            <w:tcW w:w="3081" w:type="dxa"/>
            <w:shd w:val="clear" w:color="auto" w:fill="FFFFFF"/>
          </w:tcPr>
          <w:p w14:paraId="0D916BB3" w14:textId="484841C9" w:rsidR="009C1927" w:rsidRDefault="007369D7" w:rsidP="006126FB">
            <w:pPr>
              <w:keepNext/>
              <w:pBdr>
                <w:top w:val="nil"/>
                <w:left w:val="nil"/>
                <w:bottom w:val="nil"/>
                <w:right w:val="nil"/>
                <w:between w:val="nil"/>
              </w:pBdr>
              <w:spacing w:before="120" w:after="120"/>
              <w:ind w:left="142"/>
              <w:jc w:val="left"/>
              <w:rPr>
                <w:rFonts w:eastAsia="Arial"/>
              </w:rPr>
            </w:pPr>
            <w:r>
              <w:rPr>
                <w:rFonts w:eastAsia="Arial"/>
              </w:rPr>
              <w:t>Credit Rating</w:t>
            </w:r>
          </w:p>
        </w:tc>
        <w:tc>
          <w:tcPr>
            <w:tcW w:w="3081" w:type="dxa"/>
            <w:shd w:val="clear" w:color="auto" w:fill="FFFFFF"/>
          </w:tcPr>
          <w:p w14:paraId="02886E31" w14:textId="61B81536" w:rsidR="009C1927" w:rsidRDefault="007369D7" w:rsidP="006126FB">
            <w:pPr>
              <w:keepNext/>
              <w:pBdr>
                <w:top w:val="nil"/>
                <w:left w:val="nil"/>
                <w:bottom w:val="nil"/>
                <w:right w:val="nil"/>
                <w:between w:val="nil"/>
              </w:pBdr>
              <w:spacing w:before="120" w:after="120"/>
              <w:ind w:left="142"/>
              <w:jc w:val="left"/>
              <w:rPr>
                <w:rFonts w:eastAsia="Arial"/>
                <w:highlight w:val="yellow"/>
              </w:rPr>
            </w:pPr>
            <w:r w:rsidRPr="007369D7">
              <w:rPr>
                <w:rFonts w:eastAsia="Arial"/>
              </w:rPr>
              <w:t>Below 30</w:t>
            </w:r>
          </w:p>
        </w:tc>
      </w:tr>
      <w:tr w:rsidR="009C1927" w14:paraId="57DD6ADC" w14:textId="46F7FE34" w:rsidTr="00DB546E">
        <w:tc>
          <w:tcPr>
            <w:tcW w:w="3080" w:type="dxa"/>
            <w:shd w:val="clear" w:color="auto" w:fill="FFFFFF"/>
          </w:tcPr>
          <w:p w14:paraId="2E4F7A41" w14:textId="77777777" w:rsidR="009C1927" w:rsidRDefault="009C1927" w:rsidP="006126FB">
            <w:pPr>
              <w:keepNext/>
              <w:pBdr>
                <w:top w:val="nil"/>
                <w:left w:val="nil"/>
                <w:bottom w:val="nil"/>
                <w:right w:val="nil"/>
                <w:between w:val="nil"/>
              </w:pBdr>
              <w:spacing w:before="120" w:after="120"/>
              <w:ind w:left="142"/>
              <w:jc w:val="left"/>
              <w:rPr>
                <w:rFonts w:eastAsia="Arial"/>
              </w:rPr>
            </w:pPr>
            <w:r>
              <w:rPr>
                <w:rFonts w:eastAsia="Arial"/>
                <w:highlight w:val="yellow"/>
              </w:rPr>
              <w:t>[Guarantor]</w:t>
            </w:r>
          </w:p>
        </w:tc>
        <w:tc>
          <w:tcPr>
            <w:tcW w:w="3081" w:type="dxa"/>
            <w:shd w:val="clear" w:color="auto" w:fill="FFFFFF"/>
          </w:tcPr>
          <w:p w14:paraId="3A11CC75" w14:textId="77777777" w:rsidR="009C1927" w:rsidRDefault="009C1927" w:rsidP="006126FB">
            <w:pPr>
              <w:keepNext/>
              <w:pBdr>
                <w:top w:val="nil"/>
                <w:left w:val="nil"/>
                <w:bottom w:val="nil"/>
                <w:right w:val="nil"/>
                <w:between w:val="nil"/>
              </w:pBdr>
              <w:spacing w:before="120" w:after="120"/>
              <w:ind w:left="142"/>
              <w:jc w:val="left"/>
              <w:rPr>
                <w:rFonts w:eastAsia="Arial"/>
              </w:rPr>
            </w:pPr>
          </w:p>
        </w:tc>
        <w:tc>
          <w:tcPr>
            <w:tcW w:w="3081" w:type="dxa"/>
            <w:shd w:val="clear" w:color="auto" w:fill="FFFFFF"/>
          </w:tcPr>
          <w:p w14:paraId="32DFF7C5" w14:textId="77777777" w:rsidR="009C1927" w:rsidRDefault="009C1927" w:rsidP="006126FB">
            <w:pPr>
              <w:keepNext/>
              <w:pBdr>
                <w:top w:val="nil"/>
                <w:left w:val="nil"/>
                <w:bottom w:val="nil"/>
                <w:right w:val="nil"/>
                <w:between w:val="nil"/>
              </w:pBdr>
              <w:spacing w:before="120" w:after="120"/>
              <w:ind w:left="142"/>
              <w:jc w:val="left"/>
              <w:rPr>
                <w:rFonts w:eastAsia="Arial"/>
              </w:rPr>
            </w:pPr>
          </w:p>
        </w:tc>
      </w:tr>
      <w:tr w:rsidR="009C1927" w14:paraId="013BFE9B" w14:textId="55311A1B" w:rsidTr="00DB546E">
        <w:tc>
          <w:tcPr>
            <w:tcW w:w="3080" w:type="dxa"/>
            <w:tcBorders>
              <w:bottom w:val="single" w:sz="4" w:space="0" w:color="000000"/>
            </w:tcBorders>
            <w:shd w:val="clear" w:color="auto" w:fill="FFFFFF"/>
          </w:tcPr>
          <w:p w14:paraId="64596943" w14:textId="77777777" w:rsidR="009C1927" w:rsidRDefault="009C1927" w:rsidP="006126FB">
            <w:pPr>
              <w:keepNext/>
              <w:pBdr>
                <w:top w:val="nil"/>
                <w:left w:val="nil"/>
                <w:bottom w:val="nil"/>
                <w:right w:val="nil"/>
                <w:between w:val="nil"/>
              </w:pBdr>
              <w:spacing w:before="120" w:after="120"/>
              <w:ind w:left="142"/>
              <w:jc w:val="left"/>
              <w:rPr>
                <w:rFonts w:eastAsia="Arial"/>
                <w:highlight w:val="yellow"/>
              </w:rPr>
            </w:pPr>
            <w:r>
              <w:rPr>
                <w:rFonts w:eastAsia="Arial"/>
                <w:highlight w:val="yellow"/>
              </w:rPr>
              <w:t>[Key Subcontractor]</w:t>
            </w:r>
          </w:p>
        </w:tc>
        <w:tc>
          <w:tcPr>
            <w:tcW w:w="3081" w:type="dxa"/>
            <w:tcBorders>
              <w:bottom w:val="single" w:sz="4" w:space="0" w:color="000000"/>
            </w:tcBorders>
            <w:shd w:val="clear" w:color="auto" w:fill="FFFFFF"/>
          </w:tcPr>
          <w:p w14:paraId="55282C65" w14:textId="77777777" w:rsidR="009C1927" w:rsidRDefault="009C1927" w:rsidP="006126FB">
            <w:pPr>
              <w:keepNext/>
              <w:pBdr>
                <w:top w:val="nil"/>
                <w:left w:val="nil"/>
                <w:bottom w:val="nil"/>
                <w:right w:val="nil"/>
                <w:between w:val="nil"/>
              </w:pBdr>
              <w:spacing w:before="120" w:after="120"/>
              <w:ind w:left="142"/>
              <w:jc w:val="left"/>
              <w:rPr>
                <w:rFonts w:eastAsia="Arial"/>
              </w:rPr>
            </w:pPr>
          </w:p>
        </w:tc>
        <w:tc>
          <w:tcPr>
            <w:tcW w:w="3081" w:type="dxa"/>
            <w:tcBorders>
              <w:bottom w:val="single" w:sz="4" w:space="0" w:color="000000"/>
            </w:tcBorders>
            <w:shd w:val="clear" w:color="auto" w:fill="FFFFFF"/>
          </w:tcPr>
          <w:p w14:paraId="57C359F8" w14:textId="77777777" w:rsidR="009C1927" w:rsidRDefault="009C1927" w:rsidP="006126FB">
            <w:pPr>
              <w:keepNext/>
              <w:pBdr>
                <w:top w:val="nil"/>
                <w:left w:val="nil"/>
                <w:bottom w:val="nil"/>
                <w:right w:val="nil"/>
                <w:between w:val="nil"/>
              </w:pBdr>
              <w:spacing w:before="120" w:after="120"/>
              <w:ind w:left="142"/>
              <w:jc w:val="left"/>
              <w:rPr>
                <w:rFonts w:eastAsia="Arial"/>
              </w:rPr>
            </w:pPr>
          </w:p>
        </w:tc>
      </w:tr>
    </w:tbl>
    <w:p w14:paraId="75A3209A" w14:textId="77777777" w:rsidR="00C64F31" w:rsidRDefault="00C64F31" w:rsidP="006126FB">
      <w:pPr>
        <w:pBdr>
          <w:top w:val="nil"/>
          <w:left w:val="nil"/>
          <w:bottom w:val="nil"/>
          <w:right w:val="nil"/>
          <w:between w:val="nil"/>
        </w:pBdr>
        <w:spacing w:before="120" w:after="120"/>
        <w:jc w:val="left"/>
        <w:rPr>
          <w:rFonts w:eastAsia="Arial"/>
        </w:rPr>
      </w:pPr>
    </w:p>
    <w:p w14:paraId="0E2698CE" w14:textId="77777777" w:rsidR="00C64F31" w:rsidRDefault="007B6802" w:rsidP="006126FB">
      <w:pPr>
        <w:spacing w:before="120" w:after="120"/>
        <w:jc w:val="left"/>
        <w:rPr>
          <w:rFonts w:eastAsia="Arial"/>
        </w:rPr>
      </w:pPr>
      <w:r>
        <w:br w:type="page"/>
      </w:r>
    </w:p>
    <w:p w14:paraId="79C0C237" w14:textId="77777777" w:rsidR="00C64F31" w:rsidRPr="00085A89" w:rsidRDefault="007B6802" w:rsidP="006126FB">
      <w:pPr>
        <w:pBdr>
          <w:top w:val="nil"/>
          <w:left w:val="nil"/>
          <w:bottom w:val="nil"/>
          <w:right w:val="nil"/>
          <w:between w:val="nil"/>
        </w:pBdr>
        <w:spacing w:before="120" w:after="120"/>
        <w:jc w:val="left"/>
        <w:rPr>
          <w:rFonts w:eastAsia="Arial"/>
          <w:b/>
          <w:sz w:val="36"/>
          <w:szCs w:val="36"/>
        </w:rPr>
      </w:pPr>
      <w:r w:rsidRPr="00085A89">
        <w:rPr>
          <w:rFonts w:eastAsia="Arial"/>
          <w:b/>
          <w:sz w:val="36"/>
          <w:szCs w:val="36"/>
        </w:rPr>
        <w:lastRenderedPageBreak/>
        <w:t>Annex 3: Calculation methodology for Financial Indicators</w:t>
      </w:r>
    </w:p>
    <w:p w14:paraId="3F8BC9A5" w14:textId="77777777" w:rsidR="00C64F31" w:rsidRDefault="007B6802" w:rsidP="006126FB">
      <w:pPr>
        <w:pBdr>
          <w:top w:val="nil"/>
          <w:left w:val="nil"/>
          <w:bottom w:val="nil"/>
          <w:right w:val="nil"/>
          <w:between w:val="nil"/>
        </w:pBdr>
        <w:spacing w:before="120" w:after="120"/>
        <w:jc w:val="left"/>
        <w:rPr>
          <w:rFonts w:eastAsia="Arial"/>
        </w:rPr>
      </w:pPr>
      <w:bookmarkStart w:id="30" w:name="_heading=h.qsh70q" w:colFirst="0" w:colLast="0"/>
      <w:bookmarkEnd w:id="30"/>
      <w:r>
        <w:rPr>
          <w:rFonts w:eastAsia="Arial"/>
        </w:rPr>
        <w:t>The Supplier shall ensure that it uses the following general and specific methodologies for calculating the Financial Indicators against the Financial Target Thresholds:</w:t>
      </w:r>
    </w:p>
    <w:p w14:paraId="70C39914" w14:textId="77777777" w:rsidR="00C64F31" w:rsidRDefault="007B6802" w:rsidP="006126FB">
      <w:pPr>
        <w:pBdr>
          <w:top w:val="nil"/>
          <w:left w:val="nil"/>
          <w:bottom w:val="nil"/>
          <w:right w:val="nil"/>
          <w:between w:val="nil"/>
        </w:pBdr>
        <w:spacing w:before="120" w:after="120"/>
        <w:jc w:val="left"/>
        <w:rPr>
          <w:rFonts w:eastAsia="Arial"/>
          <w:b/>
          <w:u w:val="single"/>
        </w:rPr>
      </w:pPr>
      <w:r>
        <w:rPr>
          <w:rFonts w:eastAsia="Arial"/>
          <w:b/>
          <w:u w:val="single"/>
        </w:rPr>
        <w:t>General methodology</w:t>
      </w:r>
    </w:p>
    <w:p w14:paraId="1AD481D0"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Terminology</w:t>
      </w:r>
      <w:r>
        <w:rPr>
          <w:rFonts w:eastAsia="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6584D19E"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bookmarkStart w:id="31" w:name="_heading=h.3as4poj" w:colFirst="0" w:colLast="0"/>
      <w:bookmarkEnd w:id="31"/>
      <w:r>
        <w:rPr>
          <w:rFonts w:eastAsia="Arial"/>
          <w:b/>
          <w:i/>
        </w:rPr>
        <w:t>Groups</w:t>
      </w:r>
      <w:r>
        <w:rPr>
          <w:rFonts w:eastAsia="Arial"/>
        </w:rPr>
        <w:t>: Where the entity is the holding company of a group and prepares consolidated financial statements, the consolidated figures should be used.</w:t>
      </w:r>
    </w:p>
    <w:p w14:paraId="336A780F"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Foreign currency conversion</w:t>
      </w:r>
      <w:r>
        <w:rPr>
          <w:rFonts w:eastAsia="Arial"/>
        </w:rPr>
        <w:t>: Figures denominated in foreign currencies should be converted at the exchange rate in force at the relevant date for which the Financial Indicator is being calculated.</w:t>
      </w:r>
    </w:p>
    <w:p w14:paraId="168CB33D" w14:textId="77777777" w:rsidR="00C64F31" w:rsidRDefault="007B6802" w:rsidP="006126FB">
      <w:pPr>
        <w:numPr>
          <w:ilvl w:val="0"/>
          <w:numId w:val="1"/>
        </w:numPr>
        <w:pBdr>
          <w:top w:val="nil"/>
          <w:left w:val="nil"/>
          <w:bottom w:val="nil"/>
          <w:right w:val="nil"/>
          <w:between w:val="nil"/>
        </w:pBdr>
        <w:spacing w:before="120" w:after="120"/>
        <w:jc w:val="left"/>
        <w:rPr>
          <w:rFonts w:eastAsia="Arial"/>
        </w:rPr>
      </w:pPr>
      <w:r>
        <w:rPr>
          <w:rFonts w:eastAsia="Arial"/>
          <w:b/>
          <w:i/>
        </w:rPr>
        <w:t>Treatment of non-underlying items</w:t>
      </w:r>
      <w:r>
        <w:rPr>
          <w:rFonts w:eastAsia="Arial"/>
        </w:rPr>
        <w:t>: Financial Indicators should be based on the figures in the financial statements before adjusting for non-underlying items.</w:t>
      </w:r>
    </w:p>
    <w:p w14:paraId="503122C0" w14:textId="237C1B50" w:rsidR="00C52A89" w:rsidRPr="003F6F8D" w:rsidRDefault="007B6802" w:rsidP="003F6F8D">
      <w:pPr>
        <w:pBdr>
          <w:top w:val="nil"/>
          <w:left w:val="nil"/>
          <w:bottom w:val="nil"/>
          <w:right w:val="nil"/>
          <w:between w:val="nil"/>
        </w:pBdr>
        <w:spacing w:before="120" w:after="120"/>
        <w:ind w:left="720" w:hanging="720"/>
        <w:jc w:val="left"/>
        <w:rPr>
          <w:rFonts w:eastAsia="Arial"/>
          <w:b/>
          <w:u w:val="single"/>
        </w:rPr>
      </w:pPr>
      <w:r>
        <w:rPr>
          <w:rFonts w:eastAsia="Arial"/>
          <w:b/>
          <w:u w:val="single"/>
        </w:rPr>
        <w:t>Specific Methodology</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C64F31" w14:paraId="0F1BB1B6" w14:textId="77777777">
        <w:tc>
          <w:tcPr>
            <w:tcW w:w="2538" w:type="dxa"/>
            <w:shd w:val="clear" w:color="auto" w:fill="D9D9D9"/>
          </w:tcPr>
          <w:p w14:paraId="548C2322"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Financial Indicator</w:t>
            </w:r>
          </w:p>
        </w:tc>
        <w:tc>
          <w:tcPr>
            <w:tcW w:w="6478" w:type="dxa"/>
            <w:shd w:val="clear" w:color="auto" w:fill="D9D9D9"/>
          </w:tcPr>
          <w:p w14:paraId="1F2CA752"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Specific Methodology</w:t>
            </w:r>
          </w:p>
        </w:tc>
      </w:tr>
      <w:tr w:rsidR="00C64F31" w14:paraId="4DC84A59" w14:textId="77777777">
        <w:tc>
          <w:tcPr>
            <w:tcW w:w="2538" w:type="dxa"/>
            <w:vAlign w:val="center"/>
          </w:tcPr>
          <w:p w14:paraId="347D3A15"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1</w:t>
            </w:r>
          </w:p>
          <w:p w14:paraId="4329FC7D"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Operating Margin</w:t>
            </w:r>
          </w:p>
        </w:tc>
        <w:tc>
          <w:tcPr>
            <w:tcW w:w="6478" w:type="dxa"/>
          </w:tcPr>
          <w:p w14:paraId="3CC81E7A"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The elements used to calculate the Operating Margin should be shown on the face of the Income Statement in a standard set of financial statements.</w:t>
            </w:r>
          </w:p>
          <w:p w14:paraId="64460AB4"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Figures for Operating Profit and Revenue should exclude the entity’s share of the results of any joint ventures or Associates.</w:t>
            </w:r>
          </w:p>
          <w:p w14:paraId="6E159A2B"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Where an entity has an operating loss (i.e. where the operating profit is negative), Operating Profit should be taken to be zero.</w:t>
            </w:r>
          </w:p>
        </w:tc>
      </w:tr>
      <w:tr w:rsidR="00C64F31" w14:paraId="7A234F3A" w14:textId="77777777">
        <w:tc>
          <w:tcPr>
            <w:tcW w:w="2538" w:type="dxa"/>
          </w:tcPr>
          <w:p w14:paraId="17D9135F"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2</w:t>
            </w:r>
          </w:p>
          <w:p w14:paraId="7DC8F195"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Free Cash Flow to Net Debt Ratio</w:t>
            </w:r>
          </w:p>
          <w:p w14:paraId="20E8EBAC"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22A5F9C8"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546C2E65"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553CB022"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143DE138"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24F5E528"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0864F1C6"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239BDBEC"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2D50BFE8"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0DDEF296"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3D0D2D06"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3D85126D"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3520B1DF"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42547C6C"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3E360EDB"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3AE4B64F"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7332CADD"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7E9D7C23"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7AB054A8"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59AC9A4E"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4DA8841E"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54E14E4F"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62861D9D"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4E2B05F9"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6390F78C"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4B75AABF"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7C244902" w14:textId="77777777" w:rsidR="00C64F31" w:rsidRDefault="00C64F31" w:rsidP="006126FB">
            <w:pPr>
              <w:pBdr>
                <w:top w:val="nil"/>
                <w:left w:val="nil"/>
                <w:bottom w:val="nil"/>
                <w:right w:val="nil"/>
                <w:between w:val="nil"/>
              </w:pBdr>
              <w:spacing w:before="120" w:after="120"/>
              <w:jc w:val="left"/>
              <w:rPr>
                <w:rFonts w:eastAsia="Arial"/>
                <w:sz w:val="24"/>
                <w:szCs w:val="24"/>
              </w:rPr>
            </w:pPr>
          </w:p>
          <w:p w14:paraId="1711D9F3"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OR</w:t>
            </w:r>
          </w:p>
          <w:p w14:paraId="22E2FB72"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Net Debt to EBITDA Ratio</w:t>
            </w:r>
          </w:p>
        </w:tc>
        <w:tc>
          <w:tcPr>
            <w:tcW w:w="6478" w:type="dxa"/>
          </w:tcPr>
          <w:p w14:paraId="78D518C8"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lastRenderedPageBreak/>
              <w:t>“</w:t>
            </w:r>
            <w:r>
              <w:rPr>
                <w:rFonts w:eastAsia="Arial"/>
                <w:b/>
                <w:i/>
                <w:sz w:val="24"/>
                <w:szCs w:val="24"/>
              </w:rPr>
              <w:t>Free Cash Flow</w:t>
            </w:r>
            <w:r>
              <w:rPr>
                <w:rFonts w:eastAsia="Arial"/>
                <w:i/>
                <w:sz w:val="24"/>
                <w:szCs w:val="24"/>
              </w:rPr>
              <w:t>” = Net Cash Flow from Operating Activities – Capital Expenditure</w:t>
            </w:r>
          </w:p>
          <w:p w14:paraId="22249EBA"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Capital Expenditure</w:t>
            </w:r>
            <w:r>
              <w:rPr>
                <w:rFonts w:eastAsia="Arial"/>
                <w:i/>
                <w:sz w:val="24"/>
                <w:szCs w:val="24"/>
              </w:rPr>
              <w:t>” = Purchase of property, plant &amp; equipment + purchase of intangible assets</w:t>
            </w:r>
          </w:p>
          <w:p w14:paraId="71EA18F6"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Net Debt</w:t>
            </w:r>
            <w:r>
              <w:rPr>
                <w:rFonts w:eastAsia="Arial"/>
                <w:i/>
                <w:sz w:val="24"/>
                <w:szCs w:val="24"/>
              </w:rPr>
              <w:t>” = Bank overdrafts + Loans and borrowings + Finance Leases + Deferred consideration payable – Cash and cash equivalents</w:t>
            </w:r>
          </w:p>
          <w:p w14:paraId="3CCC9BF0"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 xml:space="preserve">The majority of the elements used to calculate the Free Cash Flow to Net Debt Ratio should be shown on the face </w:t>
            </w:r>
            <w:r>
              <w:rPr>
                <w:rFonts w:eastAsia="Arial"/>
                <w:sz w:val="24"/>
                <w:szCs w:val="24"/>
              </w:rPr>
              <w:lastRenderedPageBreak/>
              <w:t>of the Statement of Cash Flows and the Balance Sheet in a standard set of financial statements.</w:t>
            </w:r>
          </w:p>
          <w:p w14:paraId="108728B9"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Net Cash Flow from Operating Activities</w:t>
            </w:r>
            <w:r>
              <w:rPr>
                <w:rFonts w:eastAsia="Arial"/>
                <w:sz w:val="24"/>
                <w:szCs w:val="24"/>
              </w:rPr>
              <w:t>: This should be stated after deduction of interest and tax paid.</w:t>
            </w:r>
          </w:p>
          <w:p w14:paraId="2C31EF37"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Capital expenditure</w:t>
            </w:r>
            <w:r>
              <w:rPr>
                <w:rFonts w:eastAsia="Arial"/>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12B2D8B1"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Net Debt</w:t>
            </w:r>
            <w:r>
              <w:rPr>
                <w:rFonts w:eastAsia="Arial"/>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722FAB41"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Deferred consideration payable should be included in Net Debt despite typically being non-interest bearing.</w:t>
            </w:r>
          </w:p>
          <w:p w14:paraId="29C9DC38"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Cash and cash equivalents should include short-term financial investments shown in current assets.</w:t>
            </w:r>
          </w:p>
          <w:p w14:paraId="401210B5"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Where Net debt is negative (i.e. an entity has net cash), the relevant Financial Target Threshold should be treated as having been met.</w:t>
            </w:r>
          </w:p>
          <w:p w14:paraId="1017CAB8"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OR</w:t>
            </w:r>
          </w:p>
          <w:p w14:paraId="7BC8BBF3"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Net Debt</w:t>
            </w:r>
            <w:r>
              <w:rPr>
                <w:rFonts w:eastAsia="Arial"/>
                <w:i/>
                <w:sz w:val="24"/>
                <w:szCs w:val="24"/>
              </w:rPr>
              <w:t>” = Bank overdrafts + Loans and borrowings + Finance leases + Deferred consideration payable – Cash and cash equivalents</w:t>
            </w:r>
          </w:p>
          <w:p w14:paraId="5EDF4193"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EBITDA</w:t>
            </w:r>
            <w:r>
              <w:rPr>
                <w:rFonts w:eastAsia="Arial"/>
                <w:i/>
                <w:sz w:val="24"/>
                <w:szCs w:val="24"/>
              </w:rPr>
              <w:t>” = Operating profit + Depreciation charge + Amortisation charge</w:t>
            </w:r>
          </w:p>
          <w:p w14:paraId="35E39E9C"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7848AA53"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Net Debt</w:t>
            </w:r>
            <w:r>
              <w:rPr>
                <w:rFonts w:eastAsia="Arial"/>
                <w:sz w:val="24"/>
                <w:szCs w:val="24"/>
              </w:rPr>
              <w:t xml:space="preserve">: The elements of Net Debt may be described slightly differently and should be found either on the face of the Balance Sheet or in the relevant note to the financial statements. All interest bearing liabilities (other than </w:t>
            </w:r>
            <w:r>
              <w:rPr>
                <w:rFonts w:eastAsia="Arial"/>
                <w:sz w:val="24"/>
                <w:szCs w:val="24"/>
              </w:rPr>
              <w:lastRenderedPageBreak/>
              <w:t>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16BB2253"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Deferred consideration payable should be included in Net Debt despite typically being non-interest bearing.</w:t>
            </w:r>
          </w:p>
          <w:p w14:paraId="24207A7C"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Cash and cash equivalents should include short-term financial investments shown in current assets.</w:t>
            </w:r>
          </w:p>
          <w:p w14:paraId="0D07A098"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 xml:space="preserve">Where Net debt is negative (i.e. an entity has net cash), the relevant Financial Target Threshold should be treated as having been met. </w:t>
            </w:r>
          </w:p>
          <w:p w14:paraId="78A8ADDF" w14:textId="77777777" w:rsidR="00C64F31" w:rsidRDefault="007B6802" w:rsidP="006126FB">
            <w:pPr>
              <w:pBdr>
                <w:top w:val="nil"/>
                <w:left w:val="nil"/>
                <w:bottom w:val="nil"/>
                <w:right w:val="nil"/>
                <w:between w:val="nil"/>
              </w:pBdr>
              <w:spacing w:before="120" w:after="120"/>
              <w:jc w:val="left"/>
              <w:rPr>
                <w:rFonts w:eastAsia="Arial"/>
                <w:i/>
                <w:sz w:val="24"/>
                <w:szCs w:val="24"/>
              </w:rPr>
            </w:pPr>
            <w:bookmarkStart w:id="32" w:name="_heading=h.1pxezwc" w:colFirst="0" w:colLast="0"/>
            <w:bookmarkEnd w:id="32"/>
            <w:r>
              <w:rPr>
                <w:rFonts w:eastAsia="Arial"/>
                <w:i/>
                <w:sz w:val="24"/>
                <w:szCs w:val="24"/>
                <w:u w:val="single"/>
              </w:rPr>
              <w:t>EBITDA</w:t>
            </w:r>
            <w:r>
              <w:rPr>
                <w:rFonts w:eastAsia="Arial"/>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eastAsia="Arial"/>
                <w:i/>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C64F31" w14:paraId="10DFD3AF" w14:textId="77777777">
        <w:tc>
          <w:tcPr>
            <w:tcW w:w="2538" w:type="dxa"/>
          </w:tcPr>
          <w:p w14:paraId="37A350CB"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lastRenderedPageBreak/>
              <w:t>3</w:t>
            </w:r>
          </w:p>
          <w:p w14:paraId="0F5F44CE"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Net Debt + Net  Pension Deficit to EBITDA ratio</w:t>
            </w:r>
          </w:p>
        </w:tc>
        <w:tc>
          <w:tcPr>
            <w:tcW w:w="6478" w:type="dxa"/>
          </w:tcPr>
          <w:p w14:paraId="54DF4A22"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Net Debt</w:t>
            </w:r>
            <w:r>
              <w:rPr>
                <w:rFonts w:eastAsia="Arial"/>
                <w:i/>
                <w:sz w:val="24"/>
                <w:szCs w:val="24"/>
              </w:rPr>
              <w:t>” = Bank overdrafts + Loans and borrowings + Finance leases + Deferred consideration payable – Cash and cash equivalents</w:t>
            </w:r>
          </w:p>
          <w:p w14:paraId="152BD624"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Net Pension Deficit</w:t>
            </w:r>
            <w:r>
              <w:rPr>
                <w:rFonts w:eastAsia="Arial"/>
                <w:i/>
                <w:sz w:val="24"/>
                <w:szCs w:val="24"/>
              </w:rPr>
              <w:t>” = Retirement Benefit Obligations – Retirement Benefit Assets</w:t>
            </w:r>
          </w:p>
          <w:p w14:paraId="4DC2EA1C"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EBITDA</w:t>
            </w:r>
            <w:r>
              <w:rPr>
                <w:rFonts w:eastAsia="Arial"/>
                <w:i/>
                <w:sz w:val="24"/>
                <w:szCs w:val="24"/>
              </w:rPr>
              <w:t>” = Operating profit + Depreciation charge + Amortisation charge</w:t>
            </w:r>
          </w:p>
          <w:p w14:paraId="499C1581"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03F1CDD5"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Net Debt</w:t>
            </w:r>
            <w:r>
              <w:rPr>
                <w:rFonts w:eastAsia="Arial"/>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eastAsia="Arial"/>
                <w:i/>
                <w:sz w:val="24"/>
                <w:szCs w:val="24"/>
              </w:rPr>
              <w:t>not</w:t>
            </w:r>
            <w:r>
              <w:rPr>
                <w:rFonts w:eastAsia="Arial"/>
                <w:sz w:val="24"/>
                <w:szCs w:val="24"/>
              </w:rPr>
              <w:t xml:space="preserve"> non-designated hedges). </w:t>
            </w:r>
            <w:r>
              <w:rPr>
                <w:rFonts w:eastAsia="Arial"/>
                <w:sz w:val="24"/>
                <w:szCs w:val="24"/>
              </w:rPr>
              <w:lastRenderedPageBreak/>
              <w:t>Borrowings should also include balances owed to other group members.</w:t>
            </w:r>
          </w:p>
          <w:p w14:paraId="6E72214B"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Deferred consideration payable should be included in Net Debt despite typically being non-interest bearing.</w:t>
            </w:r>
          </w:p>
          <w:p w14:paraId="2B742DF0"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Cash and cash equivalents should include short-term financial investments shown in current assets.</w:t>
            </w:r>
          </w:p>
          <w:p w14:paraId="2313150C"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Net Pension Deficit</w:t>
            </w:r>
            <w:r>
              <w:rPr>
                <w:rFonts w:eastAsia="Arial"/>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2E1B446D"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Where ‘Net Debt + Net Pension Deficit’ is negative, the relevant Financial Target Threshold should be treated as having been met.</w:t>
            </w:r>
          </w:p>
          <w:p w14:paraId="671CE5FB"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EBITDA</w:t>
            </w:r>
            <w:r>
              <w:rPr>
                <w:rFonts w:eastAsia="Arial"/>
                <w:sz w:val="24"/>
                <w:szCs w:val="24"/>
              </w:rPr>
              <w:t>: Operating profit should be shown on the face of the Income Statement and, for the purposes of calculating this Financial Indicator, should include the entity’s share of the results of any joint ventures or Associates.</w:t>
            </w:r>
          </w:p>
          <w:p w14:paraId="5AAFCCF6" w14:textId="77777777" w:rsidR="00C64F31" w:rsidRDefault="007B6802" w:rsidP="006126FB">
            <w:pPr>
              <w:pBdr>
                <w:top w:val="nil"/>
                <w:left w:val="nil"/>
                <w:bottom w:val="nil"/>
                <w:right w:val="nil"/>
                <w:between w:val="nil"/>
              </w:pBdr>
              <w:spacing w:before="120" w:after="120"/>
              <w:jc w:val="left"/>
              <w:rPr>
                <w:rFonts w:eastAsia="Arial"/>
                <w:sz w:val="24"/>
                <w:szCs w:val="24"/>
              </w:rPr>
            </w:pPr>
            <w:bookmarkStart w:id="33" w:name="_heading=h.49x2ik5" w:colFirst="0" w:colLast="0"/>
            <w:bookmarkEnd w:id="33"/>
            <w:r>
              <w:rPr>
                <w:rFonts w:eastAsia="Arial"/>
                <w:sz w:val="24"/>
                <w:szCs w:val="24"/>
              </w:rPr>
              <w:t xml:space="preserve">The depreciation and amortisation charges for the period may be found on the face of the Statement of Cash Flows or in a Note to the Accounts. </w:t>
            </w:r>
          </w:p>
          <w:p w14:paraId="2556E019"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C64F31" w14:paraId="5D37EFBB" w14:textId="77777777">
        <w:tc>
          <w:tcPr>
            <w:tcW w:w="2538" w:type="dxa"/>
            <w:vAlign w:val="center"/>
          </w:tcPr>
          <w:p w14:paraId="75C8A7AE"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lastRenderedPageBreak/>
              <w:t>4</w:t>
            </w:r>
          </w:p>
          <w:p w14:paraId="2DD5A683"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Net Interest Paid Cover</w:t>
            </w:r>
          </w:p>
        </w:tc>
        <w:tc>
          <w:tcPr>
            <w:tcW w:w="6478" w:type="dxa"/>
          </w:tcPr>
          <w:p w14:paraId="7861C36E"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Earnings Before Interest and Tax</w:t>
            </w:r>
            <w:r>
              <w:rPr>
                <w:rFonts w:eastAsia="Arial"/>
                <w:i/>
                <w:sz w:val="24"/>
                <w:szCs w:val="24"/>
              </w:rPr>
              <w:t>” = Operating profit</w:t>
            </w:r>
          </w:p>
          <w:p w14:paraId="59935CFA"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Net Interest Paid</w:t>
            </w:r>
            <w:r>
              <w:rPr>
                <w:rFonts w:eastAsia="Arial"/>
                <w:i/>
                <w:sz w:val="24"/>
                <w:szCs w:val="24"/>
              </w:rPr>
              <w:t>” = Interest paid – Interest received</w:t>
            </w:r>
          </w:p>
          <w:p w14:paraId="0562D324"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3B4ACA45"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Interest received and interest paid should be shown on the face of the Cash Flow statement.</w:t>
            </w:r>
          </w:p>
          <w:p w14:paraId="3F3E89C4"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Where Net interest paid is negative (i.e. the entity has net interest received), the relevant Financial Target Threshold should be treated as having been met.</w:t>
            </w:r>
          </w:p>
        </w:tc>
      </w:tr>
      <w:tr w:rsidR="00C64F31" w14:paraId="1F207334" w14:textId="77777777">
        <w:tc>
          <w:tcPr>
            <w:tcW w:w="2538" w:type="dxa"/>
            <w:vAlign w:val="center"/>
          </w:tcPr>
          <w:p w14:paraId="45F4B65E"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5</w:t>
            </w:r>
          </w:p>
          <w:p w14:paraId="58052165"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Acid Ratio</w:t>
            </w:r>
          </w:p>
        </w:tc>
        <w:tc>
          <w:tcPr>
            <w:tcW w:w="6478" w:type="dxa"/>
          </w:tcPr>
          <w:p w14:paraId="57DEF316"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All elements that are used to calculate the Acid Ratio are available on the face of the Balance Sheet in a standard set of financial statements.</w:t>
            </w:r>
          </w:p>
        </w:tc>
      </w:tr>
      <w:tr w:rsidR="00C64F31" w14:paraId="461E5DF5" w14:textId="77777777">
        <w:tc>
          <w:tcPr>
            <w:tcW w:w="2538" w:type="dxa"/>
            <w:vAlign w:val="center"/>
          </w:tcPr>
          <w:p w14:paraId="3AF04E0F"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lastRenderedPageBreak/>
              <w:t>6</w:t>
            </w:r>
          </w:p>
          <w:p w14:paraId="2FEF69D2"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Net Asset value</w:t>
            </w:r>
          </w:p>
        </w:tc>
        <w:tc>
          <w:tcPr>
            <w:tcW w:w="6478" w:type="dxa"/>
          </w:tcPr>
          <w:p w14:paraId="0EBB6500"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C64F31" w14:paraId="1DA956E3" w14:textId="77777777">
        <w:tc>
          <w:tcPr>
            <w:tcW w:w="2538" w:type="dxa"/>
            <w:vAlign w:val="center"/>
          </w:tcPr>
          <w:p w14:paraId="1607593F"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7</w:t>
            </w:r>
          </w:p>
          <w:p w14:paraId="32F7862D" w14:textId="77777777" w:rsidR="00C64F31" w:rsidRDefault="007B6802" w:rsidP="006126FB">
            <w:pPr>
              <w:pBdr>
                <w:top w:val="nil"/>
                <w:left w:val="nil"/>
                <w:bottom w:val="nil"/>
                <w:right w:val="nil"/>
                <w:between w:val="nil"/>
              </w:pBdr>
              <w:spacing w:before="120" w:after="120"/>
              <w:jc w:val="left"/>
              <w:rPr>
                <w:rFonts w:eastAsia="Arial"/>
                <w:b/>
                <w:sz w:val="24"/>
                <w:szCs w:val="24"/>
              </w:rPr>
            </w:pPr>
            <w:r>
              <w:rPr>
                <w:rFonts w:eastAsia="Arial"/>
                <w:b/>
                <w:sz w:val="24"/>
                <w:szCs w:val="24"/>
              </w:rPr>
              <w:t>Group Exposure Ratio</w:t>
            </w:r>
          </w:p>
        </w:tc>
        <w:tc>
          <w:tcPr>
            <w:tcW w:w="6478" w:type="dxa"/>
          </w:tcPr>
          <w:p w14:paraId="5CE34057"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Group Exposure</w:t>
            </w:r>
            <w:r>
              <w:rPr>
                <w:rFonts w:eastAsia="Arial"/>
                <w:i/>
                <w:sz w:val="24"/>
                <w:szCs w:val="24"/>
              </w:rPr>
              <w:t>” = Balances owed by Group Undertakings + Contingent liabilities assumed in support of Group Undertakings</w:t>
            </w:r>
          </w:p>
          <w:p w14:paraId="15283B33" w14:textId="77777777" w:rsidR="00C64F31" w:rsidRDefault="007B6802" w:rsidP="006126FB">
            <w:pPr>
              <w:pBdr>
                <w:top w:val="nil"/>
                <w:left w:val="nil"/>
                <w:bottom w:val="nil"/>
                <w:right w:val="nil"/>
                <w:between w:val="nil"/>
              </w:pBdr>
              <w:spacing w:before="120" w:after="120"/>
              <w:jc w:val="left"/>
              <w:rPr>
                <w:rFonts w:eastAsia="Arial"/>
                <w:i/>
                <w:sz w:val="24"/>
                <w:szCs w:val="24"/>
              </w:rPr>
            </w:pPr>
            <w:r>
              <w:rPr>
                <w:rFonts w:eastAsia="Arial"/>
                <w:i/>
                <w:sz w:val="24"/>
                <w:szCs w:val="24"/>
              </w:rPr>
              <w:t>“</w:t>
            </w:r>
            <w:r>
              <w:rPr>
                <w:rFonts w:eastAsia="Arial"/>
                <w:b/>
                <w:i/>
                <w:sz w:val="24"/>
                <w:szCs w:val="24"/>
              </w:rPr>
              <w:t>Gross Assets</w:t>
            </w:r>
            <w:r>
              <w:rPr>
                <w:rFonts w:eastAsia="Arial"/>
                <w:i/>
                <w:sz w:val="24"/>
                <w:szCs w:val="24"/>
              </w:rPr>
              <w:t>” = Fixed Assets + Current Assets</w:t>
            </w:r>
          </w:p>
          <w:p w14:paraId="4373D517"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Group Exposure</w:t>
            </w:r>
            <w:r>
              <w:rPr>
                <w:rFonts w:eastAsia="Arial"/>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DC2AAB9"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401C4D1B"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sz w:val="24"/>
                <w:szCs w:val="24"/>
              </w:rPr>
              <w:t>In many cases an entity may not have assumed any contingent liabilities in support of Group Undertakings, in particular where an entity is not a member of a group or is itself the ultimate holding company of the group.</w:t>
            </w:r>
          </w:p>
          <w:p w14:paraId="18C6CCBE" w14:textId="77777777" w:rsidR="00C64F31" w:rsidRDefault="007B6802" w:rsidP="006126FB">
            <w:pPr>
              <w:pBdr>
                <w:top w:val="nil"/>
                <w:left w:val="nil"/>
                <w:bottom w:val="nil"/>
                <w:right w:val="nil"/>
                <w:between w:val="nil"/>
              </w:pBdr>
              <w:spacing w:before="120" w:after="120"/>
              <w:jc w:val="left"/>
              <w:rPr>
                <w:rFonts w:eastAsia="Arial"/>
                <w:sz w:val="24"/>
                <w:szCs w:val="24"/>
              </w:rPr>
            </w:pPr>
            <w:r>
              <w:rPr>
                <w:rFonts w:eastAsia="Arial"/>
                <w:i/>
                <w:sz w:val="24"/>
                <w:szCs w:val="24"/>
                <w:u w:val="single"/>
              </w:rPr>
              <w:t>Gross Assets</w:t>
            </w:r>
            <w:r>
              <w:rPr>
                <w:rFonts w:eastAsia="Arial"/>
                <w:sz w:val="24"/>
                <w:szCs w:val="24"/>
              </w:rPr>
              <w:t>: Both Fixed assets and Current assets are shown on the face of the Balance Sheet</w:t>
            </w:r>
          </w:p>
        </w:tc>
      </w:tr>
    </w:tbl>
    <w:p w14:paraId="04770F58" w14:textId="77777777" w:rsidR="00C64F31" w:rsidRDefault="00C64F31" w:rsidP="006126FB">
      <w:pPr>
        <w:pBdr>
          <w:top w:val="nil"/>
          <w:left w:val="nil"/>
          <w:bottom w:val="nil"/>
          <w:right w:val="nil"/>
          <w:between w:val="nil"/>
        </w:pBdr>
        <w:spacing w:before="120" w:after="120"/>
        <w:jc w:val="left"/>
        <w:rPr>
          <w:rFonts w:eastAsia="Arial"/>
        </w:rPr>
      </w:pPr>
    </w:p>
    <w:p w14:paraId="66946461" w14:textId="77777777" w:rsidR="00C64F31" w:rsidRDefault="007B6802" w:rsidP="006126FB">
      <w:pPr>
        <w:spacing w:before="120" w:after="120"/>
        <w:jc w:val="left"/>
        <w:rPr>
          <w:rFonts w:eastAsia="Arial"/>
        </w:rPr>
      </w:pPr>
      <w:r>
        <w:br w:type="page"/>
      </w:r>
    </w:p>
    <w:p w14:paraId="65DBCD08" w14:textId="77777777" w:rsidR="00C64F31" w:rsidRPr="009E23B6" w:rsidRDefault="007B6802" w:rsidP="006126FB">
      <w:pPr>
        <w:pBdr>
          <w:top w:val="nil"/>
          <w:left w:val="nil"/>
          <w:bottom w:val="nil"/>
          <w:right w:val="nil"/>
          <w:between w:val="nil"/>
        </w:pBdr>
        <w:spacing w:before="120" w:after="120"/>
        <w:jc w:val="left"/>
        <w:rPr>
          <w:rFonts w:ascii="Arial Bold" w:eastAsia="Arial Bold" w:hAnsi="Arial Bold" w:cs="Arial Bold"/>
          <w:b/>
          <w:sz w:val="36"/>
          <w:szCs w:val="36"/>
        </w:rPr>
      </w:pPr>
      <w:bookmarkStart w:id="34" w:name="_heading=h.2p2csry" w:colFirst="0" w:colLast="0"/>
      <w:bookmarkEnd w:id="34"/>
      <w:r w:rsidRPr="009E23B6">
        <w:rPr>
          <w:rFonts w:ascii="Arial Bold" w:eastAsia="Arial Bold" w:hAnsi="Arial Bold" w:cs="Arial Bold"/>
          <w:b/>
          <w:sz w:val="36"/>
          <w:szCs w:val="36"/>
        </w:rPr>
        <w:lastRenderedPageBreak/>
        <w:t>Annex 4: Board Confirmation</w:t>
      </w:r>
    </w:p>
    <w:p w14:paraId="3C55860C" w14:textId="77777777" w:rsidR="00C64F31" w:rsidRDefault="00C64F31" w:rsidP="006126FB">
      <w:pPr>
        <w:pBdr>
          <w:top w:val="nil"/>
          <w:left w:val="nil"/>
          <w:bottom w:val="nil"/>
          <w:right w:val="nil"/>
          <w:between w:val="nil"/>
        </w:pBdr>
        <w:spacing w:before="120" w:after="120"/>
        <w:jc w:val="left"/>
        <w:rPr>
          <w:rFonts w:eastAsia="Arial"/>
        </w:rPr>
      </w:pPr>
    </w:p>
    <w:p w14:paraId="3804418B"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Supplier Name:</w:t>
      </w:r>
    </w:p>
    <w:p w14:paraId="16533A67" w14:textId="77777777" w:rsidR="00C64F31" w:rsidRDefault="007B6802" w:rsidP="006126FB">
      <w:pPr>
        <w:pBdr>
          <w:top w:val="nil"/>
          <w:left w:val="nil"/>
          <w:bottom w:val="nil"/>
          <w:right w:val="nil"/>
          <w:between w:val="nil"/>
        </w:pBdr>
        <w:spacing w:before="120" w:after="120"/>
        <w:jc w:val="left"/>
        <w:rPr>
          <w:rFonts w:eastAsia="Arial"/>
          <w:b/>
        </w:rPr>
      </w:pPr>
      <w:r>
        <w:rPr>
          <w:rFonts w:eastAsia="Arial"/>
          <w:b/>
        </w:rPr>
        <w:t>Contract Reference Number:</w:t>
      </w:r>
    </w:p>
    <w:p w14:paraId="11F45125" w14:textId="77777777" w:rsidR="00C64F31" w:rsidRDefault="00C64F31" w:rsidP="006126FB">
      <w:pPr>
        <w:pBdr>
          <w:top w:val="nil"/>
          <w:left w:val="nil"/>
          <w:bottom w:val="nil"/>
          <w:right w:val="nil"/>
          <w:between w:val="nil"/>
        </w:pBdr>
        <w:spacing w:before="120" w:after="120"/>
        <w:jc w:val="left"/>
        <w:rPr>
          <w:rFonts w:eastAsia="Arial"/>
        </w:rPr>
      </w:pPr>
    </w:p>
    <w:p w14:paraId="64D9B61B" w14:textId="77777777" w:rsidR="00C64F31" w:rsidRDefault="007B6802" w:rsidP="006126FB">
      <w:pPr>
        <w:pBdr>
          <w:top w:val="nil"/>
          <w:left w:val="nil"/>
          <w:bottom w:val="nil"/>
          <w:right w:val="nil"/>
          <w:between w:val="nil"/>
        </w:pBdr>
        <w:spacing w:before="120" w:after="120"/>
        <w:ind w:left="720"/>
        <w:jc w:val="left"/>
        <w:rPr>
          <w:rFonts w:eastAsia="Arial"/>
        </w:rPr>
      </w:pPr>
      <w:bookmarkStart w:id="35" w:name="_heading=h.147n2zr" w:colFirst="0" w:colLast="0"/>
      <w:bookmarkEnd w:id="35"/>
      <w:r>
        <w:rPr>
          <w:rFonts w:eastAsia="Arial"/>
        </w:rPr>
        <w:t>The Board of Directors acknowledge the requirements set out at paragraph 8 of Joint Schedule 7 (</w:t>
      </w:r>
      <w:r>
        <w:rPr>
          <w:rFonts w:eastAsia="Arial"/>
          <w:i/>
        </w:rPr>
        <w:t>Financial Distress</w:t>
      </w:r>
      <w:r>
        <w:rPr>
          <w:rFonts w:eastAsia="Arial"/>
        </w:rPr>
        <w:t>) and confirm that the Supplier has exercised due care and diligence and made reasonable enquiry of all relevant Supplier Staff and other persons as is reasonably necessary to enable the Board to prepare this statement.</w:t>
      </w:r>
    </w:p>
    <w:p w14:paraId="0F2C1675" w14:textId="77777777" w:rsidR="00C64F31" w:rsidRDefault="007B6802" w:rsidP="006126FB">
      <w:pPr>
        <w:pBdr>
          <w:top w:val="nil"/>
          <w:left w:val="nil"/>
          <w:bottom w:val="nil"/>
          <w:right w:val="nil"/>
          <w:between w:val="nil"/>
        </w:pBdr>
        <w:spacing w:before="120" w:after="120"/>
        <w:ind w:left="720"/>
        <w:jc w:val="left"/>
        <w:rPr>
          <w:rFonts w:eastAsia="Arial"/>
        </w:rPr>
      </w:pPr>
      <w:r>
        <w:rPr>
          <w:rFonts w:eastAsia="Arial"/>
        </w:rPr>
        <w:t>The Board of Directors confirms, to the best of its knowledge and belief, that as at the date of this Board Confirmation it is not aware of and has no knowledge:</w:t>
      </w:r>
    </w:p>
    <w:p w14:paraId="29664884" w14:textId="77777777" w:rsidR="00C64F31" w:rsidRDefault="007B6802" w:rsidP="006126FB">
      <w:pPr>
        <w:numPr>
          <w:ilvl w:val="3"/>
          <w:numId w:val="1"/>
        </w:numPr>
        <w:pBdr>
          <w:top w:val="nil"/>
          <w:left w:val="nil"/>
          <w:bottom w:val="nil"/>
          <w:right w:val="nil"/>
          <w:between w:val="nil"/>
        </w:pBdr>
        <w:tabs>
          <w:tab w:val="left" w:pos="720"/>
          <w:tab w:val="left" w:pos="1803"/>
        </w:tabs>
        <w:spacing w:before="120" w:after="120"/>
        <w:jc w:val="left"/>
      </w:pPr>
      <w:r>
        <w:rPr>
          <w:rFonts w:eastAsia="Arial"/>
        </w:rPr>
        <w:t>that a Financial Distress Event has occurred since the later of the previous Board Confirmation and the Effective Date or is subsisting; or</w:t>
      </w:r>
    </w:p>
    <w:p w14:paraId="53F8CAC4" w14:textId="77777777" w:rsidR="00C64F31" w:rsidRDefault="007B6802" w:rsidP="006126FB">
      <w:pPr>
        <w:numPr>
          <w:ilvl w:val="3"/>
          <w:numId w:val="1"/>
        </w:numPr>
        <w:pBdr>
          <w:top w:val="nil"/>
          <w:left w:val="nil"/>
          <w:bottom w:val="nil"/>
          <w:right w:val="nil"/>
          <w:between w:val="nil"/>
        </w:pBdr>
        <w:tabs>
          <w:tab w:val="left" w:pos="720"/>
          <w:tab w:val="left" w:pos="1803"/>
        </w:tabs>
        <w:spacing w:before="120" w:after="120"/>
        <w:jc w:val="left"/>
      </w:pPr>
      <w:r>
        <w:rPr>
          <w:rFonts w:eastAsia="Arial"/>
        </w:rPr>
        <w:t>of any matters which have occurred or are subsisting that could reasonably be expected to cause a Financial Distress Event</w:t>
      </w:r>
    </w:p>
    <w:p w14:paraId="0A87A0BE" w14:textId="77777777" w:rsidR="00C64F31" w:rsidRDefault="00C64F31" w:rsidP="006126FB">
      <w:pPr>
        <w:pBdr>
          <w:top w:val="nil"/>
          <w:left w:val="nil"/>
          <w:bottom w:val="nil"/>
          <w:right w:val="nil"/>
          <w:between w:val="nil"/>
        </w:pBdr>
        <w:spacing w:before="120" w:after="120"/>
        <w:jc w:val="left"/>
        <w:rPr>
          <w:rFonts w:eastAsia="Arial"/>
        </w:rPr>
      </w:pPr>
    </w:p>
    <w:p w14:paraId="102E3CD8" w14:textId="77777777" w:rsidR="00C64F31" w:rsidRDefault="007B6802" w:rsidP="006126FB">
      <w:pPr>
        <w:pBdr>
          <w:top w:val="nil"/>
          <w:left w:val="nil"/>
          <w:bottom w:val="nil"/>
          <w:right w:val="nil"/>
          <w:between w:val="nil"/>
        </w:pBdr>
        <w:spacing w:before="120" w:after="120"/>
        <w:ind w:left="720"/>
        <w:jc w:val="left"/>
        <w:rPr>
          <w:rFonts w:eastAsia="Arial"/>
        </w:rPr>
      </w:pPr>
      <w:r>
        <w:rPr>
          <w:rFonts w:eastAsia="Arial"/>
        </w:rPr>
        <w:t>On behalf of the Board of Directors:</w:t>
      </w:r>
    </w:p>
    <w:p w14:paraId="58E0D733" w14:textId="77777777" w:rsidR="00C64F31" w:rsidRDefault="00C64F31" w:rsidP="006126FB">
      <w:pPr>
        <w:pBdr>
          <w:top w:val="nil"/>
          <w:left w:val="nil"/>
          <w:bottom w:val="nil"/>
          <w:right w:val="nil"/>
          <w:between w:val="nil"/>
        </w:pBdr>
        <w:spacing w:before="120" w:after="120"/>
        <w:jc w:val="left"/>
        <w:rPr>
          <w:rFonts w:eastAsia="Arial"/>
        </w:rPr>
      </w:pPr>
    </w:p>
    <w:p w14:paraId="44ACAA3A"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Chair</w:t>
      </w:r>
      <w:r>
        <w:rPr>
          <w:rFonts w:eastAsia="Arial"/>
        </w:rPr>
        <w:tab/>
      </w:r>
      <w:r>
        <w:rPr>
          <w:rFonts w:eastAsia="Arial"/>
        </w:rPr>
        <w:tab/>
        <w:t>…………………………………</w:t>
      </w:r>
    </w:p>
    <w:p w14:paraId="2F0B3FB9"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Signed</w:t>
      </w:r>
      <w:r>
        <w:rPr>
          <w:rFonts w:eastAsia="Arial"/>
        </w:rPr>
        <w:tab/>
      </w:r>
      <w:r>
        <w:rPr>
          <w:rFonts w:eastAsia="Arial"/>
        </w:rPr>
        <w:tab/>
        <w:t>…………………………………</w:t>
      </w:r>
    </w:p>
    <w:p w14:paraId="5D986F14"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Date</w:t>
      </w:r>
      <w:r>
        <w:rPr>
          <w:rFonts w:eastAsia="Arial"/>
        </w:rPr>
        <w:tab/>
      </w:r>
      <w:r>
        <w:rPr>
          <w:rFonts w:eastAsia="Arial"/>
        </w:rPr>
        <w:tab/>
        <w:t>…………………………………</w:t>
      </w:r>
    </w:p>
    <w:p w14:paraId="3BEA280F" w14:textId="77777777" w:rsidR="00C64F31" w:rsidRDefault="00C64F31" w:rsidP="006126FB">
      <w:pPr>
        <w:pBdr>
          <w:top w:val="nil"/>
          <w:left w:val="nil"/>
          <w:bottom w:val="nil"/>
          <w:right w:val="nil"/>
          <w:between w:val="nil"/>
        </w:pBdr>
        <w:spacing w:before="120" w:after="120"/>
        <w:jc w:val="left"/>
        <w:rPr>
          <w:rFonts w:eastAsia="Arial"/>
        </w:rPr>
      </w:pPr>
    </w:p>
    <w:p w14:paraId="210FA077"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Director</w:t>
      </w:r>
      <w:r>
        <w:rPr>
          <w:rFonts w:eastAsia="Arial"/>
        </w:rPr>
        <w:tab/>
      </w:r>
      <w:r>
        <w:rPr>
          <w:rFonts w:eastAsia="Arial"/>
        </w:rPr>
        <w:tab/>
        <w:t>…………………………………</w:t>
      </w:r>
    </w:p>
    <w:p w14:paraId="6F8BC6FA"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Signed</w:t>
      </w:r>
      <w:r>
        <w:rPr>
          <w:rFonts w:eastAsia="Arial"/>
        </w:rPr>
        <w:tab/>
      </w:r>
      <w:r>
        <w:rPr>
          <w:rFonts w:eastAsia="Arial"/>
        </w:rPr>
        <w:tab/>
        <w:t>…………………………………</w:t>
      </w:r>
    </w:p>
    <w:p w14:paraId="605D452D" w14:textId="77777777" w:rsidR="00C64F31" w:rsidRDefault="007B6802" w:rsidP="006126FB">
      <w:pPr>
        <w:pBdr>
          <w:top w:val="nil"/>
          <w:left w:val="nil"/>
          <w:bottom w:val="nil"/>
          <w:right w:val="nil"/>
          <w:between w:val="nil"/>
        </w:pBdr>
        <w:spacing w:before="120" w:after="120"/>
        <w:ind w:left="1803"/>
        <w:jc w:val="left"/>
        <w:rPr>
          <w:rFonts w:eastAsia="Arial"/>
        </w:rPr>
      </w:pPr>
      <w:r>
        <w:rPr>
          <w:rFonts w:eastAsia="Arial"/>
        </w:rPr>
        <w:t>Date</w:t>
      </w:r>
      <w:r>
        <w:rPr>
          <w:rFonts w:eastAsia="Arial"/>
        </w:rPr>
        <w:tab/>
      </w:r>
      <w:r>
        <w:rPr>
          <w:rFonts w:eastAsia="Arial"/>
        </w:rPr>
        <w:tab/>
        <w:t>…………………………………</w:t>
      </w:r>
    </w:p>
    <w:p w14:paraId="7533BFF6" w14:textId="77777777" w:rsidR="00C64F31" w:rsidRDefault="00C64F31" w:rsidP="006126FB">
      <w:pPr>
        <w:spacing w:before="120" w:after="120"/>
        <w:jc w:val="left"/>
        <w:rPr>
          <w:rFonts w:eastAsia="Arial"/>
        </w:rPr>
      </w:pPr>
      <w:bookmarkStart w:id="36" w:name="_heading=h.4i7ojhp" w:colFirst="0" w:colLast="0"/>
      <w:bookmarkEnd w:id="36"/>
    </w:p>
    <w:sectPr w:rsidR="00C64F31">
      <w:headerReference w:type="default" r:id="rId13"/>
      <w:footerReference w:type="defaul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E7FE" w14:textId="77777777" w:rsidR="00610952" w:rsidRDefault="00610952">
      <w:pPr>
        <w:spacing w:after="0"/>
      </w:pPr>
      <w:r>
        <w:separator/>
      </w:r>
    </w:p>
  </w:endnote>
  <w:endnote w:type="continuationSeparator" w:id="0">
    <w:p w14:paraId="1D8A916B" w14:textId="77777777" w:rsidR="00610952" w:rsidRDefault="00610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83C4" w14:textId="77777777" w:rsidR="0040292F" w:rsidRDefault="0040292F">
    <w:pPr>
      <w:tabs>
        <w:tab w:val="center" w:pos="4513"/>
        <w:tab w:val="right" w:pos="9026"/>
      </w:tabs>
      <w:spacing w:after="0"/>
      <w:rPr>
        <w:rFonts w:eastAsia="Arial"/>
        <w:sz w:val="20"/>
        <w:szCs w:val="20"/>
      </w:rPr>
    </w:pPr>
  </w:p>
  <w:p w14:paraId="6E0BA5ED" w14:textId="5050AF00" w:rsidR="00E278D0" w:rsidRDefault="00E278D0">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4FE96125" w14:textId="58E6312A" w:rsidR="00E278D0" w:rsidRDefault="00E278D0">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CF61BA">
      <w:rPr>
        <w:rFonts w:eastAsia="Arial"/>
        <w:noProof/>
        <w:sz w:val="20"/>
        <w:szCs w:val="20"/>
      </w:rPr>
      <w:t>2</w:t>
    </w:r>
    <w:r>
      <w:rPr>
        <w:rFonts w:eastAsia="Arial"/>
        <w:sz w:val="20"/>
        <w:szCs w:val="20"/>
      </w:rPr>
      <w:fldChar w:fldCharType="end"/>
    </w:r>
  </w:p>
  <w:p w14:paraId="47409F95" w14:textId="291D9D65" w:rsidR="00E278D0" w:rsidRDefault="00822306">
    <w:pPr>
      <w:spacing w:after="0"/>
      <w:rPr>
        <w:rFonts w:eastAsia="Arial"/>
        <w:sz w:val="20"/>
        <w:szCs w:val="20"/>
      </w:rPr>
    </w:pPr>
    <w:r>
      <w:rPr>
        <w:rFonts w:eastAsia="Arial"/>
        <w:sz w:val="20"/>
        <w:szCs w:val="20"/>
      </w:rPr>
      <w:t>Model Version: v1.0 PA</w:t>
    </w:r>
    <w:r w:rsidR="00E278D0">
      <w:rPr>
        <w:rFonts w:eastAsia="Arial"/>
        <w:sz w:val="20"/>
        <w:szCs w:val="20"/>
      </w:rPr>
      <w:tab/>
    </w:r>
    <w:r w:rsidR="00E278D0">
      <w:rPr>
        <w:rFonts w:eastAsia="Arial"/>
        <w:sz w:val="20"/>
        <w:szCs w:val="20"/>
      </w:rPr>
      <w:tab/>
    </w:r>
    <w:r w:rsidR="00E278D0">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B57" w14:textId="77777777" w:rsidR="00E278D0" w:rsidRDefault="00E278D0">
    <w:pPr>
      <w:tabs>
        <w:tab w:val="center" w:pos="4513"/>
        <w:tab w:val="right" w:pos="9026"/>
      </w:tabs>
      <w:spacing w:after="0"/>
      <w:rPr>
        <w:color w:val="BFBFBF"/>
      </w:rPr>
    </w:pPr>
    <w:r>
      <w:rPr>
        <w:color w:val="BFBFBF"/>
      </w:rPr>
      <w:t>Framework Ref: RM</w:t>
    </w:r>
    <w:r>
      <w:rPr>
        <w:color w:val="BFBFBF"/>
      </w:rPr>
      <w:tab/>
      <w:t xml:space="preserve">                                           </w:t>
    </w:r>
  </w:p>
  <w:p w14:paraId="63D55FB4" w14:textId="77777777" w:rsidR="00E278D0" w:rsidRDefault="00E278D0">
    <w:pPr>
      <w:pBdr>
        <w:top w:val="nil"/>
        <w:left w:val="nil"/>
        <w:bottom w:val="nil"/>
        <w:right w:val="nil"/>
        <w:between w:val="nil"/>
      </w:pBdr>
      <w:tabs>
        <w:tab w:val="center" w:pos="4513"/>
        <w:tab w:val="right" w:pos="9026"/>
      </w:tabs>
      <w:spacing w:after="0"/>
      <w:rPr>
        <w:rFonts w:cs="Calibri"/>
        <w:color w:val="BFBFBF"/>
      </w:rPr>
    </w:pPr>
    <w:r>
      <w:rPr>
        <w:rFonts w:cs="Calibri"/>
        <w:color w:val="BFBFBF"/>
      </w:rPr>
      <w:t>Project Version: v1.0</w:t>
    </w:r>
    <w:r>
      <w:rPr>
        <w:rFonts w:cs="Calibri"/>
        <w:color w:val="BFBFBF"/>
      </w:rPr>
      <w:tab/>
    </w:r>
    <w:r>
      <w:rPr>
        <w:rFonts w:cs="Calibri"/>
        <w:color w:val="BFBFBF"/>
      </w:rPr>
      <w:tab/>
    </w:r>
    <w:r>
      <w:rPr>
        <w:rFonts w:cs="Calibri"/>
        <w:color w:val="BFBFBF"/>
      </w:rPr>
      <w:tab/>
      <w:t xml:space="preserve"> </w:t>
    </w:r>
    <w:r>
      <w:rPr>
        <w:rFonts w:cs="Calibri"/>
        <w:color w:val="BFBFBF"/>
      </w:rPr>
      <w:fldChar w:fldCharType="begin"/>
    </w:r>
    <w:r>
      <w:rPr>
        <w:rFonts w:cs="Calibri"/>
        <w:color w:val="BFBFBF"/>
      </w:rPr>
      <w:instrText>PAGE</w:instrText>
    </w:r>
    <w:r>
      <w:rPr>
        <w:rFonts w:cs="Calibri"/>
        <w:color w:val="BFBFBF"/>
      </w:rPr>
      <w:fldChar w:fldCharType="end"/>
    </w:r>
  </w:p>
  <w:p w14:paraId="0BC57A33" w14:textId="77777777" w:rsidR="00E278D0" w:rsidRDefault="00E278D0">
    <w:pPr>
      <w:spacing w:after="0"/>
      <w:rPr>
        <w:rFonts w:eastAsia="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7594" w14:textId="77777777" w:rsidR="00610952" w:rsidRDefault="00610952">
      <w:pPr>
        <w:spacing w:after="0"/>
      </w:pPr>
      <w:r>
        <w:separator/>
      </w:r>
    </w:p>
  </w:footnote>
  <w:footnote w:type="continuationSeparator" w:id="0">
    <w:p w14:paraId="67A6D999" w14:textId="77777777" w:rsidR="00610952" w:rsidRDefault="006109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0DA1" w14:textId="77777777" w:rsidR="00E278D0" w:rsidRPr="00822306" w:rsidRDefault="00E278D0">
    <w:pPr>
      <w:pBdr>
        <w:top w:val="nil"/>
        <w:left w:val="nil"/>
        <w:bottom w:val="nil"/>
        <w:right w:val="nil"/>
        <w:between w:val="nil"/>
      </w:pBdr>
      <w:tabs>
        <w:tab w:val="center" w:pos="4513"/>
        <w:tab w:val="right" w:pos="9026"/>
      </w:tabs>
      <w:spacing w:after="0"/>
      <w:rPr>
        <w:rFonts w:eastAsia="Arial"/>
        <w:sz w:val="22"/>
        <w:szCs w:val="22"/>
      </w:rPr>
    </w:pPr>
    <w:r w:rsidRPr="00822306">
      <w:rPr>
        <w:rFonts w:eastAsia="Arial"/>
        <w:b/>
        <w:sz w:val="22"/>
        <w:szCs w:val="22"/>
      </w:rPr>
      <w:t>Joint Schedule 7 (Financial Difficulties)</w:t>
    </w:r>
  </w:p>
  <w:p w14:paraId="4E3AC0F7" w14:textId="2FBF8E65" w:rsidR="00E278D0" w:rsidRDefault="00E278D0">
    <w:pPr>
      <w:pBdr>
        <w:top w:val="nil"/>
        <w:left w:val="nil"/>
        <w:bottom w:val="nil"/>
        <w:right w:val="nil"/>
        <w:between w:val="nil"/>
      </w:pBdr>
      <w:tabs>
        <w:tab w:val="center" w:pos="4513"/>
        <w:tab w:val="right" w:pos="9026"/>
      </w:tabs>
      <w:spacing w:after="0"/>
      <w:rPr>
        <w:rFonts w:eastAsia="Arial"/>
        <w:sz w:val="22"/>
        <w:szCs w:val="22"/>
      </w:rPr>
    </w:pPr>
    <w:r w:rsidRPr="00822306">
      <w:rPr>
        <w:rFonts w:eastAsia="Arial"/>
        <w:sz w:val="22"/>
        <w:szCs w:val="22"/>
      </w:rPr>
      <w:t>Crown Copyright 202</w:t>
    </w:r>
    <w:r w:rsidR="002C2A27" w:rsidRPr="00822306">
      <w:rPr>
        <w:rFonts w:eastAsia="Arial"/>
        <w:sz w:val="22"/>
        <w:szCs w:val="22"/>
      </w:rPr>
      <w:t>5</w:t>
    </w:r>
  </w:p>
  <w:p w14:paraId="62C6923B" w14:textId="77777777" w:rsidR="00271BC4" w:rsidRPr="00822306" w:rsidRDefault="00271BC4">
    <w:pPr>
      <w:pBdr>
        <w:top w:val="nil"/>
        <w:left w:val="nil"/>
        <w:bottom w:val="nil"/>
        <w:right w:val="nil"/>
        <w:between w:val="nil"/>
      </w:pBdr>
      <w:tabs>
        <w:tab w:val="center" w:pos="4513"/>
        <w:tab w:val="right" w:pos="9026"/>
      </w:tabs>
      <w:spacing w:after="0"/>
      <w:rPr>
        <w:rFonts w:eastAsia="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4F0"/>
    <w:multiLevelType w:val="multilevel"/>
    <w:tmpl w:val="4E0C8620"/>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0F9B668E"/>
    <w:multiLevelType w:val="multilevel"/>
    <w:tmpl w:val="5844A15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4177F"/>
    <w:multiLevelType w:val="multilevel"/>
    <w:tmpl w:val="1CD8EDA4"/>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2954985"/>
    <w:multiLevelType w:val="multilevel"/>
    <w:tmpl w:val="8E3E58CC"/>
    <w:lvl w:ilvl="0">
      <w:start w:val="1"/>
      <w:numFmt w:val="decimal"/>
      <w:pStyle w:val="Numbered1"/>
      <w:lvlText w:val="%1."/>
      <w:lvlJc w:val="left"/>
      <w:pPr>
        <w:tabs>
          <w:tab w:val="num" w:pos="720"/>
        </w:tabs>
        <w:ind w:left="720" w:hanging="720"/>
      </w:pPr>
      <w:rPr>
        <w:rFonts w:hint="default"/>
        <w:color w:val="auto"/>
      </w:rPr>
    </w:lvl>
    <w:lvl w:ilvl="1">
      <w:start w:val="1"/>
      <w:numFmt w:val="decimal"/>
      <w:pStyle w:val="Numbered11"/>
      <w:lvlText w:val="%1.%2"/>
      <w:lvlJc w:val="left"/>
      <w:pPr>
        <w:tabs>
          <w:tab w:val="num" w:pos="720"/>
        </w:tabs>
        <w:ind w:left="720" w:hanging="720"/>
      </w:pPr>
      <w:rPr>
        <w:rFonts w:hint="default"/>
        <w:b w:val="0"/>
        <w:bCs w:val="0"/>
      </w:rPr>
    </w:lvl>
    <w:lvl w:ilvl="2">
      <w:start w:val="1"/>
      <w:numFmt w:val="decimal"/>
      <w:pStyle w:val="Numbered111"/>
      <w:lvlText w:val="%1.%2.%3"/>
      <w:lvlJc w:val="left"/>
      <w:pPr>
        <w:tabs>
          <w:tab w:val="num" w:pos="1800"/>
        </w:tabs>
        <w:ind w:left="1800" w:hanging="1080"/>
      </w:pPr>
      <w:rPr>
        <w:rFonts w:hint="default"/>
      </w:rPr>
    </w:lvl>
    <w:lvl w:ilvl="3">
      <w:start w:val="1"/>
      <w:numFmt w:val="lowerLetter"/>
      <w:pStyle w:val="Numbered111a"/>
      <w:lvlText w:val="(%4)"/>
      <w:lvlJc w:val="left"/>
      <w:pPr>
        <w:tabs>
          <w:tab w:val="num" w:pos="2520"/>
        </w:tabs>
        <w:ind w:left="2520" w:hanging="720"/>
      </w:pPr>
      <w:rPr>
        <w:rFonts w:hint="default"/>
      </w:rPr>
    </w:lvl>
    <w:lvl w:ilvl="4">
      <w:start w:val="1"/>
      <w:numFmt w:val="lowerRoman"/>
      <w:pStyle w:val="Numbered111ai"/>
      <w:lvlText w:val="(%5)"/>
      <w:lvlJc w:val="left"/>
      <w:pPr>
        <w:tabs>
          <w:tab w:val="num" w:pos="3240"/>
        </w:tabs>
        <w:ind w:left="3240" w:hanging="720"/>
      </w:pPr>
      <w:rPr>
        <w:rFonts w:hint="default"/>
        <w:b w:val="0"/>
        <w:bCs w:val="0"/>
        <w:i w:val="0"/>
        <w:iCs w:val="0"/>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num w:numId="1" w16cid:durableId="1288973654">
    <w:abstractNumId w:val="0"/>
  </w:num>
  <w:num w:numId="2" w16cid:durableId="1332442390">
    <w:abstractNumId w:val="1"/>
  </w:num>
  <w:num w:numId="3" w16cid:durableId="1594045732">
    <w:abstractNumId w:val="3"/>
  </w:num>
  <w:num w:numId="4" w16cid:durableId="2123988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090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448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807407">
    <w:abstractNumId w:val="4"/>
  </w:num>
  <w:num w:numId="8" w16cid:durableId="1378897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361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31"/>
    <w:rsid w:val="00003433"/>
    <w:rsid w:val="00004AD7"/>
    <w:rsid w:val="00085A89"/>
    <w:rsid w:val="000C06AB"/>
    <w:rsid w:val="00255772"/>
    <w:rsid w:val="002576E8"/>
    <w:rsid w:val="00257F44"/>
    <w:rsid w:val="00271BC4"/>
    <w:rsid w:val="002A3B80"/>
    <w:rsid w:val="002C2A27"/>
    <w:rsid w:val="003019A6"/>
    <w:rsid w:val="00364399"/>
    <w:rsid w:val="003C65DA"/>
    <w:rsid w:val="003F6F8D"/>
    <w:rsid w:val="0040292F"/>
    <w:rsid w:val="00444469"/>
    <w:rsid w:val="00565FB6"/>
    <w:rsid w:val="00567348"/>
    <w:rsid w:val="00570C9E"/>
    <w:rsid w:val="00585C28"/>
    <w:rsid w:val="005C12B4"/>
    <w:rsid w:val="005D7CAD"/>
    <w:rsid w:val="00610952"/>
    <w:rsid w:val="006126FB"/>
    <w:rsid w:val="006C0323"/>
    <w:rsid w:val="006D36A8"/>
    <w:rsid w:val="006D4EC7"/>
    <w:rsid w:val="007113AF"/>
    <w:rsid w:val="00714575"/>
    <w:rsid w:val="007369D7"/>
    <w:rsid w:val="00743C7E"/>
    <w:rsid w:val="00795B7D"/>
    <w:rsid w:val="007B6802"/>
    <w:rsid w:val="007C17BD"/>
    <w:rsid w:val="007F57BB"/>
    <w:rsid w:val="00822306"/>
    <w:rsid w:val="00856C85"/>
    <w:rsid w:val="0086429A"/>
    <w:rsid w:val="00885168"/>
    <w:rsid w:val="008A4F3B"/>
    <w:rsid w:val="008D1F1B"/>
    <w:rsid w:val="008E4008"/>
    <w:rsid w:val="009152D9"/>
    <w:rsid w:val="0096424F"/>
    <w:rsid w:val="00976D74"/>
    <w:rsid w:val="009978DA"/>
    <w:rsid w:val="009C1927"/>
    <w:rsid w:val="009D1DF7"/>
    <w:rsid w:val="009E23B6"/>
    <w:rsid w:val="00A06622"/>
    <w:rsid w:val="00A37034"/>
    <w:rsid w:val="00A46758"/>
    <w:rsid w:val="00AD3FAA"/>
    <w:rsid w:val="00B35BE8"/>
    <w:rsid w:val="00B60738"/>
    <w:rsid w:val="00B9564B"/>
    <w:rsid w:val="00C04FD5"/>
    <w:rsid w:val="00C52A89"/>
    <w:rsid w:val="00C54283"/>
    <w:rsid w:val="00C64F31"/>
    <w:rsid w:val="00CC441C"/>
    <w:rsid w:val="00CF61BA"/>
    <w:rsid w:val="00D0206F"/>
    <w:rsid w:val="00DB546E"/>
    <w:rsid w:val="00DF517A"/>
    <w:rsid w:val="00E06007"/>
    <w:rsid w:val="00E1040D"/>
    <w:rsid w:val="00E278D0"/>
    <w:rsid w:val="00EE0F4E"/>
    <w:rsid w:val="00EE4DC7"/>
    <w:rsid w:val="00EF154A"/>
    <w:rsid w:val="00F101CA"/>
    <w:rsid w:val="00FD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075E"/>
  <w15:docId w15:val="{B7BD47DD-C8BF-4F81-B8D6-E718FFCA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paragraph" w:customStyle="1" w:styleId="StdBodyText">
    <w:name w:val="Std Body Text"/>
    <w:basedOn w:val="Normal"/>
    <w:uiPriority w:val="99"/>
    <w:qFormat/>
    <w:rsid w:val="00106E9B"/>
    <w:pPr>
      <w:overflowPunct/>
      <w:autoSpaceDE/>
      <w:autoSpaceDN/>
      <w:adjustRightInd/>
      <w:spacing w:before="100" w:after="200"/>
      <w:jc w:val="left"/>
      <w:textAlignment w:val="auto"/>
    </w:pPr>
    <w:rPr>
      <w:rFonts w:cs="Times New Roman"/>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cs="Times New Roman"/>
      <w: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cs="Times New Roman"/>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paragraph" w:customStyle="1" w:styleId="Numbered1">
    <w:name w:val="Numbered 1"/>
    <w:qFormat/>
    <w:rsid w:val="00E06007"/>
    <w:pPr>
      <w:keepNext/>
      <w:keepLines/>
      <w:numPr>
        <w:numId w:val="7"/>
      </w:numPr>
      <w:autoSpaceDE w:val="0"/>
      <w:autoSpaceDN w:val="0"/>
      <w:spacing w:before="100" w:after="200"/>
      <w:jc w:val="left"/>
      <w:outlineLvl w:val="1"/>
    </w:pPr>
    <w:rPr>
      <w:rFonts w:eastAsia="Arial"/>
      <w:b/>
      <w:bCs/>
      <w:color w:val="1F497D" w:themeColor="text2"/>
      <w:lang w:eastAsia="en-US" w:bidi="en-US"/>
    </w:rPr>
  </w:style>
  <w:style w:type="paragraph" w:customStyle="1" w:styleId="Numbered11">
    <w:name w:val="Numbered 1.1"/>
    <w:qFormat/>
    <w:rsid w:val="00E06007"/>
    <w:pPr>
      <w:widowControl w:val="0"/>
      <w:numPr>
        <w:ilvl w:val="1"/>
        <w:numId w:val="7"/>
      </w:numPr>
      <w:autoSpaceDE w:val="0"/>
      <w:autoSpaceDN w:val="0"/>
      <w:spacing w:before="100" w:after="200"/>
      <w:jc w:val="left"/>
      <w:outlineLvl w:val="2"/>
    </w:pPr>
    <w:rPr>
      <w:rFonts w:asciiTheme="minorHAnsi" w:eastAsia="Arial" w:hAnsiTheme="minorHAnsi" w:cstheme="minorHAnsi"/>
      <w:lang w:eastAsia="en-US" w:bidi="en-US"/>
    </w:rPr>
  </w:style>
  <w:style w:type="paragraph" w:customStyle="1" w:styleId="Numbered111">
    <w:name w:val="Numbered 1.1.1"/>
    <w:next w:val="Numbered111a"/>
    <w:qFormat/>
    <w:rsid w:val="00E06007"/>
    <w:pPr>
      <w:widowControl w:val="0"/>
      <w:numPr>
        <w:ilvl w:val="2"/>
        <w:numId w:val="7"/>
      </w:numPr>
      <w:autoSpaceDE w:val="0"/>
      <w:autoSpaceDN w:val="0"/>
      <w:spacing w:before="100" w:after="200"/>
      <w:jc w:val="left"/>
    </w:pPr>
    <w:rPr>
      <w:rFonts w:eastAsia="Arial"/>
      <w:lang w:eastAsia="en-US" w:bidi="en-US"/>
    </w:rPr>
  </w:style>
  <w:style w:type="paragraph" w:customStyle="1" w:styleId="Numbered111a">
    <w:name w:val="Numbered 1.1.1(a)"/>
    <w:qFormat/>
    <w:rsid w:val="00E06007"/>
    <w:pPr>
      <w:widowControl w:val="0"/>
      <w:numPr>
        <w:ilvl w:val="3"/>
        <w:numId w:val="7"/>
      </w:numPr>
      <w:autoSpaceDE w:val="0"/>
      <w:autoSpaceDN w:val="0"/>
      <w:spacing w:before="100" w:after="200"/>
      <w:jc w:val="left"/>
    </w:pPr>
    <w:rPr>
      <w:rFonts w:eastAsia="Arial"/>
      <w:lang w:eastAsia="en-US" w:bidi="en-US"/>
    </w:rPr>
  </w:style>
  <w:style w:type="paragraph" w:customStyle="1" w:styleId="Numbered111ai">
    <w:name w:val="Numbered 1.1.1(a)(i)"/>
    <w:basedOn w:val="ListParagraph"/>
    <w:qFormat/>
    <w:rsid w:val="00E06007"/>
    <w:pPr>
      <w:widowControl w:val="0"/>
      <w:numPr>
        <w:ilvl w:val="4"/>
        <w:numId w:val="7"/>
      </w:numPr>
      <w:tabs>
        <w:tab w:val="clear" w:pos="3240"/>
        <w:tab w:val="num" w:pos="360"/>
      </w:tabs>
      <w:overflowPunct/>
      <w:adjustRightInd/>
      <w:spacing w:before="100" w:after="200"/>
      <w:ind w:left="720" w:firstLine="0"/>
      <w:contextualSpacing w:val="0"/>
      <w:jc w:val="left"/>
      <w:textAlignment w:val="auto"/>
    </w:pPr>
    <w:rPr>
      <w:rFonts w:asciiTheme="minorHAnsi" w:eastAsia="Arial" w:hAnsiTheme="minorHAnsi" w:cstheme="minorHAnsi"/>
      <w:lang w:eastAsia="en-US" w:bidi="en-US"/>
    </w:rPr>
  </w:style>
  <w:style w:type="paragraph" w:styleId="ListParagraph">
    <w:name w:val="List Paragraph"/>
    <w:basedOn w:val="Normal"/>
    <w:uiPriority w:val="34"/>
    <w:qFormat/>
    <w:rsid w:val="00E06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strategic-suppl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4sZu+DQ+4h0ybTtG9lgrnhPcQ==">CgMxLjAyCWguM2R5NnZrbTIJaC4xY2k5M3hiMgloLjN3aHdtbDQyCWguMmJuNndzeDIIaC5xc2g3MHEyCWguM2FzNHBvajIJaC4xcHhlendjMgloLjQ5eDJpazUyCWguMnAyY3NyeTIJaC4xNDduMnpyMgloLjRpN29qaHA4AHIhMUlZc1UycXBqMlIxMGFBVXIyX1Jrak0tQW5zZG0xODRi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F70779-7004-4B11-A9BB-1E947CA2C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7AB6E-02E8-4389-AFBE-4BF4A767734B}">
  <ds:schemaRefs>
    <ds:schemaRef ds:uri="http://schemas.microsoft.com/sharepoint/v3/contenttype/forms"/>
  </ds:schemaRefs>
</ds:datastoreItem>
</file>

<file path=customXml/itemProps4.xml><?xml version="1.0" encoding="utf-8"?>
<ds:datastoreItem xmlns:ds="http://schemas.openxmlformats.org/officeDocument/2006/customXml" ds:itemID="{6DC64D3B-B14A-4E75-9A20-84162E4BFB3E}">
  <ds:schemaRefs>
    <ds:schemaRef ds:uri="http://schemas.openxmlformats.org/officeDocument/2006/bibliography"/>
  </ds:schemaRefs>
</ds:datastoreItem>
</file>

<file path=customXml/itemProps5.xml><?xml version="1.0" encoding="utf-8"?>
<ds:datastoreItem xmlns:ds="http://schemas.openxmlformats.org/officeDocument/2006/customXml" ds:itemID="{88D334EC-2982-4010-9E38-377165915E20}">
  <ds:schemaRefs>
    <ds:schemaRef ds:uri="http://schemas.microsoft.com/office/2006/metadata/properties"/>
    <ds:schemaRef ds:uri="http://schemas.microsoft.com/office/infopath/2007/PartnerControls"/>
    <ds:schemaRef ds:uri="19fbf607-7e54-43a6-b8be-b587d1b00d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5530</Words>
  <Characters>31523</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Victoria Iremonger</cp:lastModifiedBy>
  <cp:revision>2</cp:revision>
  <dcterms:created xsi:type="dcterms:W3CDTF">2025-03-14T09:46:00Z</dcterms:created>
  <dcterms:modified xsi:type="dcterms:W3CDTF">2025-03-14T09:46:00Z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