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Call-Off Schedule 10 (Exit Management)</w:t>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0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7988.0"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4928"/>
        <w:tblGridChange w:id="0">
          <w:tblGrid>
            <w:gridCol w:w="3060"/>
            <w:gridCol w:w="4928"/>
          </w:tblGrid>
        </w:tblGridChange>
      </w:tblGrid>
      <w:tr>
        <w:trPr>
          <w:cantSplit w:val="0"/>
          <w:tblHeader w:val="0"/>
        </w:trPr>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Assets"</w:t>
            </w:r>
          </w:p>
        </w:tc>
        <w:tc>
          <w:tcPr/>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Assets used exclusively by the Supplier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or a Key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provision of the Deliverables;</w:t>
            </w:r>
          </w:p>
        </w:tc>
      </w:tr>
      <w:tr>
        <w:trPr>
          <w:cantSplit w:val="0"/>
          <w:tblHeader w:val="0"/>
        </w:trPr>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Information"</w:t>
            </w:r>
          </w:p>
        </w:tc>
        <w:tc>
          <w:tcPr/>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3.1 of this Schedule;</w:t>
            </w:r>
          </w:p>
        </w:tc>
      </w:tr>
      <w:tr>
        <w:trPr>
          <w:cantSplit w:val="0"/>
          <w:tblHeader w:val="0"/>
        </w:trPr>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Manager"</w:t>
            </w:r>
          </w:p>
        </w:tc>
        <w:tc>
          <w:tcPr/>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 appointed by each Party to manage their respective obligations under this Schedule;</w:t>
            </w:r>
          </w:p>
        </w:tc>
      </w:tr>
      <w:tr>
        <w:trPr>
          <w:cantSplit w:val="0"/>
          <w:tblHeader w:val="0"/>
        </w:trPr>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Plan”</w:t>
            </w:r>
          </w:p>
        </w:tc>
        <w:tc>
          <w:tcPr/>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plan produced and updated by the Supplier during the Initial Period in accordance with Paragraph 4 of this Schedule;</w:t>
            </w:r>
          </w:p>
        </w:tc>
      </w:tr>
      <w:tr>
        <w:trPr>
          <w:cantSplit w:val="0"/>
          <w:tblHeader w:val="0"/>
        </w:trP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Book Value"</w:t>
            </w:r>
          </w:p>
        </w:tc>
        <w:tc>
          <w:tcPr/>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trPr>
          <w:cantSplit w:val="0"/>
          <w:tblHeader w:val="0"/>
        </w:trPr>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"Non-Exclusive Assets"</w:t>
            </w:r>
          </w:p>
        </w:tc>
        <w:tc>
          <w:tcPr/>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Supplier Assets used by the Supplier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or a Key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connection with the Deliverables but which are also used by the Supplier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[or Key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other purposes;</w:t>
            </w:r>
          </w:p>
        </w:tc>
      </w:tr>
      <w:tr>
        <w:trPr>
          <w:cantSplit w:val="0"/>
          <w:tblHeader w:val="0"/>
        </w:trPr>
        <w:tc>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"Registers"</w:t>
            </w:r>
          </w:p>
        </w:tc>
        <w:tc>
          <w:tcPr/>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and configuration database referred to in Paragraph 2.2 of this Schedule; </w:t>
            </w:r>
          </w:p>
        </w:tc>
      </w:tr>
      <w:tr>
        <w:trPr>
          <w:cantSplit w:val="0"/>
          <w:tblHeader w:val="0"/>
        </w:trPr>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"Replacement Goods"</w:t>
            </w:r>
          </w:p>
        </w:tc>
        <w:tc>
          <w:tcPr/>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goods which are substantially similar to any of the Goods and which the Buyer receives in substitution for any of the Goods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"Replacement Services"</w:t>
            </w:r>
          </w:p>
        </w:tc>
        <w:tc>
          <w:tcPr/>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services which are substantially similar to any of the Services and which the Buyer receives in substitution for any of the Services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w:t>
            </w:r>
          </w:p>
        </w:tc>
        <w:tc>
          <w:tcPr/>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activities to be performed by the Supplier pursuant to the Exit Plan, and other assistance required by the Buyer pursuant to the Termination Assistance Notice;</w:t>
            </w:r>
          </w:p>
        </w:tc>
      </w:tr>
      <w:tr>
        <w:trPr>
          <w:cantSplit w:val="0"/>
          <w:tblHeader w:val="0"/>
        </w:trPr>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 Notice"</w:t>
            </w:r>
          </w:p>
        </w:tc>
        <w:tc>
          <w:tcPr/>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5.1 of this Schedule;</w:t>
            </w:r>
          </w:p>
        </w:tc>
      </w:tr>
      <w:tr>
        <w:trPr>
          <w:cantSplit w:val="0"/>
          <w:tblHeader w:val="0"/>
        </w:trPr>
        <w:tc>
          <w:tcPr/>
          <w:p w:rsidR="00000000" w:rsidDel="00000000" w:rsidP="00000000" w:rsidRDefault="00000000" w:rsidRPr="00000000" w14:paraId="0000001B">
            <w:pPr>
              <w:keepNext w:val="1"/>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 Period"</w:t>
            </w:r>
          </w:p>
        </w:tc>
        <w:tc>
          <w:tcPr/>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period specified in a Termination Assistance Notice for which the Supplier is required to provide the Termination Assistance as such period may be extended pursuant to Paragraph 5.2 of this Schedule;</w:t>
            </w:r>
          </w:p>
        </w:tc>
      </w:tr>
      <w:tr>
        <w:trPr>
          <w:cantSplit w:val="0"/>
          <w:tblHeader w:val="0"/>
        </w:trPr>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"Transferable Assets"</w:t>
            </w:r>
          </w:p>
        </w:tc>
        <w:tc>
          <w:tcPr/>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Exclusive Assets which are capable of legal transfer to the Buyer;</w:t>
            </w:r>
          </w:p>
        </w:tc>
      </w:tr>
      <w:tr>
        <w:trPr>
          <w:cantSplit w:val="0"/>
          <w:tblHeader w:val="0"/>
        </w:trPr>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"Transferable Contracts"</w:t>
            </w:r>
          </w:p>
        </w:tc>
        <w:tc>
          <w:tcPr/>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trPr>
          <w:cantSplit w:val="0"/>
          <w:tblHeader w:val="0"/>
        </w:trPr>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Assets"</w:t>
            </w:r>
          </w:p>
        </w:tc>
        <w:tc>
          <w:tcPr/>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8.2.1 of this Schedule;</w:t>
            </w:r>
          </w:p>
        </w:tc>
      </w:tr>
      <w:tr>
        <w:trPr>
          <w:cantSplit w:val="0"/>
          <w:tblHeader w:val="0"/>
        </w:trPr>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Contracts"</w:t>
            </w:r>
          </w:p>
        </w:tc>
        <w:tc>
          <w:tcPr/>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8.2.3 of this Schedule.</w:t>
            </w:r>
          </w:p>
        </w:tc>
      </w:tr>
    </w:tbl>
    <w:p w:rsidR="00000000" w:rsidDel="00000000" w:rsidP="00000000" w:rsidRDefault="00000000" w:rsidRPr="00000000" w14:paraId="0000002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must always be prepared for contract exit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within 30 days from the Start Date provide to the Buyer a copy of its depreciation policy to be used for the purposes of calculating Net Book Value.</w:t>
      </w:r>
    </w:p>
    <w:p w:rsidR="00000000" w:rsidDel="00000000" w:rsidP="00000000" w:rsidRDefault="00000000" w:rsidRPr="00000000" w14:paraId="0000002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Contract Period, the Supplier shall promptly:</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and maintain a configuration database detailing the technical infrastructure and operating procedures through which the Supplier provides the Deliverables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129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Exclusive Assets listed in the Registers are clearly physically identified as such; and</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shall appoint an Exit Manager within three (3) Months of the Start Date. The Parties' Exit Managers will liaise with one another in relation to all issues relevant to the expiry or termination of this Contract.</w:t>
      </w:r>
    </w:p>
    <w:p w:rsidR="00000000" w:rsidDel="00000000" w:rsidP="00000000" w:rsidRDefault="00000000" w:rsidRPr="00000000" w14:paraId="0000002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Assisting re-competition for Deliverables </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Exit Information shall be accurate and complete in all material respects and shall be sufficient to enable a third party to prepare an informed offer for those Deliverables; and not be disadvantaged in any procurement process compared to the Supplier.</w:t>
      </w:r>
    </w:p>
    <w:p w:rsidR="00000000" w:rsidDel="00000000" w:rsidP="00000000" w:rsidRDefault="00000000" w:rsidRPr="00000000" w14:paraId="0000003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Exit Plan</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within three (3) Months after the Start Date, deliver to the Buyer an Exit Plan which complies with the requirements set out in Paragraph 4.3 of this Schedule and is otherwise reasonably satisfactory to the Buyer.</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000000" w:rsidDel="00000000" w:rsidP="00000000" w:rsidRDefault="00000000" w:rsidRPr="00000000" w14:paraId="0000003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Exit Plan shall set out, as a minimum:</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detailed description of both the transfer and cessation processes, including a timetable; </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Deliverables will transfer to the Replacement Supplier and/or the Buyer;</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contracts which will be available for transfer to the Buyer and/or the Replacement Supplier upon the Expiry Date together with any reasonable costs required to effect such transfer;</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training of key members of the Replacement Supplier’s staff in connection with the continuation of the provision of the Deliverables following the Expiry Date;</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providing the Buyer or a Replacement Supplier copies of all documentation relating to the use and operation of the Deliverables and required for their continued use; </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assignment or novation of all services utilised by the Supplier in connection with the supply of the Deliverables;</w:t>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identification and return of all Buyer Property in the possession of and/or control of the Supplier or any third party;</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disposal of any redundant Deliverables and materials;</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Supplier will ensure that there is no disruption to or degradation of the Deliverables during the Termination Assistance Period; and</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information or assistance reasonably required by the Buyer or a Replacement Supplier.</w:t>
      </w:r>
    </w:p>
    <w:p w:rsidR="00000000" w:rsidDel="00000000" w:rsidP="00000000" w:rsidRDefault="00000000" w:rsidRPr="00000000" w14:paraId="0000004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4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and update the Exit Plan (and risk management plan) no less frequently than: </w:t>
      </w:r>
    </w:p>
    <w:p w:rsidR="00000000" w:rsidDel="00000000" w:rsidP="00000000" w:rsidRDefault="00000000" w:rsidRPr="00000000" w14:paraId="0000004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every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[six (6) months]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throughout the Contract Period; and</w:t>
      </w:r>
    </w:p>
    <w:p w:rsidR="00000000" w:rsidDel="00000000" w:rsidP="00000000" w:rsidRDefault="00000000" w:rsidRPr="00000000" w14:paraId="0000004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later than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twenty (20) Working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 request from the Buyer for an up-to-date copy of the Exit Plan; </w:t>
      </w:r>
    </w:p>
    <w:p w:rsidR="00000000" w:rsidDel="00000000" w:rsidP="00000000" w:rsidRDefault="00000000" w:rsidRPr="00000000" w14:paraId="0000004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possible following a Termination Assistance Notice, and in any event no later than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ten (10) Working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the date of the Termination Assistance Notice;</w:t>
      </w:r>
    </w:p>
    <w:p w:rsidR="00000000" w:rsidDel="00000000" w:rsidP="00000000" w:rsidRDefault="00000000" w:rsidRPr="00000000" w14:paraId="0000004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possible following, and in any event no later than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twenty (20) Working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following, any material change to the Deliverables (including all changes under the Variation Procedure); and  </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jointly review and verify the Exit Plan if required by the Buyer and promptly correct any identified failures.</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if (by notification to the Supplier in writing) the Buyer agrees with a draft Exit Plan provided by the Supplier under Paragraph 4.2 or 4.4 (as the context requires), shall that draft become the Exit Plan for this Contract.  </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version of an Exit Plan agreed between the parties shall not be superseded by any draft submitted by the Supplier.</w:t>
      </w:r>
    </w:p>
    <w:p w:rsidR="00000000" w:rsidDel="00000000" w:rsidP="00000000" w:rsidRDefault="00000000" w:rsidRPr="00000000" w14:paraId="0000004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Termination Assistance </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be entitled to require the provision of Termination Assistance at any time during the Contract Period by giving written notice to the Supplier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 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least four (4) Months prior to the Expiry Date or as soon as reasonably practicable (but in any event, not later than one (1) Month) following the service by either Party of a Termination Notice. The Termination Assistance Notice shall specify:</w:t>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of the Termination Assistance required; and</w:t>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start date and initial period during which it is anticipated that Termination Assistance will be required, which shall continue no longer than twelve (12) Months after the End Date.</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have an option to extend the Termination Assistance Period beyond the initial period specified in the Termination Assistance Notice in one or more extensions, in each case provided that:</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such extension shall extend the Termination Assistance Period beyond the date twelve (12) Months after the End Date; and </w:t>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notify the Supplier of any such extension no later than twenty (20) Working Days prior to the date on which the Termination Assistance Period is otherwise due to expire. </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have the right to terminate its requirement for Termination Assistance by serving not less than (20) Working Days' written notice upon the Supplier.</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000000" w:rsidDel="00000000" w:rsidP="00000000" w:rsidRDefault="00000000" w:rsidRPr="00000000" w14:paraId="00000054">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Termination Assistance Period </w:t>
      </w:r>
      <w:r w:rsidDel="00000000" w:rsidR="00000000" w:rsidRPr="00000000">
        <w:rPr>
          <w:rtl w:val="0"/>
        </w:rPr>
      </w:r>
    </w:p>
    <w:p w:rsidR="00000000" w:rsidDel="00000000" w:rsidP="00000000" w:rsidRDefault="00000000" w:rsidRPr="00000000" w14:paraId="00000055">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Throughout the Termination Assistance Period the Supplier shall:</w:t>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continue to provide the Deliverables (as applicable) and otherwise perform its obligations under this Contract and, if required by the Buyer, provide the Termination Assistance;</w:t>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000000" w:rsidDel="00000000" w:rsidP="00000000" w:rsidRDefault="00000000" w:rsidRPr="00000000" w14:paraId="000000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all reasonable endeavours to reallocate resources to provide such assistance without additional costs to the Buyer;</w:t>
      </w:r>
    </w:p>
    <w:p w:rsidR="00000000" w:rsidDel="00000000" w:rsidP="00000000" w:rsidRDefault="00000000" w:rsidRPr="00000000" w14:paraId="000000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z337ya" w:id="18"/>
      <w:bookmarkEnd w: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00000000" w:rsidDel="00000000" w:rsidP="00000000" w:rsidRDefault="00000000" w:rsidRPr="00000000" w14:paraId="000000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Buyer's request and on reasonable notice, deliver up-to-date Registers to the Buyer;</w:t>
      </w:r>
    </w:p>
    <w:p w:rsidR="00000000" w:rsidDel="00000000" w:rsidP="00000000" w:rsidRDefault="00000000" w:rsidRPr="00000000" w14:paraId="000000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seek the Buyer's prior written consent to access any Buyer Premises from which the de-installation or removal of Supplier Assets is required.</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y810tw" w:id="20"/>
      <w:bookmarkEnd w: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000000" w:rsidDel="00000000" w:rsidP="00000000" w:rsidRDefault="00000000" w:rsidRPr="00000000" w14:paraId="0000005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Obligations when the contract is terminated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all of its obligations contained in the Exit Plan.</w:t>
      </w:r>
    </w:p>
    <w:p w:rsidR="00000000" w:rsidDel="00000000" w:rsidP="00000000" w:rsidRDefault="00000000" w:rsidRPr="00000000" w14:paraId="0000006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termination or expiry or at the end of the Termination Assistance Period (or earlier if this does not adversely affect the Supplier's performance of the Deliverables and the Termination Assistance), the Supplier shall:</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vacate any Buyer Premises;</w:t>
      </w:r>
    </w:p>
    <w:p w:rsidR="00000000" w:rsidDel="00000000" w:rsidP="00000000" w:rsidRDefault="00000000" w:rsidRPr="00000000" w14:paraId="000000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000000" w:rsidDel="00000000" w:rsidP="00000000" w:rsidRDefault="00000000" w:rsidRPr="00000000" w14:paraId="0000006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access during normal working hours to the Buyer and/or the Replacement Supplier for up to twelve (12) Months after expiry or termination to:</w:t>
      </w:r>
    </w:p>
    <w:p w:rsidR="00000000" w:rsidDel="00000000" w:rsidP="00000000" w:rsidRDefault="00000000" w:rsidRPr="00000000" w14:paraId="0000006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information relating to the Deliverables as remains in the possession or control of the Supplier; and</w:t>
      </w:r>
    </w:p>
    <w:p w:rsidR="00000000" w:rsidDel="00000000" w:rsidP="00000000" w:rsidRDefault="00000000" w:rsidRPr="00000000" w14:paraId="0000006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where this Contract provides otherwise, all licences, leases and authorisations granted by the Buyer to the Supplier in relation to the Deliverables shall be terminated with effect from the end of the Termination Assistance Period.</w:t>
      </w:r>
    </w:p>
    <w:p w:rsidR="00000000" w:rsidDel="00000000" w:rsidP="00000000" w:rsidRDefault="00000000" w:rsidRPr="00000000" w14:paraId="0000006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Assets, Sub-contracts and Software</w:t>
      </w:r>
    </w:p>
    <w:p w:rsidR="00000000" w:rsidDel="00000000" w:rsidP="00000000" w:rsidRDefault="00000000" w:rsidRPr="00000000" w14:paraId="0000006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qsh70q"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notice of termination of this Contract and during the Termination Assistance Period, the Supplier shall not, without the Buyer's prior written consent:</w:t>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terminate, enter into or vary any Sub-contract or licence for any software in connection with the Deliverables; or</w:t>
      </w:r>
    </w:p>
    <w:p w:rsidR="00000000" w:rsidDel="00000000" w:rsidP="00000000" w:rsidRDefault="00000000" w:rsidRPr="00000000" w14:paraId="0000006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normal maintenance requirements) make material modifications to, or dispose of, any existing Supplier Assets or acquire any new Supplier Assets.</w:t>
      </w:r>
    </w:p>
    <w:p w:rsidR="00000000" w:rsidDel="00000000" w:rsidP="00000000" w:rsidRDefault="00000000" w:rsidRPr="00000000" w14:paraId="0000006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as4poj" w:id="27"/>
      <w:bookmarkEnd w: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 Working Days of receipt of the up-to-date Registers provided by the Supplier, the Buyer shall notify the Supplier setting out:</w:t>
      </w:r>
    </w:p>
    <w:p w:rsidR="00000000" w:rsidDel="00000000" w:rsidP="00000000" w:rsidRDefault="00000000" w:rsidRPr="00000000" w14:paraId="0000006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pxezwc" w:id="28"/>
      <w:bookmarkEnd w:id="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if any, of the Transferable Assets the Buyer requires to be transferred to the Buyer and/or the Replacement Supplier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Assets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bookmarkStart w:colFirst="0" w:colLast="0" w:name="bookmark=id.49x2ik5" w:id="29"/>
    <w:bookmarkEnd w:id="29"/>
    <w:p w:rsidR="00000000" w:rsidDel="00000000" w:rsidP="00000000" w:rsidRDefault="00000000" w:rsidRPr="00000000" w14:paraId="0000006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p2csry" w:id="30"/>
      <w:bookmarkEnd w:id="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if any, of:</w:t>
      </w:r>
    </w:p>
    <w:p w:rsidR="00000000" w:rsidDel="00000000" w:rsidP="00000000" w:rsidRDefault="00000000" w:rsidRPr="00000000" w14:paraId="0000006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Exclusive Assets that are not Transferable Assets; and </w:t>
      </w:r>
    </w:p>
    <w:p w:rsidR="00000000" w:rsidDel="00000000" w:rsidP="00000000" w:rsidRDefault="00000000" w:rsidRPr="00000000" w14:paraId="0000006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Non-Exclusive Assets,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1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and/or the Replacement Supplier requires the continued use of; and</w:t>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31"/>
      <w:bookmarkEnd w:id="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if any, of Transferable Contracts the Buyer requires to be assigned or novated to the Buyer and/or the Replacement Supplier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Contracts"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127"/>
        </w:tabs>
        <w:spacing w:after="120" w:before="120" w:line="240" w:lineRule="auto"/>
        <w:ind w:left="936" w:right="0" w:hanging="349.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o7alnk" w:id="32"/>
      <w:bookmarkEnd w:id="3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in the Transferring Assets shall pass to the Buyer or the Replacement Supplier (as appropriate) at the end of the Termination Assistance Period and title shall pass on payment for them.</w:t>
      </w:r>
    </w:p>
    <w:p w:rsidR="00000000" w:rsidDel="00000000" w:rsidP="00000000" w:rsidRDefault="00000000" w:rsidRPr="00000000" w14:paraId="0000007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3ckvvd"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and/or the Replacement Supplier requires continued use of any Exclusive Assets that are not Transferable Assets or any Non-Exclusive Assets, the Supplier shall as soon as reasonably practicable:</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a non-exclusive, perpetual, royalty-free licence for the Buyer and/or the Replacement Supplier to use such assets (with a right of sub-licence or assignment on the same terms); or failing which</w:t>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a suitable alternative to such assets, the Buyer or the Replacement Supplier to bear the reasonable proven costs of procuring the same.</w:t>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ihv636" w:id="34"/>
      <w:bookmarkEnd w:id="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00000000" w:rsidDel="00000000" w:rsidP="00000000" w:rsidRDefault="00000000" w:rsidRPr="00000000" w14:paraId="0000007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2hioqz" w:id="35"/>
      <w:bookmarkEnd w: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w:t>
      </w:r>
    </w:p>
    <w:p w:rsidR="00000000" w:rsidDel="00000000" w:rsidP="00000000" w:rsidRDefault="00000000" w:rsidRPr="00000000" w14:paraId="000000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assignments from the Supplier or join with the Supplier in procuring a novation of each Transferring Contract; and</w:t>
      </w:r>
    </w:p>
    <w:p w:rsidR="00000000" w:rsidDel="00000000" w:rsidP="00000000" w:rsidRDefault="00000000" w:rsidRPr="00000000" w14:paraId="000000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hold any Transferring Contracts on trust for the Buyer until the transfer of the relevant Transferring Contract to the Buyer and/or the Replacement Supplier has taken place.</w:t>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hmsyys" w:id="36"/>
      <w:bookmarkEnd w:id="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000000" w:rsidDel="00000000" w:rsidP="00000000" w:rsidRDefault="00000000" w:rsidRPr="00000000" w14:paraId="0000007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41mghml" w:id="37"/>
      <w:bookmarkEnd w:id="37"/>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N</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 charges</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otherwise stated, the Buyer shall not be obliged to pay for costs incurred by the Supplier in relation to its compliance with this Schedule.</w:t>
      </w:r>
    </w:p>
    <w:p w:rsidR="00000000" w:rsidDel="00000000" w:rsidP="00000000" w:rsidRDefault="00000000" w:rsidRPr="00000000" w14:paraId="0000008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ividing the bills </w:t>
      </w:r>
      <w:r w:rsidDel="00000000" w:rsidR="00000000" w:rsidRPr="00000000">
        <w:rPr>
          <w:rtl w:val="0"/>
        </w:rPr>
      </w:r>
    </w:p>
    <w:p w:rsidR="00000000" w:rsidDel="00000000" w:rsidP="00000000" w:rsidRDefault="00000000" w:rsidRPr="00000000" w14:paraId="0000008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grqrue" w:id="38"/>
      <w:bookmarkEnd w:id="3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outgoings, expenses, rents, royalties and other periodical payments receivable in respect of the Transferring Assets and Transferring Contracts shall be apportioned between the Buyer and/or the Replacement and the Supplier as follows:</w:t>
      </w:r>
    </w:p>
    <w:p w:rsidR="00000000" w:rsidDel="00000000" w:rsidP="00000000" w:rsidRDefault="00000000" w:rsidRPr="00000000" w14:paraId="0000008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amounts shall be annualised and divided by 365 to reach a daily rate;</w:t>
      </w:r>
    </w:p>
    <w:p w:rsidR="00000000" w:rsidDel="00000000" w:rsidP="00000000" w:rsidRDefault="00000000" w:rsidRPr="00000000" w14:paraId="000000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or Replacement Supplier (as applicable) shall be responsible for or entitled to (as the case may be) that part of the value of the invoice pro rata to the number of complete days following the transfer, multiplied by the daily rate; and</w:t>
      </w:r>
    </w:p>
    <w:p w:rsidR="00000000" w:rsidDel="00000000" w:rsidP="00000000" w:rsidRDefault="00000000" w:rsidRPr="00000000" w14:paraId="0000008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responsible for or entitled to (as the case may be) the rest of the invoice.</w:t>
      </w:r>
    </w:p>
    <w:p w:rsidR="00000000" w:rsidDel="00000000" w:rsidP="00000000" w:rsidRDefault="00000000" w:rsidRPr="00000000" w14:paraId="0000008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pageBreakBefore w:val="0"/>
        <w:rPr>
          <w:rFonts w:ascii="Arial" w:cs="Arial" w:eastAsia="Arial" w:hAnsi="Arial"/>
          <w:sz w:val="24"/>
          <w:szCs w:val="24"/>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r w:rsidDel="00000000" w:rsidR="00000000" w:rsidRPr="00000000">
      <w:rPr>
        <w:rFonts w:ascii="Arial" w:cs="Arial" w:eastAsia="Arial" w:hAnsi="Arial"/>
        <w:sz w:val="20"/>
        <w:szCs w:val="20"/>
        <w:rtl w:val="0"/>
      </w:rPr>
      <w:t xml:space="preserve">6297 Print and Digital Communications</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w:t>
    </w:r>
    <w:bookmarkStart w:colFirst="0" w:colLast="0" w:name="bookmark=id.vx1227" w:id="39"/>
    <w:bookmarkEnd w:id="3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20"/>
        <w:szCs w:val="20"/>
        <w:rtl w:val="0"/>
      </w:rPr>
      <w:t xml:space="preserve">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Framework Ref: RM</w:t>
      <w:tab/>
      <w:t xml:space="preserve">                                           </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Model Version :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10 (Exit Management)</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355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9.9999999999999"/>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adjustRightInd w:val="0"/>
      <w:spacing w:after="120" w:before="120" w:line="240" w:lineRule="auto"/>
      <w:ind w:left="936" w:hanging="576"/>
      <w:jc w:val="both"/>
    </w:pPr>
    <w:rPr>
      <w:rFonts w:ascii="Calibri" w:cs="Arial" w:eastAsia="Times New Roman" w:hAnsi="Calibri"/>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link w:val="GPSL5numberedclauseChar"/>
    <w:qFormat w:val="1"/>
    <w:pPr>
      <w:numPr>
        <w:ilvl w:val="4"/>
      </w:numPr>
      <w:tabs>
        <w:tab w:val="left" w:pos="3402"/>
      </w:tabs>
      <w:ind w:left="3402" w:hanging="567"/>
    </w:pPr>
  </w:style>
  <w:style w:type="character" w:styleId="GPSL5numberedclauseChar" w:customStyle="1">
    <w:name w:val="GPS L5 numbered clause Char"/>
    <w:link w:val="GPSL5numberedclause"/>
    <w:rPr>
      <w:rFonts w:ascii="Calibri" w:cs="Arial" w:eastAsia="Times New Roman" w:hAnsi="Calibri"/>
      <w:szCs w:val="20"/>
      <w:lang w:eastAsia="zh-CN"/>
    </w:rPr>
  </w:style>
  <w:style w:type="paragraph" w:styleId="GPSL3Indent" w:customStyle="1">
    <w:name w:val="GPS L3 Indent"/>
    <w:basedOn w:val="Normal"/>
    <w:pPr>
      <w:tabs>
        <w:tab w:val="left" w:pos="2127"/>
      </w:tabs>
      <w:adjustRightInd w:val="0"/>
      <w:spacing w:after="120" w:before="120" w:line="240" w:lineRule="auto"/>
      <w:ind w:left="2127"/>
      <w:jc w:val="both"/>
    </w:pPr>
    <w:rPr>
      <w:rFonts w:ascii="Arial" w:cs="Arial" w:eastAsia="Times New Roman" w:hAnsi="Arial"/>
      <w:lang w:eastAsia="zh-CN" w:val="en-US"/>
    </w:rPr>
  </w:style>
  <w:style w:type="paragraph" w:styleId="GPSL2Indent" w:customStyle="1">
    <w:name w:val="GPS L2 Indent"/>
    <w:basedOn w:val="GPSL2numberedclause"/>
    <w:link w:val="GPSL2IndentChar"/>
    <w:qFormat w:val="1"/>
    <w:pPr>
      <w:numPr>
        <w:ilvl w:val="0"/>
        <w:numId w:val="0"/>
      </w:numPr>
      <w:tabs>
        <w:tab w:val="left" w:pos="709"/>
        <w:tab w:val="left" w:pos="2127"/>
      </w:tabs>
      <w:ind w:left="709"/>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character" w:styleId="GPSL2IndentChar" w:customStyle="1">
    <w:name w:val="GPS L2 Indent Char"/>
    <w:link w:val="GPSL2Indent"/>
    <w:rPr>
      <w:rFonts w:ascii="Calibri" w:cs="Arial" w:eastAsia="Times New Roman" w:hAnsi="Calibri"/>
      <w:lang w:eastAsia="zh-CN"/>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ind w:left="360"/>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cheduleL1" w:customStyle="1">
    <w:name w:val="Schedule L1"/>
    <w:basedOn w:val="Normal"/>
    <w:pPr>
      <w:numPr>
        <w:numId w:val="3"/>
      </w:numPr>
      <w:adjustRightInd w:val="0"/>
      <w:spacing w:after="240" w:line="240" w:lineRule="auto"/>
      <w:jc w:val="both"/>
      <w:outlineLvl w:val="0"/>
    </w:pPr>
    <w:rPr>
      <w:rFonts w:ascii="Times New Roman" w:cs="Times New Roman" w:eastAsia="STZhongsong" w:hAnsi="Times New Roman"/>
      <w:szCs w:val="20"/>
      <w:lang w:eastAsia="zh-CN"/>
    </w:rPr>
  </w:style>
  <w:style w:type="paragraph" w:styleId="ScheduleL2" w:customStyle="1">
    <w:name w:val="Schedule L2"/>
    <w:basedOn w:val="Normal"/>
    <w:link w:val="ScheduleL2Char"/>
    <w:pPr>
      <w:numPr>
        <w:ilvl w:val="1"/>
        <w:numId w:val="3"/>
      </w:numPr>
      <w:adjustRightInd w:val="0"/>
      <w:spacing w:after="240" w:line="240" w:lineRule="auto"/>
      <w:jc w:val="both"/>
      <w:outlineLvl w:val="1"/>
    </w:pPr>
    <w:rPr>
      <w:rFonts w:ascii="Times New Roman" w:cs="Times New Roman" w:eastAsia="STZhongsong" w:hAnsi="Times New Roman"/>
      <w:szCs w:val="20"/>
      <w:lang w:eastAsia="zh-CN"/>
    </w:rPr>
  </w:style>
  <w:style w:type="paragraph" w:styleId="ScheduleL3" w:customStyle="1">
    <w:name w:val="Schedule L3"/>
    <w:basedOn w:val="Normal"/>
    <w:link w:val="ScheduleL3Char"/>
    <w:pPr>
      <w:numPr>
        <w:ilvl w:val="2"/>
        <w:numId w:val="3"/>
      </w:numPr>
      <w:adjustRightInd w:val="0"/>
      <w:spacing w:after="240" w:line="240" w:lineRule="auto"/>
      <w:jc w:val="both"/>
      <w:outlineLvl w:val="2"/>
    </w:pPr>
    <w:rPr>
      <w:rFonts w:ascii="Times New Roman" w:cs="Times New Roman" w:eastAsia="STZhongsong" w:hAnsi="Times New Roman"/>
      <w:szCs w:val="20"/>
      <w:lang w:eastAsia="zh-CN"/>
    </w:rPr>
  </w:style>
  <w:style w:type="paragraph" w:styleId="ScheduleL4" w:customStyle="1">
    <w:name w:val="Schedule L4"/>
    <w:basedOn w:val="Normal"/>
    <w:pPr>
      <w:numPr>
        <w:ilvl w:val="3"/>
        <w:numId w:val="3"/>
      </w:numPr>
      <w:adjustRightInd w:val="0"/>
      <w:spacing w:after="240" w:line="240" w:lineRule="auto"/>
      <w:jc w:val="both"/>
      <w:outlineLvl w:val="3"/>
    </w:pPr>
    <w:rPr>
      <w:rFonts w:ascii="Times New Roman" w:cs="Times New Roman" w:eastAsia="STZhongsong" w:hAnsi="Times New Roman"/>
      <w:szCs w:val="20"/>
      <w:lang w:eastAsia="zh-CN"/>
    </w:rPr>
  </w:style>
  <w:style w:type="paragraph" w:styleId="ScheduleL5" w:customStyle="1">
    <w:name w:val="Schedule L5"/>
    <w:basedOn w:val="Normal"/>
    <w:pPr>
      <w:numPr>
        <w:ilvl w:val="4"/>
        <w:numId w:val="3"/>
      </w:numPr>
      <w:adjustRightInd w:val="0"/>
      <w:spacing w:after="240" w:line="240" w:lineRule="auto"/>
      <w:jc w:val="both"/>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3"/>
      </w:numPr>
      <w:adjustRightInd w:val="0"/>
      <w:spacing w:after="240" w:line="240" w:lineRule="auto"/>
      <w:jc w:val="both"/>
      <w:outlineLvl w:val="5"/>
    </w:pPr>
    <w:rPr>
      <w:rFonts w:ascii="Times New Roman" w:cs="Times New Roman" w:eastAsia="STZhongsong" w:hAnsi="Times New Roman"/>
      <w:szCs w:val="20"/>
      <w:lang w:eastAsia="zh-CN"/>
    </w:rPr>
  </w:style>
  <w:style w:type="paragraph" w:styleId="ScheduleL7" w:customStyle="1">
    <w:name w:val="Schedule L7"/>
    <w:basedOn w:val="Normal"/>
    <w:pPr>
      <w:numPr>
        <w:ilvl w:val="6"/>
        <w:numId w:val="3"/>
      </w:numPr>
      <w:adjustRightInd w:val="0"/>
      <w:spacing w:after="240" w:line="240" w:lineRule="auto"/>
      <w:jc w:val="both"/>
      <w:outlineLvl w:val="6"/>
    </w:pPr>
    <w:rPr>
      <w:rFonts w:ascii="Times New Roman" w:cs="Times New Roman" w:eastAsia="STZhongsong" w:hAnsi="Times New Roman"/>
      <w:szCs w:val="20"/>
      <w:lang w:eastAsia="zh-CN"/>
    </w:rPr>
  </w:style>
  <w:style w:type="paragraph" w:styleId="ScheduleL8" w:customStyle="1">
    <w:name w:val="Schedule L8"/>
    <w:basedOn w:val="Normal"/>
    <w:pPr>
      <w:numPr>
        <w:ilvl w:val="7"/>
        <w:numId w:val="3"/>
      </w:numPr>
      <w:adjustRightInd w:val="0"/>
      <w:spacing w:after="240" w:line="240" w:lineRule="auto"/>
      <w:jc w:val="both"/>
      <w:outlineLvl w:val="7"/>
    </w:pPr>
    <w:rPr>
      <w:rFonts w:ascii="Times New Roman" w:cs="Times New Roman" w:eastAsia="STZhongsong" w:hAnsi="Times New Roman"/>
      <w:szCs w:val="20"/>
      <w:lang w:eastAsia="zh-CN"/>
    </w:rPr>
  </w:style>
  <w:style w:type="paragraph" w:styleId="ScheduleL9" w:customStyle="1">
    <w:name w:val="Schedule L9"/>
    <w:basedOn w:val="Normal"/>
    <w:pPr>
      <w:numPr>
        <w:ilvl w:val="8"/>
        <w:numId w:val="3"/>
      </w:numPr>
      <w:adjustRightInd w:val="0"/>
      <w:spacing w:after="240" w:line="240" w:lineRule="auto"/>
      <w:jc w:val="both"/>
      <w:outlineLvl w:val="8"/>
    </w:pPr>
    <w:rPr>
      <w:rFonts w:ascii="Times New Roman" w:cs="Times New Roman" w:eastAsia="STZhongsong" w:hAnsi="Times New Roman"/>
      <w:szCs w:val="20"/>
      <w:lang w:eastAsia="zh-CN"/>
    </w:rPr>
  </w:style>
  <w:style w:type="character" w:styleId="ScheduleL2Char" w:customStyle="1">
    <w:name w:val="Schedule L2 Char"/>
    <w:link w:val="ScheduleL2"/>
    <w:locked w:val="1"/>
    <w:rPr>
      <w:rFonts w:ascii="Times New Roman" w:cs="Times New Roman" w:eastAsia="STZhongsong" w:hAnsi="Times New Roman"/>
      <w:szCs w:val="20"/>
      <w:lang w:eastAsia="zh-CN"/>
    </w:rPr>
  </w:style>
  <w:style w:type="character" w:styleId="ScheduleL3Char" w:customStyle="1">
    <w:name w:val="Schedule L3 Char"/>
    <w:link w:val="ScheduleL3"/>
    <w:locked w:val="1"/>
    <w:rPr>
      <w:rFonts w:ascii="Times New Roman" w:cs="Times New Roman" w:eastAsia="STZhongsong" w:hAnsi="Times New Roman"/>
      <w:szCs w:val="20"/>
      <w:lang w:eastAsia="zh-CN"/>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sz w:val="20"/>
      <w:szCs w:val="20"/>
    </w:rPr>
  </w:style>
  <w:style w:type="character" w:styleId="FootnoteReference">
    <w:name w:val="footnote reference"/>
    <w:basedOn w:val="DefaultParagraphFont"/>
    <w:uiPriority w:val="99"/>
    <w:semiHidden w:val="1"/>
    <w:unhideWhenUsed w:val="1"/>
    <w:rPr>
      <w:vertAlign w:val="superscript"/>
    </w:rPr>
  </w:style>
  <w:style w:type="paragraph" w:styleId="Schedule1" w:customStyle="1">
    <w:name w:val="Schedule 1"/>
    <w:basedOn w:val="Normal"/>
    <w:next w:val="BodyText"/>
    <w:pPr>
      <w:keepNext w:val="1"/>
      <w:numPr>
        <w:numId w:val="5"/>
      </w:numPr>
      <w:spacing w:after="240" w:line="240" w:lineRule="auto"/>
      <w:jc w:val="both"/>
    </w:pPr>
    <w:rPr>
      <w:rFonts w:ascii="Times New Roman" w:cs="Times New Roman" w:eastAsia="Times New Roman" w:hAnsi="Times New Roman"/>
      <w:b w:val="1"/>
      <w:caps w:val="1"/>
      <w:szCs w:val="20"/>
    </w:rPr>
  </w:style>
  <w:style w:type="paragraph" w:styleId="Schedule2" w:customStyle="1">
    <w:name w:val="Schedule 2"/>
    <w:basedOn w:val="Normal"/>
    <w:next w:val="BodyText"/>
    <w:pPr>
      <w:keepNext w:val="1"/>
      <w:numPr>
        <w:ilvl w:val="1"/>
        <w:numId w:val="5"/>
      </w:numPr>
      <w:spacing w:after="210" w:line="264" w:lineRule="auto"/>
      <w:jc w:val="both"/>
    </w:pPr>
    <w:rPr>
      <w:rFonts w:ascii="Times New Roman" w:cs="Times New Roman" w:eastAsia="Times New Roman" w:hAnsi="Times New Roman"/>
      <w:sz w:val="23"/>
      <w:szCs w:val="20"/>
    </w:rPr>
  </w:style>
  <w:style w:type="paragraph" w:styleId="Schedule3" w:customStyle="1">
    <w:name w:val="Schedule 3"/>
    <w:basedOn w:val="Normal"/>
    <w:pPr>
      <w:numPr>
        <w:ilvl w:val="2"/>
        <w:numId w:val="5"/>
      </w:numPr>
      <w:spacing w:after="210" w:line="264" w:lineRule="auto"/>
      <w:jc w:val="both"/>
    </w:pPr>
    <w:rPr>
      <w:rFonts w:ascii="Times New Roman" w:cs="Times New Roman" w:eastAsia="Times New Roman" w:hAnsi="Times New Roman"/>
      <w:sz w:val="23"/>
      <w:szCs w:val="20"/>
    </w:rPr>
  </w:style>
  <w:style w:type="paragraph" w:styleId="Schedule4" w:customStyle="1">
    <w:name w:val="Schedule 4"/>
    <w:basedOn w:val="Normal"/>
    <w:pPr>
      <w:numPr>
        <w:ilvl w:val="3"/>
        <w:numId w:val="5"/>
      </w:numPr>
      <w:spacing w:after="210" w:line="264" w:lineRule="auto"/>
      <w:jc w:val="both"/>
    </w:pPr>
    <w:rPr>
      <w:rFonts w:ascii="Times New Roman" w:cs="Times New Roman" w:eastAsia="Times New Roman" w:hAnsi="Times New Roman"/>
      <w:sz w:val="23"/>
      <w:szCs w:val="20"/>
    </w:rPr>
  </w:style>
  <w:style w:type="paragraph" w:styleId="Schedule5" w:customStyle="1">
    <w:name w:val="Schedule 5"/>
    <w:basedOn w:val="Normal"/>
    <w:next w:val="Normal"/>
    <w:pPr>
      <w:numPr>
        <w:ilvl w:val="4"/>
        <w:numId w:val="5"/>
      </w:numPr>
      <w:spacing w:after="210" w:line="264" w:lineRule="auto"/>
      <w:jc w:val="both"/>
    </w:pPr>
    <w:rPr>
      <w:rFonts w:ascii="Times New Roman" w:cs="Times New Roman" w:eastAsia="Times New Roman" w:hAnsi="Times New Roman"/>
      <w:sz w:val="23"/>
      <w:szCs w:val="20"/>
    </w:rPr>
  </w:style>
  <w:style w:type="paragraph" w:styleId="Schedule6" w:customStyle="1">
    <w:name w:val="Schedule 6"/>
    <w:basedOn w:val="Normal"/>
    <w:next w:val="Normal"/>
    <w:pPr>
      <w:keepNext w:val="1"/>
      <w:pageBreakBefore w:val="1"/>
      <w:numPr>
        <w:ilvl w:val="5"/>
        <w:numId w:val="5"/>
      </w:numPr>
      <w:spacing w:after="360" w:line="312" w:lineRule="auto"/>
      <w:jc w:val="center"/>
    </w:pPr>
    <w:rPr>
      <w:rFonts w:ascii="Times New Roman Bold" w:cs="Times New Roman" w:eastAsia="Times New Roman" w:hAnsi="Times New Roman Bold"/>
      <w:b w:val="1"/>
      <w:smallCaps w:val="1"/>
      <w:szCs w:val="20"/>
    </w:rPr>
  </w:style>
  <w:style w:type="paragraph" w:styleId="Schedule7" w:customStyle="1">
    <w:name w:val="Schedule 7"/>
    <w:basedOn w:val="Normal"/>
    <w:next w:val="BodyText"/>
    <w:pPr>
      <w:keepNext w:val="1"/>
      <w:numPr>
        <w:ilvl w:val="6"/>
        <w:numId w:val="5"/>
      </w:numPr>
      <w:spacing w:after="60" w:before="120" w:line="264" w:lineRule="auto"/>
      <w:jc w:val="both"/>
    </w:pPr>
    <w:rPr>
      <w:rFonts w:ascii="Times New Roman Bold" w:cs="Times New Roman" w:eastAsia="Times New Roman" w:hAnsi="Times New Roman Bold"/>
      <w:b w:val="1"/>
      <w:sz w:val="23"/>
      <w:szCs w:val="20"/>
    </w:rPr>
  </w:style>
  <w:style w:type="paragraph" w:styleId="Schedule8" w:customStyle="1">
    <w:name w:val="Schedule 8"/>
    <w:basedOn w:val="Normal"/>
    <w:pPr>
      <w:numPr>
        <w:ilvl w:val="7"/>
        <w:numId w:val="5"/>
      </w:numPr>
      <w:spacing w:after="210" w:line="264" w:lineRule="auto"/>
      <w:jc w:val="both"/>
    </w:pPr>
    <w:rPr>
      <w:rFonts w:ascii="Times New Roman" w:cs="Times New Roman" w:eastAsia="Times New Roman" w:hAnsi="Times New Roman"/>
      <w:sz w:val="23"/>
      <w:szCs w:val="20"/>
    </w:rPr>
  </w:style>
  <w:style w:type="paragraph" w:styleId="Schedule9" w:customStyle="1">
    <w:name w:val="Schedule 9"/>
    <w:basedOn w:val="Normal"/>
    <w:next w:val="Normal"/>
    <w:pPr>
      <w:numPr>
        <w:ilvl w:val="8"/>
        <w:numId w:val="5"/>
      </w:numPr>
      <w:spacing w:after="210" w:line="264" w:lineRule="auto"/>
      <w:jc w:val="both"/>
    </w:pPr>
    <w:rPr>
      <w:rFonts w:ascii="Times New Roman" w:cs="Times New Roman" w:eastAsia="Times New Roman" w:hAnsi="Times New Roman"/>
      <w:sz w:val="23"/>
      <w:szCs w:val="20"/>
    </w:rPr>
  </w:style>
  <w:style w:type="paragraph" w:styleId="StyleSchedule211pt" w:customStyle="1">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val="1"/>
    <w:unhideWhenUsed w:val="1"/>
    <w:pPr>
      <w:spacing w:after="120"/>
    </w:pPr>
  </w:style>
  <w:style w:type="character" w:styleId="BodyTextChar" w:customStyle="1">
    <w:name w:val="Body Text Char"/>
    <w:basedOn w:val="DefaultParagraphFont"/>
    <w:link w:val="BodyText"/>
    <w:uiPriority w:val="99"/>
    <w:semiHidden w:val="1"/>
  </w:style>
  <w:style w:type="paragraph" w:styleId="9plus" w:customStyle="1">
    <w:name w:val="9 plus"/>
    <w:basedOn w:val="Normal"/>
    <w:pPr>
      <w:numPr>
        <w:numId w:val="8"/>
      </w:numPr>
      <w:spacing w:after="210" w:line="264" w:lineRule="auto"/>
      <w:jc w:val="both"/>
    </w:pPr>
    <w:rPr>
      <w:rFonts w:ascii="Times New Roman" w:cs="Times New Roman" w:eastAsia="Times New Roman" w:hAnsi="Times New Roman"/>
      <w:sz w:val="23"/>
      <w:szCs w:val="20"/>
    </w:rPr>
  </w:style>
  <w:style w:type="paragraph" w:styleId="ListParagraph">
    <w:name w:val="List Paragraph"/>
    <w:basedOn w:val="Normal"/>
    <w:uiPriority w:val="34"/>
    <w:qFormat w:val="1"/>
    <w:pPr>
      <w:spacing w:after="0" w:line="240" w:lineRule="auto"/>
      <w:ind w:left="720"/>
    </w:pPr>
    <w:rPr>
      <w:rFonts w:ascii="Calibri" w:cs="Times New Roman" w:hAnsi="Calibri"/>
    </w:rPr>
  </w:style>
  <w:style w:type="paragraph" w:styleId="GPSSchTitleandNumber" w:customStyle="1">
    <w:name w:val="GPS Sch Title and Number"/>
    <w:basedOn w:val="Normal"/>
    <w:link w:val="GPSSchTitleandNumberChar"/>
    <w:qFormat w:val="1"/>
    <w:rsid w:val="00D417E2"/>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sid w:val="00D417E2"/>
    <w:rPr>
      <w:rFonts w:ascii="Arial Bold" w:cs="Times New Roman" w:eastAsia="STZhongsong" w:hAnsi="Arial Bold"/>
      <w:b w:val="1"/>
      <w:caps w:val="1"/>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u4Q84mnrtuIMRJANwupKXYR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KaWQuNDl4MmlrNTIJaC4ycDJjc3J5MgloLjE0N24yenIyCWguM283YWxuazIJaC4yM2NrdnZkMghoLmlodjYzNjIJaC4zMmhpb3F6MgloLjFobXN5eXMyCWguNDFtZ2htbDIJaC4yZ3JxcnVlMglpZC52eDEyMjc4AHIhMUxTY3RxTk1RSzdfbkM0NExDTUxwYUxkRm5yclI2WS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2020-02-27T11:56:00Z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