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14 (Service Levels)</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63.0" w:type="dxa"/>
        <w:jc w:val="left"/>
        <w:tblInd w:w="959.0" w:type="dxa"/>
        <w:tblLayout w:type="fixed"/>
        <w:tblLook w:val="0400"/>
      </w:tblPr>
      <w:tblGrid>
        <w:gridCol w:w="2410"/>
        <w:gridCol w:w="5953"/>
        <w:tblGridChange w:id="0">
          <w:tblGrid>
            <w:gridCol w:w="2410"/>
            <w:gridCol w:w="5953"/>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specified in the Annex to Part A of this Schedule being payable by the Supplier to the Buyer in respect of any failure by the Supplier to meet one or more Service Levels;</w:t>
            </w:r>
          </w:p>
        </w:tc>
      </w:tr>
      <w:tr>
        <w:trPr>
          <w:cantSplit w:val="0"/>
          <w:trHeight w:val="359"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 Cap"</w:t>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Failure"</w:t>
            </w:r>
          </w:p>
        </w:tc>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Performance Measure"</w:t>
            </w:r>
          </w:p>
        </w:tc>
        <w:tc>
          <w:tcPr>
            <w:shd w:fill="auto"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 and</w:t>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Threshold"</w:t>
            </w:r>
          </w:p>
        </w:tc>
        <w:tc>
          <w:tcPr>
            <w:shd w:fill="auto"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hall be as set out against the relevant Service Level in the Annex to Part A of this Schedule.</w:t>
            </w:r>
          </w:p>
        </w:tc>
      </w:tr>
    </w:tbl>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you don’t meet the Service Levels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 the previous (twelve) 12 Month period exceeded the Service Credit Cap; and/or</w:t>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 Failure:</w:t>
      </w:r>
    </w:p>
    <w:p w:rsidR="00000000" w:rsidDel="00000000" w:rsidP="00000000" w:rsidRDefault="00000000" w:rsidRPr="00000000" w14:paraId="0000001D">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exceeds the relevant Service Level Threshold;</w:t>
      </w:r>
    </w:p>
    <w:p w:rsidR="00000000" w:rsidDel="00000000" w:rsidP="00000000" w:rsidRDefault="00000000" w:rsidRPr="00000000" w14:paraId="0000001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arisen due to a Prohibited Act or wilful Default by the Supplier; </w:t>
      </w:r>
    </w:p>
    <w:p w:rsidR="00000000" w:rsidDel="00000000" w:rsidP="00000000" w:rsidRDefault="00000000" w:rsidRPr="00000000" w14:paraId="0000001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corruption or loss of any Government Data; and/or</w:t>
      </w:r>
    </w:p>
    <w:p w:rsidR="00000000" w:rsidDel="00000000" w:rsidP="00000000" w:rsidRDefault="00000000" w:rsidRPr="00000000" w14:paraId="0000002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Buyer being required to make a compensation payment to one or more third parties; and/or</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(CCS and Buyer Termination Rights).</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00000" w:rsidDel="00000000" w:rsidP="00000000" w:rsidRDefault="00000000" w:rsidRPr="00000000" w14:paraId="0000002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number of Service Levels for which the weighting is to be changed does not exceed the number applicable as at the Start Date; </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change to the Service Credit Cap.</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occurrence of a Critical Service Level Failure:</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that would otherwise have accrued during the relevant Service Period shall not accrue; and</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Critical Service Level Failure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426"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A: Service Levels and Service Credits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Service Levels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level of performance of the Supplier:</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or fails to meet any Service Level Performance Measure; or</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or causes a Critical Service Failure to occur,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the Supplier to comply with the Rectification Plan Process; </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Service Level Failure has occurred, deduct the applicable Service Level Credits payable by the Supplier to the Buyer; and/or</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Critical Service Level Failure has occurred, exercise its right to Compensation for Critical Service Level Failure (including the right to terminate for material Default).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Service Credits</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are a reduction of the amounts payable in respect of the Deliverables and do not include VAT. The Supplier shall set-off the value of any Service Credits against the appropriate invoice in accordance </w:t>
      </w:r>
      <w:r w:rsidDel="00000000" w:rsidR="00000000" w:rsidRPr="00000000">
        <w:rPr>
          <w:rFonts w:ascii="Arial" w:cs="Arial" w:eastAsia="Arial" w:hAnsi="Arial"/>
          <w:sz w:val="24"/>
          <w:szCs w:val="24"/>
          <w:rtl w:val="0"/>
        </w:rPr>
        <w:t xml:space="preserve">with the calculation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formula in the Annex A to Part A of this Schedule. </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Annex A to Part A: Service Levels and Service Credits Table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00" w:lineRule="auto"/>
        <w:rPr>
          <w:b w:val="1"/>
          <w:i w:val="1"/>
          <w:color w:val="000000"/>
        </w:rPr>
      </w:pPr>
      <w:r w:rsidDel="00000000" w:rsidR="00000000" w:rsidRPr="00000000">
        <w:rPr>
          <w:b w:val="1"/>
          <w:i w:val="1"/>
          <w:highlight w:val="yellow"/>
          <w:rtl w:val="0"/>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7">
        <w:r w:rsidDel="00000000" w:rsidR="00000000" w:rsidRPr="00000000">
          <w:rPr>
            <w:b w:val="1"/>
            <w:i w:val="1"/>
            <w:color w:val="0000ff"/>
            <w:highlight w:val="yellow"/>
            <w:u w:val="single"/>
            <w:rtl w:val="0"/>
          </w:rPr>
          <w:t xml:space="preserve">Sourcing Playbook</w:t>
        </w:r>
      </w:hyperlink>
      <w:r w:rsidDel="00000000" w:rsidR="00000000" w:rsidRPr="00000000">
        <w:rPr>
          <w:b w:val="1"/>
          <w:i w:val="1"/>
          <w:highlight w:val="yellow"/>
          <w:rtl w:val="0"/>
        </w:rPr>
        <w:t xml:space="preserve">,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r w:rsidDel="00000000" w:rsidR="00000000" w:rsidRPr="00000000">
        <w:rPr>
          <w:rtl w:val="0"/>
        </w:rPr>
      </w:r>
    </w:p>
    <w:p w:rsidR="00000000" w:rsidDel="00000000" w:rsidP="00000000" w:rsidRDefault="00000000" w:rsidRPr="00000000" w14:paraId="0000003B">
      <w:pPr>
        <w:ind w:left="709" w:firstLine="0"/>
        <w:rPr>
          <w:rFonts w:ascii="Arial" w:cs="Arial" w:eastAsia="Arial" w:hAnsi="Arial"/>
          <w:sz w:val="24"/>
          <w:szCs w:val="24"/>
        </w:rPr>
      </w:pPr>
      <w:r w:rsidDel="00000000" w:rsidR="00000000" w:rsidRPr="00000000">
        <w:rPr>
          <w:rtl w:val="0"/>
        </w:rPr>
      </w:r>
    </w:p>
    <w:tbl>
      <w:tblPr>
        <w:tblStyle w:val="Table2"/>
        <w:tblW w:w="10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571"/>
        <w:gridCol w:w="1701"/>
        <w:gridCol w:w="1418"/>
        <w:gridCol w:w="2102"/>
        <w:gridCol w:w="2102"/>
        <w:tblGridChange w:id="0">
          <w:tblGrid>
            <w:gridCol w:w="1713"/>
            <w:gridCol w:w="1571"/>
            <w:gridCol w:w="1701"/>
            <w:gridCol w:w="1418"/>
            <w:gridCol w:w="2102"/>
            <w:gridCol w:w="2102"/>
          </w:tblGrid>
        </w:tblGridChange>
      </w:tblGrid>
      <w:tr>
        <w:trPr>
          <w:cantSplit w:val="0"/>
          <w:trHeight w:val="1213" w:hRule="atLeast"/>
          <w:tblHeader w:val="1"/>
        </w:trPr>
        <w:tc>
          <w:tcPr>
            <w:gridSpan w:val="4"/>
            <w:shd w:fill="d9d9d9" w:val="clear"/>
          </w:tcPr>
          <w:p w:rsidR="00000000" w:rsidDel="00000000" w:rsidP="00000000" w:rsidRDefault="00000000" w:rsidRPr="00000000" w14:paraId="0000003C">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Levels</w:t>
            </w:r>
          </w:p>
        </w:tc>
        <w:tc>
          <w:tcPr>
            <w:vMerge w:val="restart"/>
            <w:shd w:fill="d9d9d9" w:val="clear"/>
            <w:vAlign w:val="center"/>
          </w:tcPr>
          <w:p w:rsidR="00000000" w:rsidDel="00000000" w:rsidP="00000000" w:rsidRDefault="00000000" w:rsidRPr="00000000" w14:paraId="00000040">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 for each Service Period</w:t>
            </w:r>
          </w:p>
          <w:p w:rsidR="00000000" w:rsidDel="00000000" w:rsidP="00000000" w:rsidRDefault="00000000" w:rsidRPr="00000000" w14:paraId="00000041">
            <w:pPr>
              <w:ind w:left="95" w:firstLine="0"/>
              <w:rPr>
                <w:rFonts w:ascii="Arial" w:cs="Arial" w:eastAsia="Arial" w:hAnsi="Arial"/>
                <w:sz w:val="24"/>
                <w:szCs w:val="24"/>
              </w:rPr>
            </w:pPr>
            <w:r w:rsidDel="00000000" w:rsidR="00000000" w:rsidRPr="00000000">
              <w:rPr>
                <w:rtl w:val="0"/>
              </w:rPr>
            </w:r>
          </w:p>
        </w:tc>
        <w:tc>
          <w:tcPr>
            <w:shd w:fill="d9d9d9" w:val="clear"/>
          </w:tcPr>
          <w:p w:rsidR="00000000" w:rsidDel="00000000" w:rsidP="00000000" w:rsidRDefault="00000000" w:rsidRPr="00000000" w14:paraId="00000042">
            <w:pPr>
              <w:ind w:left="95" w:firstLine="0"/>
              <w:rPr>
                <w:rFonts w:ascii="Arial" w:cs="Arial" w:eastAsia="Arial" w:hAnsi="Arial"/>
                <w:sz w:val="24"/>
                <w:szCs w:val="24"/>
              </w:rPr>
            </w:pPr>
            <w:r w:rsidDel="00000000" w:rsidR="00000000" w:rsidRPr="00000000">
              <w:rPr>
                <w:rtl w:val="0"/>
              </w:rPr>
            </w:r>
          </w:p>
        </w:tc>
      </w:tr>
      <w:tr>
        <w:trPr>
          <w:cantSplit w:val="0"/>
          <w:trHeight w:val="1213" w:hRule="atLeast"/>
          <w:tblHeader w:val="1"/>
        </w:trPr>
        <w:tc>
          <w:tcPr>
            <w:shd w:fill="d9d9d9" w:val="clear"/>
            <w:vAlign w:val="center"/>
          </w:tcPr>
          <w:p w:rsidR="00000000" w:rsidDel="00000000" w:rsidP="00000000" w:rsidRDefault="00000000" w:rsidRPr="00000000" w14:paraId="00000043">
            <w:pPr>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Criterion</w:t>
            </w:r>
          </w:p>
        </w:tc>
        <w:tc>
          <w:tcPr>
            <w:shd w:fill="d9d9d9" w:val="clear"/>
            <w:vAlign w:val="center"/>
          </w:tcPr>
          <w:p w:rsidR="00000000" w:rsidDel="00000000" w:rsidP="00000000" w:rsidRDefault="00000000" w:rsidRPr="00000000" w14:paraId="00000044">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Indicator</w:t>
            </w:r>
          </w:p>
        </w:tc>
        <w:tc>
          <w:tcPr>
            <w:shd w:fill="d9d9d9" w:val="clear"/>
            <w:vAlign w:val="center"/>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Measure</w:t>
            </w:r>
          </w:p>
        </w:tc>
        <w:tc>
          <w:tcPr>
            <w:shd w:fill="d9d9d9" w:val="clear"/>
          </w:tcPr>
          <w:p w:rsidR="00000000" w:rsidDel="00000000" w:rsidP="00000000" w:rsidRDefault="00000000" w:rsidRPr="00000000" w14:paraId="00000046">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Threshold</w:t>
            </w:r>
          </w:p>
        </w:tc>
        <w:tc>
          <w:tcPr>
            <w:vMerge w:val="continue"/>
            <w:shd w:fill="d9d9d9"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Pr>
          <w:p w:rsidR="00000000" w:rsidDel="00000000" w:rsidP="00000000" w:rsidRDefault="00000000" w:rsidRPr="00000000" w14:paraId="00000048">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Publishable? </w:t>
            </w:r>
          </w:p>
        </w:tc>
      </w:tr>
      <w:tr>
        <w:trPr>
          <w:cantSplit w:val="0"/>
          <w:trHeight w:val="1474" w:hRule="atLeast"/>
          <w:tblHeader w:val="0"/>
        </w:trPr>
        <w:tc>
          <w:tcPr/>
          <w:p w:rsidR="00000000" w:rsidDel="00000000" w:rsidP="00000000" w:rsidRDefault="00000000" w:rsidRPr="00000000" w14:paraId="00000049">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Accurate and timely billing of Buyer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A">
            <w:pPr>
              <w:spacing w:after="120" w:lineRule="auto"/>
              <w:ind w:left="61"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B">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Accuracy /Timelines</w:t>
            </w:r>
            <w:r w:rsidDel="00000000" w:rsidR="00000000" w:rsidRPr="00000000">
              <w:rPr>
                <w:rFonts w:ascii="Arial" w:cs="Arial" w:eastAsia="Arial" w:hAnsi="Arial"/>
                <w:sz w:val="24"/>
                <w:szCs w:val="24"/>
                <w:rtl w:val="0"/>
              </w:rPr>
              <w:t xml:space="preserve">s]</w:t>
            </w:r>
          </w:p>
          <w:p w:rsidR="00000000" w:rsidDel="00000000" w:rsidP="00000000" w:rsidRDefault="00000000" w:rsidRPr="00000000" w14:paraId="0000004C">
            <w:pPr>
              <w:spacing w:after="120" w:lineRule="auto"/>
              <w:ind w:left="9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D">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at least 98% at all times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E">
            <w:pPr>
              <w:spacing w:after="12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F">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0">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0.5% Service Credit gained for each percentage under the specified Service Level Performance Measure</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1">
            <w:pPr>
              <w:spacing w:after="120" w:lineRule="auto"/>
              <w:ind w:left="95" w:firstLine="0"/>
              <w:rPr>
                <w:rFonts w:ascii="Arial" w:cs="Arial" w:eastAsia="Arial" w:hAnsi="Arial"/>
                <w:sz w:val="24"/>
                <w:szCs w:val="24"/>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52">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Access to Buyer support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3">
            <w:pPr>
              <w:spacing w:after="120" w:lineRule="auto"/>
              <w:ind w:left="61"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4">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Availability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5">
            <w:pPr>
              <w:spacing w:after="120" w:lineRule="auto"/>
              <w:ind w:left="9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120" w:lineRule="auto"/>
              <w:ind w:left="9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at least 98% at all times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8">
            <w:pPr>
              <w:spacing w:after="12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9">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A">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0.5% Service Credit gained for each percentage under the specified Service Level Performance Measure</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B">
            <w:pPr>
              <w:spacing w:after="120" w:lineRule="auto"/>
              <w:ind w:left="95" w:firstLine="0"/>
              <w:rPr>
                <w:rFonts w:ascii="Arial" w:cs="Arial" w:eastAsia="Arial" w:hAnsi="Arial"/>
                <w:sz w:val="24"/>
                <w:szCs w:val="24"/>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rHeight w:val="1165" w:hRule="atLeast"/>
          <w:tblHeader w:val="0"/>
        </w:trPr>
        <w:tc>
          <w:tcPr/>
          <w:p w:rsidR="00000000" w:rsidDel="00000000" w:rsidP="00000000" w:rsidRDefault="00000000" w:rsidRPr="00000000" w14:paraId="0000005C">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[Definition]</w:t>
            </w:r>
          </w:p>
        </w:tc>
        <w:tc>
          <w:tcPr/>
          <w:p w:rsidR="00000000" w:rsidDel="00000000" w:rsidP="00000000" w:rsidRDefault="00000000" w:rsidRPr="00000000" w14:paraId="0000005D">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E">
            <w:pPr>
              <w:spacing w:after="120" w:lineRule="auto"/>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F">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60">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61">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2">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1]</w:t>
            </w:r>
            <w:r w:rsidDel="00000000" w:rsidR="00000000" w:rsidRPr="00000000">
              <w:rPr>
                <w:rtl w:val="0"/>
              </w:rPr>
            </w:r>
          </w:p>
        </w:tc>
        <w:tc>
          <w:tcPr/>
          <w:p w:rsidR="00000000" w:rsidDel="00000000" w:rsidP="00000000" w:rsidRDefault="00000000" w:rsidRPr="00000000" w14:paraId="00000063">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4">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5">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6">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7">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8">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2]</w:t>
            </w:r>
            <w:r w:rsidDel="00000000" w:rsidR="00000000" w:rsidRPr="00000000">
              <w:rPr>
                <w:rtl w:val="0"/>
              </w:rPr>
            </w:r>
          </w:p>
        </w:tc>
        <w:tc>
          <w:tcPr/>
          <w:p w:rsidR="00000000" w:rsidDel="00000000" w:rsidP="00000000" w:rsidRDefault="00000000" w:rsidRPr="00000000" w14:paraId="00000069">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A">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B">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C">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D">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E">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I 3]</w:t>
            </w:r>
            <w:r w:rsidDel="00000000" w:rsidR="00000000" w:rsidRPr="00000000">
              <w:rPr>
                <w:rtl w:val="0"/>
              </w:rPr>
            </w:r>
          </w:p>
        </w:tc>
        <w:tc>
          <w:tcPr/>
          <w:p w:rsidR="00000000" w:rsidDel="00000000" w:rsidP="00000000" w:rsidRDefault="00000000" w:rsidRPr="00000000" w14:paraId="0000006F">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0">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1">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2">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3">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bl>
    <w:p w:rsidR="00000000" w:rsidDel="00000000" w:rsidP="00000000" w:rsidRDefault="00000000" w:rsidRPr="00000000" w14:paraId="00000074">
      <w:pPr>
        <w:ind w:left="709" w:firstLine="0"/>
        <w:rPr>
          <w:rFonts w:ascii="Arial" w:cs="Arial" w:eastAsia="Arial" w:hAnsi="Arial"/>
          <w:sz w:val="24"/>
          <w:szCs w:val="24"/>
          <w:highlight w:val="green"/>
        </w:rPr>
      </w:pPr>
      <w:r w:rsidDel="00000000" w:rsidR="00000000" w:rsidRPr="00000000">
        <w:rPr>
          <w:rtl w:val="0"/>
        </w:rPr>
      </w:r>
    </w:p>
    <w:p w:rsidR="00000000" w:rsidDel="00000000" w:rsidP="00000000" w:rsidRDefault="00000000" w:rsidRPr="00000000" w14:paraId="00000075">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076">
      <w:pPr>
        <w:ind w:left="709"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[Example:</w:t>
      </w:r>
    </w:p>
    <w:tbl>
      <w:tblPr>
        <w:tblStyle w:val="Table3"/>
        <w:tblW w:w="9026.0" w:type="dxa"/>
        <w:jc w:val="left"/>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77">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y% (actual Service Level performance)  </w:t>
            </w:r>
          </w:p>
        </w:tc>
        <w:tc>
          <w:tcPr/>
          <w:p w:rsidR="00000000" w:rsidDel="00000000" w:rsidP="00000000" w:rsidRDefault="00000000" w:rsidRPr="00000000" w14:paraId="00000078">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79">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of the Charges payable to the Buyer as Service Credits to be deducted from the next Invoice payable by the Buyer</w:t>
            </w:r>
          </w:p>
        </w:tc>
      </w:tr>
      <w:tr>
        <w:trPr>
          <w:cantSplit w:val="0"/>
          <w:tblHeader w:val="0"/>
        </w:trPr>
        <w:tc>
          <w:tcPr/>
          <w:p w:rsidR="00000000" w:rsidDel="00000000" w:rsidP="00000000" w:rsidRDefault="00000000" w:rsidRPr="00000000" w14:paraId="0000007A">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Worked example: 98% (e.g. Service Level Performance Measure requirement for accurate and timely billing Service Level) - 75% (e.g. actual performance achieved against this Service Level in a Service Period) </w:t>
            </w:r>
          </w:p>
          <w:p w:rsidR="00000000" w:rsidDel="00000000" w:rsidP="00000000" w:rsidRDefault="00000000" w:rsidRPr="00000000" w14:paraId="0000007B">
            <w:pPr>
              <w:ind w:left="567"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C">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7D">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 of the Charges payable to the Buyer as Service Credits to be deducted from the next Invoice payable by the Buyer]</w:t>
            </w:r>
          </w:p>
          <w:p w:rsidR="00000000" w:rsidDel="00000000" w:rsidP="00000000" w:rsidRDefault="00000000" w:rsidRPr="00000000" w14:paraId="0000007E">
            <w:pPr>
              <w:ind w:left="145"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B: Performance Monitoring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Performance Monitoring and Performance Review</w:t>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000000" w:rsidDel="00000000" w:rsidP="00000000" w:rsidRDefault="00000000" w:rsidRPr="00000000" w14:paraId="00000082">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Service Level, the actual performance achieved over the Service Level for the relevant Service Period;</w:t>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failures to achieve Service Levels that occurred during that Service Period;</w:t>
      </w:r>
    </w:p>
    <w:p w:rsidR="00000000" w:rsidDel="00000000" w:rsidP="00000000" w:rsidRDefault="00000000" w:rsidRPr="00000000" w14:paraId="0000008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Critical Service Level Failures;</w:t>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repeat failures, actions taken to resolve the underlying cause and prevent recurrence;</w:t>
      </w:r>
    </w:p>
    <w:p w:rsidR="00000000" w:rsidDel="00000000" w:rsidP="00000000" w:rsidRDefault="00000000" w:rsidRPr="00000000" w14:paraId="000000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details as the Buyer may reasonably require from time to time.</w:t>
      </w:r>
    </w:p>
    <w:p w:rsidR="00000000" w:rsidDel="00000000" w:rsidP="00000000" w:rsidRDefault="00000000" w:rsidRPr="00000000" w14:paraId="00000089">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attend meetings to discuss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8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attended by the Supplier's Representative and the Buyer’s Representative; and</w:t>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Satisfaction Surveys</w:t>
      </w:r>
    </w:p>
    <w:p w:rsidR="00000000" w:rsidDel="00000000" w:rsidP="00000000" w:rsidRDefault="00000000" w:rsidRPr="00000000" w14:paraId="000000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rFonts w:ascii="Arial" w:cs="Arial" w:eastAsia="Arial" w:hAnsi="Arial"/>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14 (Service Levels)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2023</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ind w:left="360" w:hanging="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DefinitionNumbering1" w:customStyle="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val="1"/>
    <w:uiPriority w:val="99"/>
    <w:semiHidden w:val="1"/>
    <w:rsid w:val="00CB349E"/>
    <w:pPr>
      <w:spacing w:after="0" w:line="240" w:lineRule="auto"/>
    </w:pPr>
    <w:rPr>
      <w:rFonts w:ascii="Calibri" w:cs="Times New Roman" w:eastAsia="Calibri" w:hAnsi="Calibri"/>
    </w:rPr>
  </w:style>
  <w:style w:type="character" w:styleId="Hyperlink">
    <w:name w:val="Hyperlink"/>
    <w:uiPriority w:val="99"/>
    <w:rsid w:val="0079190E"/>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the-sourcing-and-consultancy-playbook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0NgGCrtEF2KFQhlrGIlNPJozg==">CgMxLjAyCGguZ2pkZ3hzMgloLjMwajB6bGw4AHIhMUJ3TFp3OWNNMDZqWTVMUEtTZHdSTE8tU29DblBpbzNN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2023-02-22T13:16:00Z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