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985"/>
        </w:tabs>
        <w:spacing w:after="120" w:before="120" w:line="240" w:lineRule="auto"/>
        <w:ind w:left="1656" w:right="0" w:hanging="720"/>
        <w:jc w:val="both"/>
        <w:rPr>
          <w:rFonts w:ascii="Arial" w:cs="Arial" w:eastAsia="Arial" w:hAnsi="Arial"/>
          <w:b w:val="1"/>
          <w:i w:val="0"/>
          <w:smallCaps w:val="0"/>
          <w:strike w:val="0"/>
          <w:color w:val="000000"/>
          <w:sz w:val="36"/>
          <w:szCs w:val="36"/>
          <w:u w:val="none"/>
          <w:shd w:fill="auto" w:val="clear"/>
          <w:vertAlign w:val="baseline"/>
        </w:rPr>
      </w:pPr>
      <w:r w:rsidDel="00000000" w:rsidR="00000000" w:rsidRPr="00000000">
        <w:rPr>
          <w:rtl w:val="0"/>
        </w:rPr>
      </w:r>
    </w:p>
    <w:p w:rsidR="00000000" w:rsidDel="00000000" w:rsidP="00000000" w:rsidRDefault="00000000" w:rsidRPr="00000000" w14:paraId="00000002">
      <w:pPr>
        <w:keepNext w:val="1"/>
        <w:pageBreakBefore w:val="0"/>
        <w:jc w:val="left"/>
        <w:rPr>
          <w:rFonts w:ascii="Arial" w:cs="Arial" w:eastAsia="Arial" w:hAnsi="Arial"/>
          <w:b w:val="1"/>
          <w:sz w:val="36"/>
          <w:szCs w:val="36"/>
        </w:rPr>
      </w:pPr>
      <w:r w:rsidDel="00000000" w:rsidR="00000000" w:rsidRPr="00000000">
        <w:rPr>
          <w:rFonts w:ascii="Arial" w:cs="Arial" w:eastAsia="Arial" w:hAnsi="Arial"/>
          <w:b w:val="1"/>
          <w:sz w:val="36"/>
          <w:szCs w:val="36"/>
          <w:rtl w:val="0"/>
        </w:rPr>
        <w:t xml:space="preserve">Call-Off Schedule 16 (Benchmarking)</w:t>
      </w:r>
    </w:p>
    <w:p w:rsidR="00000000" w:rsidDel="00000000" w:rsidP="00000000" w:rsidRDefault="00000000" w:rsidRPr="00000000" w14:paraId="00000003">
      <w:pPr>
        <w:keepNext w:val="1"/>
        <w:keepLines w:val="0"/>
        <w:pageBreakBefore w:val="0"/>
        <w:widowControl w:val="1"/>
        <w:numPr>
          <w:ilvl w:val="0"/>
          <w:numId w:val="1"/>
        </w:numPr>
        <w:pBdr>
          <w:top w:space="0" w:sz="0" w:val="nil"/>
          <w:left w:space="0" w:sz="0" w:val="nil"/>
          <w:bottom w:space="0" w:sz="0" w:val="nil"/>
          <w:right w:space="0" w:sz="0" w:val="nil"/>
          <w:between w:space="0" w:sz="0" w:val="nil"/>
        </w:pBdr>
        <w:shd w:fill="auto" w:val="clear"/>
        <w:tabs>
          <w:tab w:val="left" w:leader="none" w:pos="142"/>
        </w:tabs>
        <w:spacing w:after="240" w:before="120" w:line="240" w:lineRule="auto"/>
        <w:ind w:left="360" w:right="0" w:hanging="360"/>
        <w:jc w:val="left"/>
        <w:rPr>
          <w:rFonts w:ascii="Arial" w:cs="Arial" w:eastAsia="Arial" w:hAnsi="Arial"/>
          <w:b w:val="1"/>
          <w:i w:val="0"/>
          <w:smallCaps w:val="1"/>
          <w:strike w:val="0"/>
          <w:color w:val="000000"/>
          <w:sz w:val="24"/>
          <w:szCs w:val="24"/>
          <w:u w:val="none"/>
          <w:shd w:fill="auto" w:val="clear"/>
          <w:vertAlign w:val="baseline"/>
        </w:rPr>
      </w:pPr>
      <w:r w:rsidDel="00000000" w:rsidR="00000000" w:rsidRPr="00000000">
        <w:rPr>
          <w:rFonts w:ascii="Arial" w:cs="Arial" w:eastAsia="Arial" w:hAnsi="Arial"/>
          <w:b w:val="1"/>
          <w:i w:val="0"/>
          <w:smallCaps w:val="1"/>
          <w:strike w:val="0"/>
          <w:color w:val="000000"/>
          <w:sz w:val="24"/>
          <w:szCs w:val="24"/>
          <w:u w:val="none"/>
          <w:shd w:fill="auto" w:val="clear"/>
          <w:vertAlign w:val="baseline"/>
          <w:rtl w:val="0"/>
        </w:rPr>
        <w:t xml:space="preserve">DEFINITIONS</w:t>
      </w:r>
    </w:p>
    <w:p w:rsidR="00000000" w:rsidDel="00000000" w:rsidP="00000000" w:rsidRDefault="00000000" w:rsidRPr="00000000" w14:paraId="00000004">
      <w:pPr>
        <w:keepNext w:val="1"/>
        <w:keepLines w:val="0"/>
        <w:pageBreakBefore w:val="0"/>
        <w:widowControl w:val="1"/>
        <w:numPr>
          <w:ilvl w:val="1"/>
          <w:numId w:val="1"/>
        </w:numPr>
        <w:pBdr>
          <w:top w:space="0" w:sz="0" w:val="nil"/>
          <w:left w:space="0" w:sz="0" w:val="nil"/>
          <w:bottom w:space="0" w:sz="0" w:val="nil"/>
          <w:right w:space="0" w:sz="0" w:val="nil"/>
          <w:between w:space="0" w:sz="0" w:val="nil"/>
        </w:pBdr>
        <w:shd w:fill="auto" w:val="clear"/>
        <w:tabs>
          <w:tab w:val="left" w:leader="none" w:pos="1134"/>
        </w:tabs>
        <w:spacing w:after="120" w:before="120" w:line="240" w:lineRule="auto"/>
        <w:ind w:left="644"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In this Schedule, the following expressions shall have the following meanings:</w:t>
      </w:r>
    </w:p>
    <w:tbl>
      <w:tblPr>
        <w:tblStyle w:val="Table1"/>
        <w:tblW w:w="8042.0" w:type="dxa"/>
        <w:jc w:val="left"/>
        <w:tblInd w:w="893.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900"/>
        <w:gridCol w:w="5142"/>
        <w:tblGridChange w:id="0">
          <w:tblGrid>
            <w:gridCol w:w="2900"/>
            <w:gridCol w:w="5142"/>
          </w:tblGrid>
        </w:tblGridChange>
      </w:tblGrid>
      <w:tr>
        <w:trPr>
          <w:cantSplit w:val="0"/>
          <w:tblHeader w:val="0"/>
        </w:trPr>
        <w:tc>
          <w:tcPr>
            <w:shd w:fill="auto" w:val="clear"/>
          </w:tcPr>
          <w:p w:rsidR="00000000" w:rsidDel="00000000" w:rsidP="00000000" w:rsidRDefault="00000000" w:rsidRPr="00000000" w14:paraId="00000005">
            <w:pPr>
              <w:keepNext w:val="0"/>
              <w:keepLines w:val="0"/>
              <w:widowControl w:val="1"/>
              <w:pBdr>
                <w:top w:space="0" w:sz="0" w:val="nil"/>
                <w:left w:space="0" w:sz="0" w:val="nil"/>
                <w:bottom w:space="0" w:sz="0" w:val="nil"/>
                <w:right w:space="0" w:sz="0" w:val="nil"/>
                <w:between w:space="0" w:sz="0" w:val="nil"/>
              </w:pBdr>
              <w:shd w:fill="auto" w:val="clear"/>
              <w:spacing w:after="120" w:before="0" w:line="240" w:lineRule="auto"/>
              <w:ind w:left="-108"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"Benchmark Review"</w:t>
            </w:r>
          </w:p>
        </w:tc>
        <w:tc>
          <w:tcPr>
            <w:shd w:fill="auto" w:val="clear"/>
          </w:tcPr>
          <w:p w:rsidR="00000000" w:rsidDel="00000000" w:rsidP="00000000" w:rsidRDefault="00000000" w:rsidRPr="00000000" w14:paraId="00000006">
            <w:pPr>
              <w:keepNext w:val="0"/>
              <w:keepLines w:val="0"/>
              <w:widowControl w:val="1"/>
              <w:pBdr>
                <w:top w:space="0" w:sz="0" w:val="nil"/>
                <w:left w:space="0" w:sz="0" w:val="nil"/>
                <w:bottom w:space="0" w:sz="0" w:val="nil"/>
                <w:right w:space="0" w:sz="0" w:val="nil"/>
                <w:between w:space="0" w:sz="0" w:val="nil"/>
              </w:pBdr>
              <w:shd w:fill="auto" w:val="clear"/>
              <w:tabs>
                <w:tab w:val="left" w:leader="none" w:pos="175"/>
              </w:tabs>
              <w:spacing w:after="120" w:before="0" w:line="240" w:lineRule="auto"/>
              <w:ind w:right="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 review of the Deliverables carried out in accordance with this Schedule to determine whether those Deliverables represent Good Value;</w:t>
            </w:r>
          </w:p>
        </w:tc>
      </w:tr>
      <w:tr>
        <w:trPr>
          <w:cantSplit w:val="0"/>
          <w:tblHeader w:val="0"/>
        </w:trPr>
        <w:tc>
          <w:tcPr>
            <w:shd w:fill="auto" w:val="clear"/>
          </w:tcPr>
          <w:p w:rsidR="00000000" w:rsidDel="00000000" w:rsidP="00000000" w:rsidRDefault="00000000" w:rsidRPr="00000000" w14:paraId="00000007">
            <w:pPr>
              <w:keepNext w:val="0"/>
              <w:keepLines w:val="0"/>
              <w:widowControl w:val="1"/>
              <w:pBdr>
                <w:top w:space="0" w:sz="0" w:val="nil"/>
                <w:left w:space="0" w:sz="0" w:val="nil"/>
                <w:bottom w:space="0" w:sz="0" w:val="nil"/>
                <w:right w:space="0" w:sz="0" w:val="nil"/>
                <w:between w:space="0" w:sz="0" w:val="nil"/>
              </w:pBdr>
              <w:shd w:fill="auto" w:val="clear"/>
              <w:spacing w:after="120" w:before="0" w:line="240" w:lineRule="auto"/>
              <w:ind w:left="-108"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"Benchmarked Deliverables"</w:t>
            </w:r>
          </w:p>
        </w:tc>
        <w:tc>
          <w:tcPr>
            <w:shd w:fill="auto" w:val="clear"/>
          </w:tcPr>
          <w:p w:rsidR="00000000" w:rsidDel="00000000" w:rsidP="00000000" w:rsidRDefault="00000000" w:rsidRPr="00000000" w14:paraId="00000008">
            <w:pPr>
              <w:keepNext w:val="0"/>
              <w:keepLines w:val="0"/>
              <w:widowControl w:val="1"/>
              <w:pBdr>
                <w:top w:space="0" w:sz="0" w:val="nil"/>
                <w:left w:space="0" w:sz="0" w:val="nil"/>
                <w:bottom w:space="0" w:sz="0" w:val="nil"/>
                <w:right w:space="0" w:sz="0" w:val="nil"/>
                <w:between w:space="0" w:sz="0" w:val="nil"/>
              </w:pBdr>
              <w:shd w:fill="auto" w:val="clear"/>
              <w:tabs>
                <w:tab w:val="left" w:leader="none" w:pos="175"/>
              </w:tabs>
              <w:spacing w:after="120" w:before="0" w:line="240" w:lineRule="auto"/>
              <w:ind w:right="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any Deliverables included within the scope of a Benchmark Review pursuant to this Schedule;</w:t>
            </w:r>
          </w:p>
        </w:tc>
      </w:tr>
      <w:tr>
        <w:trPr>
          <w:cantSplit w:val="0"/>
          <w:tblHeader w:val="0"/>
        </w:trPr>
        <w:tc>
          <w:tcPr>
            <w:shd w:fill="auto" w:val="clear"/>
          </w:tcPr>
          <w:p w:rsidR="00000000" w:rsidDel="00000000" w:rsidP="00000000" w:rsidRDefault="00000000" w:rsidRPr="00000000" w14:paraId="00000009">
            <w:pPr>
              <w:keepNext w:val="0"/>
              <w:keepLines w:val="0"/>
              <w:widowControl w:val="1"/>
              <w:pBdr>
                <w:top w:space="0" w:sz="0" w:val="nil"/>
                <w:left w:space="0" w:sz="0" w:val="nil"/>
                <w:bottom w:space="0" w:sz="0" w:val="nil"/>
                <w:right w:space="0" w:sz="0" w:val="nil"/>
                <w:between w:space="0" w:sz="0" w:val="nil"/>
              </w:pBdr>
              <w:shd w:fill="auto" w:val="clear"/>
              <w:spacing w:after="120" w:before="0" w:line="240" w:lineRule="auto"/>
              <w:ind w:left="-108"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"Comparable Rates"</w:t>
            </w:r>
          </w:p>
        </w:tc>
        <w:tc>
          <w:tcPr>
            <w:shd w:fill="auto" w:val="clear"/>
          </w:tcPr>
          <w:p w:rsidR="00000000" w:rsidDel="00000000" w:rsidP="00000000" w:rsidRDefault="00000000" w:rsidRPr="00000000" w14:paraId="0000000A">
            <w:pPr>
              <w:keepNext w:val="0"/>
              <w:keepLines w:val="0"/>
              <w:widowControl w:val="1"/>
              <w:pBdr>
                <w:top w:space="0" w:sz="0" w:val="nil"/>
                <w:left w:space="0" w:sz="0" w:val="nil"/>
                <w:bottom w:space="0" w:sz="0" w:val="nil"/>
                <w:right w:space="0" w:sz="0" w:val="nil"/>
                <w:between w:space="0" w:sz="0" w:val="nil"/>
              </w:pBdr>
              <w:shd w:fill="auto" w:val="clear"/>
              <w:tabs>
                <w:tab w:val="left" w:leader="none" w:pos="175"/>
              </w:tabs>
              <w:spacing w:after="120" w:before="0" w:line="240" w:lineRule="auto"/>
              <w:ind w:right="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Charges for Comparable Deliverables;</w:t>
            </w:r>
          </w:p>
        </w:tc>
      </w:tr>
      <w:tr>
        <w:trPr>
          <w:cantSplit w:val="0"/>
          <w:tblHeader w:val="0"/>
        </w:trPr>
        <w:tc>
          <w:tcPr>
            <w:shd w:fill="auto" w:val="clear"/>
          </w:tcPr>
          <w:p w:rsidR="00000000" w:rsidDel="00000000" w:rsidP="00000000" w:rsidRDefault="00000000" w:rsidRPr="00000000" w14:paraId="0000000B">
            <w:pPr>
              <w:keepNext w:val="0"/>
              <w:keepLines w:val="0"/>
              <w:widowControl w:val="1"/>
              <w:pBdr>
                <w:top w:space="0" w:sz="0" w:val="nil"/>
                <w:left w:space="0" w:sz="0" w:val="nil"/>
                <w:bottom w:space="0" w:sz="0" w:val="nil"/>
                <w:right w:space="0" w:sz="0" w:val="nil"/>
                <w:between w:space="0" w:sz="0" w:val="nil"/>
              </w:pBdr>
              <w:shd w:fill="auto" w:val="clear"/>
              <w:spacing w:after="120" w:before="0" w:line="240" w:lineRule="auto"/>
              <w:ind w:left="-108"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"Comparable Deliverables"</w:t>
            </w:r>
          </w:p>
        </w:tc>
        <w:tc>
          <w:tcPr>
            <w:shd w:fill="auto" w:val="clear"/>
          </w:tcPr>
          <w:p w:rsidR="00000000" w:rsidDel="00000000" w:rsidP="00000000" w:rsidRDefault="00000000" w:rsidRPr="00000000" w14:paraId="0000000C">
            <w:pPr>
              <w:keepNext w:val="0"/>
              <w:keepLines w:val="0"/>
              <w:widowControl w:val="1"/>
              <w:pBdr>
                <w:top w:space="0" w:sz="0" w:val="nil"/>
                <w:left w:space="0" w:sz="0" w:val="nil"/>
                <w:bottom w:space="0" w:sz="0" w:val="nil"/>
                <w:right w:space="0" w:sz="0" w:val="nil"/>
                <w:between w:space="0" w:sz="0" w:val="nil"/>
              </w:pBdr>
              <w:shd w:fill="auto" w:val="clear"/>
              <w:tabs>
                <w:tab w:val="left" w:leader="none" w:pos="175"/>
              </w:tabs>
              <w:spacing w:after="120" w:before="0" w:line="240" w:lineRule="auto"/>
              <w:ind w:right="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deliverables that are identical or materially similar to the Benchmarked Deliverables (including in terms of scope, specification, volume and quality of performance) provided that if no identical or materially similar Deliverables exist in the market, the Supplier shall propose an approach for developing a comparable Deliverables benchmark;</w:t>
            </w:r>
          </w:p>
        </w:tc>
      </w:tr>
      <w:tr>
        <w:trPr>
          <w:cantSplit w:val="0"/>
          <w:tblHeader w:val="0"/>
        </w:trPr>
        <w:tc>
          <w:tcPr>
            <w:shd w:fill="auto" w:val="clear"/>
          </w:tcPr>
          <w:p w:rsidR="00000000" w:rsidDel="00000000" w:rsidP="00000000" w:rsidRDefault="00000000" w:rsidRPr="00000000" w14:paraId="0000000D">
            <w:pPr>
              <w:keepNext w:val="0"/>
              <w:keepLines w:val="0"/>
              <w:widowControl w:val="1"/>
              <w:pBdr>
                <w:top w:space="0" w:sz="0" w:val="nil"/>
                <w:left w:space="0" w:sz="0" w:val="nil"/>
                <w:bottom w:space="0" w:sz="0" w:val="nil"/>
                <w:right w:space="0" w:sz="0" w:val="nil"/>
                <w:between w:space="0" w:sz="0" w:val="nil"/>
              </w:pBdr>
              <w:shd w:fill="auto" w:val="clear"/>
              <w:spacing w:after="120" w:before="0" w:line="240" w:lineRule="auto"/>
              <w:ind w:left="-108"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"Comparison Group"</w:t>
            </w:r>
          </w:p>
        </w:tc>
        <w:tc>
          <w:tcPr>
            <w:shd w:fill="auto" w:val="clear"/>
          </w:tcPr>
          <w:p w:rsidR="00000000" w:rsidDel="00000000" w:rsidP="00000000" w:rsidRDefault="00000000" w:rsidRPr="00000000" w14:paraId="0000000E">
            <w:pPr>
              <w:keepNext w:val="0"/>
              <w:keepLines w:val="0"/>
              <w:widowControl w:val="1"/>
              <w:pBdr>
                <w:top w:space="0" w:sz="0" w:val="nil"/>
                <w:left w:space="0" w:sz="0" w:val="nil"/>
                <w:bottom w:space="0" w:sz="0" w:val="nil"/>
                <w:right w:space="0" w:sz="0" w:val="nil"/>
                <w:between w:space="0" w:sz="0" w:val="nil"/>
              </w:pBdr>
              <w:shd w:fill="auto" w:val="clear"/>
              <w:tabs>
                <w:tab w:val="left" w:leader="none" w:pos="175"/>
              </w:tabs>
              <w:spacing w:after="120" w:before="0" w:line="240" w:lineRule="auto"/>
              <w:ind w:right="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 sample group of organisations providing Comparable Deliverables which consists of organisations which are either of similar size to the Supplier or which are similarly structured in terms of their business and their service offering so as to be fair comparators with the Supplier or which, are best practice organisations;</w:t>
            </w:r>
          </w:p>
        </w:tc>
      </w:tr>
      <w:tr>
        <w:trPr>
          <w:cantSplit w:val="0"/>
          <w:tblHeader w:val="0"/>
        </w:trPr>
        <w:tc>
          <w:tcPr>
            <w:shd w:fill="auto" w:val="clear"/>
          </w:tcPr>
          <w:p w:rsidR="00000000" w:rsidDel="00000000" w:rsidP="00000000" w:rsidRDefault="00000000" w:rsidRPr="00000000" w14:paraId="0000000F">
            <w:pPr>
              <w:keepNext w:val="0"/>
              <w:keepLines w:val="0"/>
              <w:widowControl w:val="1"/>
              <w:pBdr>
                <w:top w:space="0" w:sz="0" w:val="nil"/>
                <w:left w:space="0" w:sz="0" w:val="nil"/>
                <w:bottom w:space="0" w:sz="0" w:val="nil"/>
                <w:right w:space="0" w:sz="0" w:val="nil"/>
                <w:between w:space="0" w:sz="0" w:val="nil"/>
              </w:pBdr>
              <w:shd w:fill="auto" w:val="clear"/>
              <w:spacing w:after="120" w:before="0" w:line="240" w:lineRule="auto"/>
              <w:ind w:left="-108"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"Equivalent Data"</w:t>
            </w:r>
          </w:p>
        </w:tc>
        <w:tc>
          <w:tcPr>
            <w:shd w:fill="auto" w:val="clear"/>
          </w:tcPr>
          <w:p w:rsidR="00000000" w:rsidDel="00000000" w:rsidP="00000000" w:rsidRDefault="00000000" w:rsidRPr="00000000" w14:paraId="00000010">
            <w:pPr>
              <w:keepNext w:val="0"/>
              <w:keepLines w:val="0"/>
              <w:widowControl w:val="1"/>
              <w:pBdr>
                <w:top w:space="0" w:sz="0" w:val="nil"/>
                <w:left w:space="0" w:sz="0" w:val="nil"/>
                <w:bottom w:space="0" w:sz="0" w:val="nil"/>
                <w:right w:space="0" w:sz="0" w:val="nil"/>
                <w:between w:space="0" w:sz="0" w:val="nil"/>
              </w:pBdr>
              <w:shd w:fill="auto" w:val="clear"/>
              <w:tabs>
                <w:tab w:val="left" w:leader="none" w:pos="175"/>
              </w:tabs>
              <w:spacing w:after="120" w:before="0" w:line="240" w:lineRule="auto"/>
              <w:ind w:right="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data derived from an analysis of the Comparable Rates and/or the Comparable Deliverables (as applicable) provided by the Comparison Group;</w:t>
            </w:r>
          </w:p>
        </w:tc>
      </w:tr>
      <w:tr>
        <w:trPr>
          <w:cantSplit w:val="0"/>
          <w:tblHeader w:val="0"/>
        </w:trPr>
        <w:tc>
          <w:tcPr>
            <w:shd w:fill="auto" w:val="clear"/>
          </w:tcPr>
          <w:p w:rsidR="00000000" w:rsidDel="00000000" w:rsidP="00000000" w:rsidRDefault="00000000" w:rsidRPr="00000000" w14:paraId="00000011">
            <w:pPr>
              <w:keepNext w:val="0"/>
              <w:keepLines w:val="0"/>
              <w:widowControl w:val="1"/>
              <w:pBdr>
                <w:top w:space="0" w:sz="0" w:val="nil"/>
                <w:left w:space="0" w:sz="0" w:val="nil"/>
                <w:bottom w:space="0" w:sz="0" w:val="nil"/>
                <w:right w:space="0" w:sz="0" w:val="nil"/>
                <w:between w:space="0" w:sz="0" w:val="nil"/>
              </w:pBdr>
              <w:shd w:fill="auto" w:val="clear"/>
              <w:spacing w:after="120" w:before="0" w:line="240" w:lineRule="auto"/>
              <w:ind w:left="-108"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"Good Value"</w:t>
            </w:r>
          </w:p>
        </w:tc>
        <w:tc>
          <w:tcPr>
            <w:shd w:fill="auto" w:val="clear"/>
          </w:tcPr>
          <w:p w:rsidR="00000000" w:rsidDel="00000000" w:rsidP="00000000" w:rsidRDefault="00000000" w:rsidRPr="00000000" w14:paraId="00000012">
            <w:pPr>
              <w:keepNext w:val="0"/>
              <w:keepLines w:val="0"/>
              <w:widowControl w:val="1"/>
              <w:pBdr>
                <w:top w:space="0" w:sz="0" w:val="nil"/>
                <w:left w:space="0" w:sz="0" w:val="nil"/>
                <w:bottom w:space="0" w:sz="0" w:val="nil"/>
                <w:right w:space="0" w:sz="0" w:val="nil"/>
                <w:between w:space="0" w:sz="0" w:val="nil"/>
              </w:pBdr>
              <w:shd w:fill="auto" w:val="clear"/>
              <w:tabs>
                <w:tab w:val="left" w:leader="none" w:pos="175"/>
              </w:tabs>
              <w:spacing w:after="120" w:before="0" w:line="240" w:lineRule="auto"/>
              <w:ind w:right="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that the Benchmarked Rates are within the Upper Quartile; and</w:t>
            </w:r>
          </w:p>
        </w:tc>
      </w:tr>
      <w:tr>
        <w:trPr>
          <w:cantSplit w:val="0"/>
          <w:tblHeader w:val="0"/>
        </w:trPr>
        <w:tc>
          <w:tcPr>
            <w:shd w:fill="auto" w:val="clear"/>
          </w:tcPr>
          <w:p w:rsidR="00000000" w:rsidDel="00000000" w:rsidP="00000000" w:rsidRDefault="00000000" w:rsidRPr="00000000" w14:paraId="00000013">
            <w:pPr>
              <w:keepNext w:val="0"/>
              <w:keepLines w:val="0"/>
              <w:widowControl w:val="1"/>
              <w:pBdr>
                <w:top w:space="0" w:sz="0" w:val="nil"/>
                <w:left w:space="0" w:sz="0" w:val="nil"/>
                <w:bottom w:space="0" w:sz="0" w:val="nil"/>
                <w:right w:space="0" w:sz="0" w:val="nil"/>
                <w:between w:space="0" w:sz="0" w:val="nil"/>
              </w:pBdr>
              <w:shd w:fill="auto" w:val="clear"/>
              <w:spacing w:after="120" w:before="0" w:line="240" w:lineRule="auto"/>
              <w:ind w:left="-108"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"Upper Quartile"</w:t>
            </w:r>
          </w:p>
        </w:tc>
        <w:tc>
          <w:tcPr>
            <w:shd w:fill="auto" w:val="clear"/>
          </w:tcPr>
          <w:p w:rsidR="00000000" w:rsidDel="00000000" w:rsidP="00000000" w:rsidRDefault="00000000" w:rsidRPr="00000000" w14:paraId="00000014">
            <w:pPr>
              <w:keepNext w:val="0"/>
              <w:keepLines w:val="0"/>
              <w:widowControl w:val="1"/>
              <w:pBdr>
                <w:top w:space="0" w:sz="0" w:val="nil"/>
                <w:left w:space="0" w:sz="0" w:val="nil"/>
                <w:bottom w:space="0" w:sz="0" w:val="nil"/>
                <w:right w:space="0" w:sz="0" w:val="nil"/>
                <w:between w:space="0" w:sz="0" w:val="nil"/>
              </w:pBdr>
              <w:shd w:fill="auto" w:val="clear"/>
              <w:tabs>
                <w:tab w:val="left" w:leader="none" w:pos="175"/>
              </w:tabs>
              <w:spacing w:after="120" w:before="0" w:line="240" w:lineRule="auto"/>
              <w:ind w:right="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in respect of Benchmarked Rates, that based on an analysis of Equivalent Data, the Benchmarked Rates, as compared to the range of prices for Comparable Deliverables, are within the top 25% in terms of best value for money for the recipients of Comparable Deliverables.</w:t>
            </w:r>
          </w:p>
        </w:tc>
      </w:tr>
    </w:tbl>
    <w:p w:rsidR="00000000" w:rsidDel="00000000" w:rsidP="00000000" w:rsidRDefault="00000000" w:rsidRPr="00000000" w14:paraId="00000015">
      <w:pPr>
        <w:keepNext w:val="1"/>
        <w:keepLines w:val="0"/>
        <w:pageBreakBefore w:val="0"/>
        <w:widowControl w:val="1"/>
        <w:numPr>
          <w:ilvl w:val="0"/>
          <w:numId w:val="1"/>
        </w:numPr>
        <w:pBdr>
          <w:top w:space="0" w:sz="0" w:val="nil"/>
          <w:left w:space="0" w:sz="0" w:val="nil"/>
          <w:bottom w:space="0" w:sz="0" w:val="nil"/>
          <w:right w:space="0" w:sz="0" w:val="nil"/>
          <w:between w:space="0" w:sz="0" w:val="nil"/>
        </w:pBdr>
        <w:shd w:fill="auto" w:val="clear"/>
        <w:tabs>
          <w:tab w:val="left" w:leader="none" w:pos="142"/>
        </w:tabs>
        <w:spacing w:after="240" w:before="120" w:line="240" w:lineRule="auto"/>
        <w:ind w:left="360" w:right="0" w:hanging="360"/>
        <w:jc w:val="left"/>
        <w:rPr>
          <w:rFonts w:ascii="Arial" w:cs="Arial" w:eastAsia="Arial" w:hAnsi="Arial"/>
          <w:b w:val="1"/>
          <w:i w:val="0"/>
          <w:smallCaps w:val="1"/>
          <w:strike w:val="0"/>
          <w:color w:val="000000"/>
          <w:sz w:val="24"/>
          <w:szCs w:val="24"/>
          <w:u w:val="none"/>
          <w:shd w:fill="auto" w:val="clear"/>
          <w:vertAlign w:val="baseline"/>
        </w:rPr>
      </w:pPr>
      <w:r w:rsidDel="00000000" w:rsidR="00000000" w:rsidRPr="00000000">
        <w:rPr>
          <w:rFonts w:ascii="Arial Bold" w:cs="Arial Bold" w:eastAsia="Arial Bold" w:hAnsi="Arial Bold"/>
          <w:b w:val="1"/>
          <w:i w:val="0"/>
          <w:smallCaps w:val="0"/>
          <w:strike w:val="0"/>
          <w:color w:val="000000"/>
          <w:sz w:val="24"/>
          <w:szCs w:val="24"/>
          <w:u w:val="none"/>
          <w:shd w:fill="auto" w:val="clear"/>
          <w:vertAlign w:val="baseline"/>
          <w:rtl w:val="0"/>
        </w:rPr>
        <w:t xml:space="preserve">When you should use this Schedule</w:t>
      </w:r>
      <w:r w:rsidDel="00000000" w:rsidR="00000000" w:rsidRPr="00000000">
        <w:rPr>
          <w:rtl w:val="0"/>
        </w:rPr>
      </w:r>
    </w:p>
    <w:p w:rsidR="00000000" w:rsidDel="00000000" w:rsidP="00000000" w:rsidRDefault="00000000" w:rsidRPr="00000000" w14:paraId="00000016">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tabs>
          <w:tab w:val="left" w:leader="none" w:pos="1134"/>
        </w:tabs>
        <w:spacing w:after="120" w:before="120" w:line="240" w:lineRule="auto"/>
        <w:ind w:left="644" w:right="0" w:hanging="36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Supplier acknowledges that the Buyer wishes to ensure that the Deliverables, represent value for money to the taxpayer throughout the Contract Period.  </w:t>
      </w:r>
      <w:r w:rsidDel="00000000" w:rsidR="00000000" w:rsidRPr="00000000">
        <w:rPr>
          <w:rtl w:val="0"/>
        </w:rPr>
      </w:r>
    </w:p>
    <w:p w:rsidR="00000000" w:rsidDel="00000000" w:rsidP="00000000" w:rsidRDefault="00000000" w:rsidRPr="00000000" w14:paraId="00000017">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tabs>
          <w:tab w:val="left" w:leader="none" w:pos="1134"/>
        </w:tabs>
        <w:spacing w:after="120" w:before="120" w:line="240" w:lineRule="auto"/>
        <w:ind w:left="644"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This Schedule sets to ensure the Contracts represent value for money throughout and that the Buyer may terminate the Contract by issuing a Termination Notice to the Supplier if the Supplier refuses or fails to comply with its obligations as set out in Paragraphs 3 of this Schedule.</w:t>
      </w:r>
    </w:p>
    <w:p w:rsidR="00000000" w:rsidDel="00000000" w:rsidP="00000000" w:rsidRDefault="00000000" w:rsidRPr="00000000" w14:paraId="00000018">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tabs>
          <w:tab w:val="left" w:leader="none" w:pos="1134"/>
        </w:tabs>
        <w:spacing w:after="120" w:before="120" w:line="240" w:lineRule="auto"/>
        <w:ind w:left="644"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Amounts payable under this Schedule shall not fall with the definition of a Cost.</w:t>
      </w:r>
    </w:p>
    <w:p w:rsidR="00000000" w:rsidDel="00000000" w:rsidP="00000000" w:rsidRDefault="00000000" w:rsidRPr="00000000" w14:paraId="00000019">
      <w:pPr>
        <w:keepNext w:val="1"/>
        <w:keepLines w:val="0"/>
        <w:pageBreakBefore w:val="0"/>
        <w:widowControl w:val="1"/>
        <w:numPr>
          <w:ilvl w:val="0"/>
          <w:numId w:val="1"/>
        </w:numPr>
        <w:pBdr>
          <w:top w:space="0" w:sz="0" w:val="nil"/>
          <w:left w:space="0" w:sz="0" w:val="nil"/>
          <w:bottom w:space="0" w:sz="0" w:val="nil"/>
          <w:right w:space="0" w:sz="0" w:val="nil"/>
          <w:between w:space="0" w:sz="0" w:val="nil"/>
        </w:pBdr>
        <w:shd w:fill="auto" w:val="clear"/>
        <w:tabs>
          <w:tab w:val="left" w:leader="none" w:pos="142"/>
        </w:tabs>
        <w:spacing w:after="240" w:before="120" w:line="240" w:lineRule="auto"/>
        <w:ind w:left="360" w:right="0" w:hanging="360"/>
        <w:jc w:val="left"/>
        <w:rPr>
          <w:rFonts w:ascii="Arial Bold" w:cs="Arial Bold" w:eastAsia="Arial Bold" w:hAnsi="Arial Bold"/>
          <w:b w:val="1"/>
          <w:i w:val="0"/>
          <w:smallCaps w:val="0"/>
          <w:strike w:val="0"/>
          <w:color w:val="000000"/>
          <w:sz w:val="24"/>
          <w:szCs w:val="24"/>
          <w:u w:val="none"/>
          <w:shd w:fill="auto" w:val="clear"/>
          <w:vertAlign w:val="baseline"/>
        </w:rPr>
      </w:pPr>
      <w:r w:rsidDel="00000000" w:rsidR="00000000" w:rsidRPr="00000000">
        <w:rPr>
          <w:rFonts w:ascii="Arial Bold" w:cs="Arial Bold" w:eastAsia="Arial Bold" w:hAnsi="Arial Bold"/>
          <w:b w:val="1"/>
          <w:i w:val="0"/>
          <w:smallCaps w:val="0"/>
          <w:strike w:val="0"/>
          <w:color w:val="000000"/>
          <w:sz w:val="24"/>
          <w:szCs w:val="24"/>
          <w:u w:val="none"/>
          <w:shd w:fill="auto" w:val="clear"/>
          <w:vertAlign w:val="baseline"/>
          <w:rtl w:val="0"/>
        </w:rPr>
        <w:t xml:space="preserve">Benchmarking</w:t>
      </w:r>
    </w:p>
    <w:p w:rsidR="00000000" w:rsidDel="00000000" w:rsidP="00000000" w:rsidRDefault="00000000" w:rsidRPr="00000000" w14:paraId="0000001A">
      <w:pPr>
        <w:keepNext w:val="1"/>
        <w:keepLines w:val="0"/>
        <w:pageBreakBefore w:val="0"/>
        <w:widowControl w:val="1"/>
        <w:numPr>
          <w:ilvl w:val="1"/>
          <w:numId w:val="1"/>
        </w:numPr>
        <w:pBdr>
          <w:top w:space="0" w:sz="0" w:val="nil"/>
          <w:left w:space="0" w:sz="0" w:val="nil"/>
          <w:bottom w:space="0" w:sz="0" w:val="nil"/>
          <w:right w:space="0" w:sz="0" w:val="nil"/>
          <w:between w:space="0" w:sz="0" w:val="nil"/>
        </w:pBdr>
        <w:shd w:fill="auto" w:val="clear"/>
        <w:tabs>
          <w:tab w:val="left" w:leader="none" w:pos="1134"/>
        </w:tabs>
        <w:spacing w:after="120" w:before="120" w:line="240" w:lineRule="auto"/>
        <w:ind w:left="644" w:right="0" w:hanging="36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How benchmarking works</w:t>
      </w:r>
    </w:p>
    <w:p w:rsidR="00000000" w:rsidDel="00000000" w:rsidP="00000000" w:rsidRDefault="00000000" w:rsidRPr="00000000" w14:paraId="0000001B">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tabs>
          <w:tab w:val="left" w:leader="none" w:pos="1985"/>
        </w:tabs>
        <w:spacing w:after="120" w:before="120" w:line="240" w:lineRule="auto"/>
        <w:ind w:left="2422" w:right="0" w:hanging="72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Buyer and the Supplier recognise that, where specified in Framework Schedule 4 (Framework Management), the Buyer may give CCS the right to enforce the Buyer's rights under this Schedule.</w:t>
      </w:r>
    </w:p>
    <w:p w:rsidR="00000000" w:rsidDel="00000000" w:rsidP="00000000" w:rsidRDefault="00000000" w:rsidRPr="00000000" w14:paraId="0000001C">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tabs>
          <w:tab w:val="left" w:leader="none" w:pos="1985"/>
        </w:tabs>
        <w:spacing w:after="120" w:before="120" w:line="240" w:lineRule="auto"/>
        <w:ind w:left="2422" w:right="0" w:hanging="72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Buyer may, by written notice to the Supplier, require a Benchmark Review of any or all of the Deliverables.</w:t>
      </w:r>
    </w:p>
    <w:p w:rsidR="00000000" w:rsidDel="00000000" w:rsidP="00000000" w:rsidRDefault="00000000" w:rsidRPr="00000000" w14:paraId="0000001D">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tabs>
          <w:tab w:val="left" w:leader="none" w:pos="1985"/>
        </w:tabs>
        <w:spacing w:after="120" w:before="120" w:line="240" w:lineRule="auto"/>
        <w:ind w:left="2422" w:right="0" w:hanging="72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Buyer shall not be entitled to request a Benchmark Review during the first six (6) Month period from the Contract Commencement Date or at intervals of less than twelve (12) Months after any previous Benchmark Review. </w:t>
      </w:r>
    </w:p>
    <w:p w:rsidR="00000000" w:rsidDel="00000000" w:rsidP="00000000" w:rsidRDefault="00000000" w:rsidRPr="00000000" w14:paraId="0000001E">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tabs>
          <w:tab w:val="left" w:leader="none" w:pos="1985"/>
        </w:tabs>
        <w:spacing w:after="120" w:before="120" w:line="240" w:lineRule="auto"/>
        <w:ind w:left="2422" w:right="0" w:hanging="72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purpose of a Benchmark Review will be to establish whether the Benchmarked Deliverables are, individually and/or as a whole, Good Value.</w:t>
      </w:r>
    </w:p>
    <w:p w:rsidR="00000000" w:rsidDel="00000000" w:rsidP="00000000" w:rsidRDefault="00000000" w:rsidRPr="00000000" w14:paraId="0000001F">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tabs>
          <w:tab w:val="left" w:leader="none" w:pos="1985"/>
        </w:tabs>
        <w:spacing w:after="120" w:before="120" w:line="240" w:lineRule="auto"/>
        <w:ind w:left="2422" w:right="0" w:hanging="72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Deliverables that are to be the Benchmarked Deliverables will be identified by the Buyer in writing.</w:t>
      </w:r>
    </w:p>
    <w:p w:rsidR="00000000" w:rsidDel="00000000" w:rsidP="00000000" w:rsidRDefault="00000000" w:rsidRPr="00000000" w14:paraId="00000020">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tabs>
          <w:tab w:val="left" w:leader="none" w:pos="1985"/>
        </w:tabs>
        <w:spacing w:after="120" w:before="120" w:line="240" w:lineRule="auto"/>
        <w:ind w:left="2422" w:right="0" w:hanging="72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Upon its request for a Benchmark Review the Buyer shall nominate a benchmarker.  The Supplier must approve the nomination within ten (10) Working Days unless the Supplier provides a reasonable explanation for rejecting the appointment.   If the appointment is rejected then the Buyer may propose an alternative benchmarker.  If the Parties cannot agree the appointment within twenty (20) days of the initial request for Benchmark review then a benchmarker shall be selected by the Chartered Institute of Financial Accountants. </w:t>
      </w:r>
    </w:p>
    <w:p w:rsidR="00000000" w:rsidDel="00000000" w:rsidP="00000000" w:rsidRDefault="00000000" w:rsidRPr="00000000" w14:paraId="00000021">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tabs>
          <w:tab w:val="left" w:leader="none" w:pos="1985"/>
        </w:tabs>
        <w:spacing w:after="120" w:before="120" w:line="240" w:lineRule="auto"/>
        <w:ind w:left="2422" w:right="0" w:hanging="72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cost of a benchmarker shall be borne by the Buyer (provided that each Party shall bear its own internal costs of the Benchmark Review) except where the Benchmark Review demonstrates that the Benchmarked Service and/or the Benchmarked Deliverables are not Good Value, in which case the Parties shall share the cost of the benchmarker in such proportions as the Parties agree (acting reasonably). Invoices by the benchmarker shall be raised against the Supplier and the relevant portion shall be reimbursed by the Buyer.</w:t>
      </w:r>
    </w:p>
    <w:p w:rsidR="00000000" w:rsidDel="00000000" w:rsidP="00000000" w:rsidRDefault="00000000" w:rsidRPr="00000000" w14:paraId="00000022">
      <w:pPr>
        <w:keepNext w:val="1"/>
        <w:keepLines w:val="0"/>
        <w:pageBreakBefore w:val="0"/>
        <w:widowControl w:val="1"/>
        <w:numPr>
          <w:ilvl w:val="1"/>
          <w:numId w:val="1"/>
        </w:numPr>
        <w:pBdr>
          <w:top w:space="0" w:sz="0" w:val="nil"/>
          <w:left w:space="0" w:sz="0" w:val="nil"/>
          <w:bottom w:space="0" w:sz="0" w:val="nil"/>
          <w:right w:space="0" w:sz="0" w:val="nil"/>
          <w:between w:space="0" w:sz="0" w:val="nil"/>
        </w:pBdr>
        <w:shd w:fill="auto" w:val="clear"/>
        <w:tabs>
          <w:tab w:val="left" w:leader="none" w:pos="1134"/>
        </w:tabs>
        <w:spacing w:after="120" w:before="120" w:line="240" w:lineRule="auto"/>
        <w:ind w:left="644" w:right="0" w:hanging="36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Benchmarking Process</w:t>
      </w:r>
    </w:p>
    <w:p w:rsidR="00000000" w:rsidDel="00000000" w:rsidP="00000000" w:rsidRDefault="00000000" w:rsidRPr="00000000" w14:paraId="00000023">
      <w:pPr>
        <w:keepNext w:val="1"/>
        <w:keepLines w:val="0"/>
        <w:pageBreakBefore w:val="0"/>
        <w:widowControl w:val="1"/>
        <w:numPr>
          <w:ilvl w:val="2"/>
          <w:numId w:val="1"/>
        </w:numPr>
        <w:pBdr>
          <w:top w:space="0" w:sz="0" w:val="nil"/>
          <w:left w:space="0" w:sz="0" w:val="nil"/>
          <w:bottom w:space="0" w:sz="0" w:val="nil"/>
          <w:right w:space="0" w:sz="0" w:val="nil"/>
          <w:between w:space="0" w:sz="0" w:val="nil"/>
        </w:pBdr>
        <w:shd w:fill="auto" w:val="clear"/>
        <w:tabs>
          <w:tab w:val="left" w:leader="none" w:pos="1985"/>
        </w:tabs>
        <w:spacing w:after="120" w:before="120" w:line="240" w:lineRule="auto"/>
        <w:ind w:left="2422" w:right="0" w:hanging="720"/>
        <w:jc w:val="left"/>
        <w:rPr>
          <w:rFonts w:ascii="Arial" w:cs="Arial" w:eastAsia="Arial" w:hAnsi="Arial"/>
          <w:b w:val="0"/>
          <w:i w:val="0"/>
          <w:smallCaps w:val="0"/>
          <w:strike w:val="0"/>
          <w:color w:val="000000"/>
          <w:sz w:val="24"/>
          <w:szCs w:val="24"/>
          <w:u w:val="none"/>
          <w:shd w:fill="auto" w:val="clear"/>
          <w:vertAlign w:val="baseline"/>
        </w:rPr>
      </w:pPr>
      <w:bookmarkStart w:colFirst="0" w:colLast="0" w:name="_heading=h.gjdgxs" w:id="0"/>
      <w:bookmarkEnd w:id="0"/>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benchmarker shall produce and send to the Buyer, for Approval, a draft plan for the Benchmark Review which must include:</w:t>
      </w:r>
    </w:p>
    <w:p w:rsidR="00000000" w:rsidDel="00000000" w:rsidP="00000000" w:rsidRDefault="00000000" w:rsidRPr="00000000" w14:paraId="00000024">
      <w:pPr>
        <w:keepNext w:val="0"/>
        <w:keepLines w:val="0"/>
        <w:pageBreakBefore w:val="0"/>
        <w:widowControl w:val="1"/>
        <w:numPr>
          <w:ilvl w:val="3"/>
          <w:numId w:val="1"/>
        </w:numPr>
        <w:pBdr>
          <w:top w:space="0" w:sz="0" w:val="nil"/>
          <w:left w:space="0" w:sz="0" w:val="nil"/>
          <w:bottom w:space="0" w:sz="0" w:val="nil"/>
          <w:right w:space="0" w:sz="0" w:val="nil"/>
          <w:between w:space="0" w:sz="0" w:val="nil"/>
        </w:pBdr>
        <w:shd w:fill="auto" w:val="clear"/>
        <w:tabs>
          <w:tab w:val="left" w:leader="none" w:pos="1985"/>
        </w:tabs>
        <w:spacing w:after="120" w:before="120" w:line="240" w:lineRule="auto"/>
        <w:ind w:left="2563" w:right="0" w:hanging="72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 proposed cost and timetable for the Benchmark Review;</w:t>
      </w:r>
    </w:p>
    <w:p w:rsidR="00000000" w:rsidDel="00000000" w:rsidP="00000000" w:rsidRDefault="00000000" w:rsidRPr="00000000" w14:paraId="00000025">
      <w:pPr>
        <w:keepNext w:val="0"/>
        <w:keepLines w:val="0"/>
        <w:pageBreakBefore w:val="0"/>
        <w:widowControl w:val="1"/>
        <w:numPr>
          <w:ilvl w:val="3"/>
          <w:numId w:val="1"/>
        </w:numPr>
        <w:pBdr>
          <w:top w:space="0" w:sz="0" w:val="nil"/>
          <w:left w:space="0" w:sz="0" w:val="nil"/>
          <w:bottom w:space="0" w:sz="0" w:val="nil"/>
          <w:right w:space="0" w:sz="0" w:val="nil"/>
          <w:between w:space="0" w:sz="0" w:val="nil"/>
        </w:pBdr>
        <w:shd w:fill="auto" w:val="clear"/>
        <w:tabs>
          <w:tab w:val="left" w:leader="none" w:pos="1985"/>
        </w:tabs>
        <w:spacing w:after="120" w:before="120" w:line="240" w:lineRule="auto"/>
        <w:ind w:left="2563" w:right="0" w:hanging="72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 description of the benchmarking methodology to be used which must demonstrate that the methodology to be used is capable of fulfilling the benchmarking purpose; and</w:t>
      </w:r>
    </w:p>
    <w:p w:rsidR="00000000" w:rsidDel="00000000" w:rsidP="00000000" w:rsidRDefault="00000000" w:rsidRPr="00000000" w14:paraId="00000026">
      <w:pPr>
        <w:keepNext w:val="0"/>
        <w:keepLines w:val="0"/>
        <w:pageBreakBefore w:val="0"/>
        <w:widowControl w:val="1"/>
        <w:numPr>
          <w:ilvl w:val="3"/>
          <w:numId w:val="1"/>
        </w:numPr>
        <w:pBdr>
          <w:top w:space="0" w:sz="0" w:val="nil"/>
          <w:left w:space="0" w:sz="0" w:val="nil"/>
          <w:bottom w:space="0" w:sz="0" w:val="nil"/>
          <w:right w:space="0" w:sz="0" w:val="nil"/>
          <w:between w:space="0" w:sz="0" w:val="nil"/>
        </w:pBdr>
        <w:shd w:fill="auto" w:val="clear"/>
        <w:tabs>
          <w:tab w:val="left" w:leader="none" w:pos="1985"/>
        </w:tabs>
        <w:spacing w:after="120" w:before="120" w:line="240" w:lineRule="auto"/>
        <w:ind w:left="2563" w:right="0" w:hanging="72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 description of how the benchmarker will scope and identify the Comparison Group. </w:t>
      </w:r>
    </w:p>
    <w:p w:rsidR="00000000" w:rsidDel="00000000" w:rsidP="00000000" w:rsidRDefault="00000000" w:rsidRPr="00000000" w14:paraId="00000027">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tabs>
          <w:tab w:val="left" w:leader="none" w:pos="1985"/>
        </w:tabs>
        <w:spacing w:after="120" w:before="120" w:line="240" w:lineRule="auto"/>
        <w:ind w:left="2422" w:right="0" w:hanging="720"/>
        <w:jc w:val="left"/>
        <w:rPr>
          <w:rFonts w:ascii="Arial" w:cs="Arial" w:eastAsia="Arial" w:hAnsi="Arial"/>
          <w:b w:val="0"/>
          <w:i w:val="0"/>
          <w:smallCaps w:val="0"/>
          <w:strike w:val="0"/>
          <w:color w:val="000000"/>
          <w:sz w:val="24"/>
          <w:szCs w:val="24"/>
          <w:u w:val="none"/>
          <w:shd w:fill="auto" w:val="clear"/>
          <w:vertAlign w:val="baseline"/>
        </w:rPr>
      </w:pPr>
      <w:bookmarkStart w:colFirst="0" w:colLast="0" w:name="_heading=h.30j0zll" w:id="1"/>
      <w:bookmarkEnd w:id="1"/>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benchmarker, acting reasonably, shall be entitled to use any model to determine the achievement of value for money and to carry out the benchmarking. </w:t>
      </w:r>
    </w:p>
    <w:p w:rsidR="00000000" w:rsidDel="00000000" w:rsidP="00000000" w:rsidRDefault="00000000" w:rsidRPr="00000000" w14:paraId="00000028">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tabs>
          <w:tab w:val="left" w:leader="none" w:pos="1985"/>
        </w:tabs>
        <w:spacing w:after="120" w:before="120" w:line="240" w:lineRule="auto"/>
        <w:ind w:left="2422" w:right="0" w:hanging="720"/>
        <w:jc w:val="left"/>
        <w:rPr>
          <w:rFonts w:ascii="Arial" w:cs="Arial" w:eastAsia="Arial" w:hAnsi="Arial"/>
          <w:b w:val="0"/>
          <w:i w:val="0"/>
          <w:smallCaps w:val="0"/>
          <w:strike w:val="0"/>
          <w:color w:val="000000"/>
          <w:sz w:val="24"/>
          <w:szCs w:val="24"/>
          <w:u w:val="none"/>
          <w:shd w:fill="auto" w:val="clear"/>
          <w:vertAlign w:val="baseline"/>
        </w:rPr>
      </w:pPr>
      <w:bookmarkStart w:colFirst="0" w:colLast="0" w:name="_heading=h.1fob9te" w:id="2"/>
      <w:bookmarkEnd w:id="2"/>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Buyer must give notice in writing to the Supplier within ten (10) Working Days after receiving the draft plan, advising the benchmarker and the Supplier whether it Approves the draft plan, or, if it does not approve the draft plan, suggesting amendments to that plan (which must be reasonable). If amendments are suggested then the benchmarker must produce an amended draft plan and this Paragraph 3.2.3 shall apply to any amended draft plan.</w:t>
      </w:r>
    </w:p>
    <w:p w:rsidR="00000000" w:rsidDel="00000000" w:rsidP="00000000" w:rsidRDefault="00000000" w:rsidRPr="00000000" w14:paraId="00000029">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tabs>
          <w:tab w:val="left" w:leader="none" w:pos="1985"/>
        </w:tabs>
        <w:spacing w:after="120" w:before="120" w:line="240" w:lineRule="auto"/>
        <w:ind w:left="2422" w:right="0" w:hanging="72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Once both Parties have approved the draft plan then they will notify the benchmarker.  No Party may unreasonably withhold or delay its Approval of the draft plan.</w:t>
      </w:r>
    </w:p>
    <w:p w:rsidR="00000000" w:rsidDel="00000000" w:rsidP="00000000" w:rsidRDefault="00000000" w:rsidRPr="00000000" w14:paraId="0000002A">
      <w:pPr>
        <w:keepNext w:val="1"/>
        <w:keepLines w:val="0"/>
        <w:pageBreakBefore w:val="0"/>
        <w:widowControl w:val="1"/>
        <w:numPr>
          <w:ilvl w:val="2"/>
          <w:numId w:val="1"/>
        </w:numPr>
        <w:pBdr>
          <w:top w:space="0" w:sz="0" w:val="nil"/>
          <w:left w:space="0" w:sz="0" w:val="nil"/>
          <w:bottom w:space="0" w:sz="0" w:val="nil"/>
          <w:right w:space="0" w:sz="0" w:val="nil"/>
          <w:between w:space="0" w:sz="0" w:val="nil"/>
        </w:pBdr>
        <w:shd w:fill="auto" w:val="clear"/>
        <w:tabs>
          <w:tab w:val="left" w:leader="none" w:pos="1985"/>
        </w:tabs>
        <w:spacing w:after="120" w:before="120" w:line="240" w:lineRule="auto"/>
        <w:ind w:left="2422" w:right="0" w:hanging="72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Once it has received the Approval of the draft plan, the benchmarker shall:</w:t>
      </w:r>
    </w:p>
    <w:p w:rsidR="00000000" w:rsidDel="00000000" w:rsidP="00000000" w:rsidRDefault="00000000" w:rsidRPr="00000000" w14:paraId="0000002B">
      <w:pPr>
        <w:keepNext w:val="0"/>
        <w:keepLines w:val="0"/>
        <w:pageBreakBefore w:val="0"/>
        <w:widowControl w:val="1"/>
        <w:numPr>
          <w:ilvl w:val="3"/>
          <w:numId w:val="1"/>
        </w:numPr>
        <w:pBdr>
          <w:top w:space="0" w:sz="0" w:val="nil"/>
          <w:left w:space="0" w:sz="0" w:val="nil"/>
          <w:bottom w:space="0" w:sz="0" w:val="nil"/>
          <w:right w:space="0" w:sz="0" w:val="nil"/>
          <w:between w:space="0" w:sz="0" w:val="nil"/>
        </w:pBdr>
        <w:shd w:fill="auto" w:val="clear"/>
        <w:tabs>
          <w:tab w:val="left" w:leader="none" w:pos="1985"/>
        </w:tabs>
        <w:spacing w:after="120" w:before="120" w:line="240" w:lineRule="auto"/>
        <w:ind w:left="2563" w:right="0" w:hanging="72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finalise the Comparison Group and collect data relating to Comparable Rates. The selection of the Comparable Rates (both in terms of number and identity) shall be a matter for the Supplier's professional </w:t>
      </w:r>
      <w:r w:rsidDel="00000000" w:rsidR="00000000" w:rsidRPr="00000000">
        <w:rPr>
          <w:rFonts w:ascii="Arial" w:cs="Arial" w:eastAsia="Arial" w:hAnsi="Arial"/>
          <w:sz w:val="24"/>
          <w:szCs w:val="24"/>
          <w:rtl w:val="0"/>
        </w:rPr>
        <w:t xml:space="preserve">judgement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using:</w:t>
      </w:r>
    </w:p>
    <w:p w:rsidR="00000000" w:rsidDel="00000000" w:rsidP="00000000" w:rsidRDefault="00000000" w:rsidRPr="00000000" w14:paraId="0000002C">
      <w:pPr>
        <w:keepNext w:val="0"/>
        <w:keepLines w:val="0"/>
        <w:pageBreakBefore w:val="0"/>
        <w:widowControl w:val="1"/>
        <w:numPr>
          <w:ilvl w:val="4"/>
          <w:numId w:val="1"/>
        </w:numPr>
        <w:pBdr>
          <w:top w:space="0" w:sz="0" w:val="nil"/>
          <w:left w:space="0" w:sz="0" w:val="nil"/>
          <w:bottom w:space="0" w:sz="0" w:val="nil"/>
          <w:right w:space="0" w:sz="0" w:val="nil"/>
          <w:between w:space="0" w:sz="0" w:val="nil"/>
        </w:pBdr>
        <w:shd w:fill="auto" w:val="clear"/>
        <w:tabs>
          <w:tab w:val="left" w:leader="none" w:pos="3119"/>
        </w:tabs>
        <w:spacing w:after="120" w:before="120" w:line="240" w:lineRule="auto"/>
        <w:ind w:left="1440" w:right="0" w:hanging="108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market intelligence;</w:t>
      </w:r>
    </w:p>
    <w:p w:rsidR="00000000" w:rsidDel="00000000" w:rsidP="00000000" w:rsidRDefault="00000000" w:rsidRPr="00000000" w14:paraId="0000002D">
      <w:pPr>
        <w:keepNext w:val="0"/>
        <w:keepLines w:val="0"/>
        <w:pageBreakBefore w:val="0"/>
        <w:widowControl w:val="1"/>
        <w:numPr>
          <w:ilvl w:val="4"/>
          <w:numId w:val="1"/>
        </w:numPr>
        <w:pBdr>
          <w:top w:space="0" w:sz="0" w:val="nil"/>
          <w:left w:space="0" w:sz="0" w:val="nil"/>
          <w:bottom w:space="0" w:sz="0" w:val="nil"/>
          <w:right w:space="0" w:sz="0" w:val="nil"/>
          <w:between w:space="0" w:sz="0" w:val="nil"/>
        </w:pBdr>
        <w:shd w:fill="auto" w:val="clear"/>
        <w:tabs>
          <w:tab w:val="left" w:leader="none" w:pos="3119"/>
        </w:tabs>
        <w:spacing w:after="120" w:before="120" w:line="240" w:lineRule="auto"/>
        <w:ind w:left="1440" w:right="0" w:hanging="108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benchmarker’s own data and experience;</w:t>
      </w:r>
    </w:p>
    <w:p w:rsidR="00000000" w:rsidDel="00000000" w:rsidP="00000000" w:rsidRDefault="00000000" w:rsidRPr="00000000" w14:paraId="0000002E">
      <w:pPr>
        <w:keepNext w:val="0"/>
        <w:keepLines w:val="0"/>
        <w:pageBreakBefore w:val="0"/>
        <w:widowControl w:val="1"/>
        <w:numPr>
          <w:ilvl w:val="4"/>
          <w:numId w:val="1"/>
        </w:numPr>
        <w:pBdr>
          <w:top w:space="0" w:sz="0" w:val="nil"/>
          <w:left w:space="0" w:sz="0" w:val="nil"/>
          <w:bottom w:space="0" w:sz="0" w:val="nil"/>
          <w:right w:space="0" w:sz="0" w:val="nil"/>
          <w:between w:space="0" w:sz="0" w:val="nil"/>
        </w:pBdr>
        <w:shd w:fill="auto" w:val="clear"/>
        <w:tabs>
          <w:tab w:val="left" w:leader="none" w:pos="3119"/>
        </w:tabs>
        <w:spacing w:after="120" w:before="120" w:line="240" w:lineRule="auto"/>
        <w:ind w:left="1440" w:right="0" w:hanging="108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relevant published information; and</w:t>
      </w:r>
    </w:p>
    <w:p w:rsidR="00000000" w:rsidDel="00000000" w:rsidP="00000000" w:rsidRDefault="00000000" w:rsidRPr="00000000" w14:paraId="0000002F">
      <w:pPr>
        <w:keepNext w:val="0"/>
        <w:keepLines w:val="0"/>
        <w:pageBreakBefore w:val="0"/>
        <w:widowControl w:val="1"/>
        <w:numPr>
          <w:ilvl w:val="4"/>
          <w:numId w:val="1"/>
        </w:numPr>
        <w:pBdr>
          <w:top w:space="0" w:sz="0" w:val="nil"/>
          <w:left w:space="0" w:sz="0" w:val="nil"/>
          <w:bottom w:space="0" w:sz="0" w:val="nil"/>
          <w:right w:space="0" w:sz="0" w:val="nil"/>
          <w:between w:space="0" w:sz="0" w:val="nil"/>
        </w:pBdr>
        <w:shd w:fill="auto" w:val="clear"/>
        <w:tabs>
          <w:tab w:val="left" w:leader="none" w:pos="3119"/>
        </w:tabs>
        <w:spacing w:after="120" w:before="120" w:line="240" w:lineRule="auto"/>
        <w:ind w:left="1440" w:right="0" w:hanging="1080"/>
        <w:jc w:val="left"/>
        <w:rPr>
          <w:rFonts w:ascii="Arial" w:cs="Arial" w:eastAsia="Arial" w:hAnsi="Arial"/>
          <w:b w:val="0"/>
          <w:i w:val="0"/>
          <w:smallCaps w:val="0"/>
          <w:strike w:val="0"/>
          <w:color w:val="000000"/>
          <w:sz w:val="24"/>
          <w:szCs w:val="24"/>
          <w:u w:val="none"/>
          <w:shd w:fill="auto" w:val="clear"/>
          <w:vertAlign w:val="baseline"/>
        </w:rPr>
      </w:pPr>
      <w:bookmarkStart w:colFirst="0" w:colLast="0" w:name="_heading=h.3znysh7" w:id="3"/>
      <w:bookmarkEnd w:id="3"/>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pursuant to Paragraph 3.2.6  below, information from other suppliers or purchasers on Comparable Rates;</w:t>
      </w:r>
    </w:p>
    <w:p w:rsidR="00000000" w:rsidDel="00000000" w:rsidP="00000000" w:rsidRDefault="00000000" w:rsidRPr="00000000" w14:paraId="00000030">
      <w:pPr>
        <w:keepNext w:val="0"/>
        <w:keepLines w:val="0"/>
        <w:pageBreakBefore w:val="0"/>
        <w:widowControl w:val="1"/>
        <w:numPr>
          <w:ilvl w:val="3"/>
          <w:numId w:val="1"/>
        </w:numPr>
        <w:pBdr>
          <w:top w:space="0" w:sz="0" w:val="nil"/>
          <w:left w:space="0" w:sz="0" w:val="nil"/>
          <w:bottom w:space="0" w:sz="0" w:val="nil"/>
          <w:right w:space="0" w:sz="0" w:val="nil"/>
          <w:between w:space="0" w:sz="0" w:val="nil"/>
        </w:pBdr>
        <w:shd w:fill="auto" w:val="clear"/>
        <w:tabs>
          <w:tab w:val="left" w:leader="none" w:pos="1985"/>
        </w:tabs>
        <w:spacing w:after="120" w:before="120" w:line="240" w:lineRule="auto"/>
        <w:ind w:left="2563" w:right="0" w:hanging="72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by applying the adjustment factors listed in Paragraph 3.2.7 and from an analysis of the Comparable Rates, derive the Equivalent Data;</w:t>
      </w:r>
    </w:p>
    <w:p w:rsidR="00000000" w:rsidDel="00000000" w:rsidP="00000000" w:rsidRDefault="00000000" w:rsidRPr="00000000" w14:paraId="00000031">
      <w:pPr>
        <w:keepNext w:val="0"/>
        <w:keepLines w:val="0"/>
        <w:pageBreakBefore w:val="0"/>
        <w:widowControl w:val="1"/>
        <w:numPr>
          <w:ilvl w:val="3"/>
          <w:numId w:val="1"/>
        </w:numPr>
        <w:pBdr>
          <w:top w:space="0" w:sz="0" w:val="nil"/>
          <w:left w:space="0" w:sz="0" w:val="nil"/>
          <w:bottom w:space="0" w:sz="0" w:val="nil"/>
          <w:right w:space="0" w:sz="0" w:val="nil"/>
          <w:between w:space="0" w:sz="0" w:val="nil"/>
        </w:pBdr>
        <w:shd w:fill="auto" w:val="clear"/>
        <w:tabs>
          <w:tab w:val="left" w:leader="none" w:pos="1985"/>
        </w:tabs>
        <w:spacing w:after="120" w:before="120" w:line="240" w:lineRule="auto"/>
        <w:ind w:left="2563" w:right="0" w:hanging="72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using the Equivalent Data, calculate the Upper Quartile;</w:t>
      </w:r>
    </w:p>
    <w:p w:rsidR="00000000" w:rsidDel="00000000" w:rsidP="00000000" w:rsidRDefault="00000000" w:rsidRPr="00000000" w14:paraId="00000032">
      <w:pPr>
        <w:keepNext w:val="0"/>
        <w:keepLines w:val="0"/>
        <w:pageBreakBefore w:val="0"/>
        <w:widowControl w:val="1"/>
        <w:numPr>
          <w:ilvl w:val="3"/>
          <w:numId w:val="1"/>
        </w:numPr>
        <w:pBdr>
          <w:top w:space="0" w:sz="0" w:val="nil"/>
          <w:left w:space="0" w:sz="0" w:val="nil"/>
          <w:bottom w:space="0" w:sz="0" w:val="nil"/>
          <w:right w:space="0" w:sz="0" w:val="nil"/>
          <w:between w:space="0" w:sz="0" w:val="nil"/>
        </w:pBdr>
        <w:shd w:fill="auto" w:val="clear"/>
        <w:tabs>
          <w:tab w:val="left" w:leader="none" w:pos="1985"/>
        </w:tabs>
        <w:spacing w:after="120" w:before="120" w:line="240" w:lineRule="auto"/>
        <w:ind w:left="2563" w:right="0" w:hanging="72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determine whether or not each Benchmarked Rate is, and/or the Benchmarked Rates as a whole are, Good Value.</w:t>
      </w:r>
    </w:p>
    <w:p w:rsidR="00000000" w:rsidDel="00000000" w:rsidP="00000000" w:rsidRDefault="00000000" w:rsidRPr="00000000" w14:paraId="00000033">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tabs>
          <w:tab w:val="left" w:leader="none" w:pos="1985"/>
        </w:tabs>
        <w:spacing w:after="120" w:before="120" w:line="240" w:lineRule="auto"/>
        <w:ind w:left="2422" w:right="0" w:hanging="720"/>
        <w:jc w:val="left"/>
        <w:rPr>
          <w:rFonts w:ascii="Arial" w:cs="Arial" w:eastAsia="Arial" w:hAnsi="Arial"/>
          <w:b w:val="0"/>
          <w:i w:val="0"/>
          <w:smallCaps w:val="0"/>
          <w:strike w:val="0"/>
          <w:color w:val="000000"/>
          <w:sz w:val="24"/>
          <w:szCs w:val="24"/>
          <w:u w:val="none"/>
          <w:shd w:fill="auto" w:val="clear"/>
          <w:vertAlign w:val="baseline"/>
        </w:rPr>
      </w:pPr>
      <w:bookmarkStart w:colFirst="0" w:colLast="0" w:name="_heading=h.2et92p0" w:id="4"/>
      <w:bookmarkEnd w:id="4"/>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Supplier shall use all reasonable endeavours and act in good faith to supply information required by the benchmarker in order to undertake the benchmarking.  The Supplier agrees to use its reasonable endeavours to obtain information from other suppliers or purchasers on Comparable Rates.</w:t>
      </w:r>
    </w:p>
    <w:p w:rsidR="00000000" w:rsidDel="00000000" w:rsidP="00000000" w:rsidRDefault="00000000" w:rsidRPr="00000000" w14:paraId="00000034">
      <w:pPr>
        <w:keepNext w:val="1"/>
        <w:keepLines w:val="0"/>
        <w:pageBreakBefore w:val="0"/>
        <w:widowControl w:val="1"/>
        <w:numPr>
          <w:ilvl w:val="2"/>
          <w:numId w:val="1"/>
        </w:numPr>
        <w:pBdr>
          <w:top w:space="0" w:sz="0" w:val="nil"/>
          <w:left w:space="0" w:sz="0" w:val="nil"/>
          <w:bottom w:space="0" w:sz="0" w:val="nil"/>
          <w:right w:space="0" w:sz="0" w:val="nil"/>
          <w:between w:space="0" w:sz="0" w:val="nil"/>
        </w:pBdr>
        <w:shd w:fill="auto" w:val="clear"/>
        <w:tabs>
          <w:tab w:val="left" w:leader="none" w:pos="1985"/>
        </w:tabs>
        <w:spacing w:after="120" w:before="120" w:line="240" w:lineRule="auto"/>
        <w:ind w:left="2422" w:right="0" w:hanging="720"/>
        <w:jc w:val="left"/>
        <w:rPr>
          <w:rFonts w:ascii="Arial" w:cs="Arial" w:eastAsia="Arial" w:hAnsi="Arial"/>
          <w:b w:val="0"/>
          <w:i w:val="0"/>
          <w:smallCaps w:val="0"/>
          <w:strike w:val="0"/>
          <w:color w:val="000000"/>
          <w:sz w:val="24"/>
          <w:szCs w:val="24"/>
          <w:u w:val="none"/>
          <w:shd w:fill="auto" w:val="clear"/>
          <w:vertAlign w:val="baseline"/>
        </w:rPr>
      </w:pPr>
      <w:bookmarkStart w:colFirst="0" w:colLast="0" w:name="_heading=h.tyjcwt" w:id="5"/>
      <w:bookmarkEnd w:id="5"/>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In carrying out the benchmarking analysis the benchmarker may have regard to the following matters when performing a comparative assessment of the Benchmarked Rates and the Comparable Rates in order to derive Equivalent Data:</w:t>
      </w:r>
    </w:p>
    <w:p w:rsidR="00000000" w:rsidDel="00000000" w:rsidP="00000000" w:rsidRDefault="00000000" w:rsidRPr="00000000" w14:paraId="00000035">
      <w:pPr>
        <w:keepNext w:val="0"/>
        <w:keepLines w:val="0"/>
        <w:pageBreakBefore w:val="0"/>
        <w:widowControl w:val="1"/>
        <w:numPr>
          <w:ilvl w:val="3"/>
          <w:numId w:val="1"/>
        </w:numPr>
        <w:pBdr>
          <w:top w:space="0" w:sz="0" w:val="nil"/>
          <w:left w:space="0" w:sz="0" w:val="nil"/>
          <w:bottom w:space="0" w:sz="0" w:val="nil"/>
          <w:right w:space="0" w:sz="0" w:val="nil"/>
          <w:between w:space="0" w:sz="0" w:val="nil"/>
        </w:pBdr>
        <w:shd w:fill="auto" w:val="clear"/>
        <w:tabs>
          <w:tab w:val="left" w:leader="none" w:pos="1985"/>
        </w:tabs>
        <w:spacing w:after="120" w:before="120" w:line="240" w:lineRule="auto"/>
        <w:ind w:left="2563" w:right="0" w:hanging="72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contractual terms and business environment under which the Comparable Rates are being provided (including the scale and geographical spread of the customers);</w:t>
      </w:r>
    </w:p>
    <w:p w:rsidR="00000000" w:rsidDel="00000000" w:rsidP="00000000" w:rsidRDefault="00000000" w:rsidRPr="00000000" w14:paraId="00000036">
      <w:pPr>
        <w:keepNext w:val="0"/>
        <w:keepLines w:val="0"/>
        <w:pageBreakBefore w:val="0"/>
        <w:widowControl w:val="1"/>
        <w:numPr>
          <w:ilvl w:val="3"/>
          <w:numId w:val="1"/>
        </w:numPr>
        <w:pBdr>
          <w:top w:space="0" w:sz="0" w:val="nil"/>
          <w:left w:space="0" w:sz="0" w:val="nil"/>
          <w:bottom w:space="0" w:sz="0" w:val="nil"/>
          <w:right w:space="0" w:sz="0" w:val="nil"/>
          <w:between w:space="0" w:sz="0" w:val="nil"/>
        </w:pBdr>
        <w:shd w:fill="auto" w:val="clear"/>
        <w:tabs>
          <w:tab w:val="left" w:leader="none" w:pos="1985"/>
        </w:tabs>
        <w:spacing w:after="120" w:before="120" w:line="240" w:lineRule="auto"/>
        <w:ind w:left="2563" w:right="0" w:hanging="72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exchange rates;</w:t>
      </w:r>
    </w:p>
    <w:p w:rsidR="00000000" w:rsidDel="00000000" w:rsidP="00000000" w:rsidRDefault="00000000" w:rsidRPr="00000000" w14:paraId="00000037">
      <w:pPr>
        <w:keepNext w:val="0"/>
        <w:keepLines w:val="0"/>
        <w:pageBreakBefore w:val="0"/>
        <w:widowControl w:val="1"/>
        <w:numPr>
          <w:ilvl w:val="3"/>
          <w:numId w:val="1"/>
        </w:numPr>
        <w:pBdr>
          <w:top w:space="0" w:sz="0" w:val="nil"/>
          <w:left w:space="0" w:sz="0" w:val="nil"/>
          <w:bottom w:space="0" w:sz="0" w:val="nil"/>
          <w:right w:space="0" w:sz="0" w:val="nil"/>
          <w:between w:space="0" w:sz="0" w:val="nil"/>
        </w:pBdr>
        <w:shd w:fill="auto" w:val="clear"/>
        <w:tabs>
          <w:tab w:val="left" w:leader="none" w:pos="1985"/>
        </w:tabs>
        <w:spacing w:after="120" w:before="120" w:line="240" w:lineRule="auto"/>
        <w:ind w:left="2563" w:right="0" w:hanging="72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any other factors reasonably identified by the Supplier, which, if not taken into consideration, could unfairly cause the Supplier's pricing to appear non-competitive.</w:t>
      </w:r>
    </w:p>
    <w:p w:rsidR="00000000" w:rsidDel="00000000" w:rsidP="00000000" w:rsidRDefault="00000000" w:rsidRPr="00000000" w14:paraId="00000038">
      <w:pPr>
        <w:keepNext w:val="1"/>
        <w:keepLines w:val="0"/>
        <w:pageBreakBefore w:val="0"/>
        <w:widowControl w:val="1"/>
        <w:numPr>
          <w:ilvl w:val="1"/>
          <w:numId w:val="1"/>
        </w:numPr>
        <w:pBdr>
          <w:top w:space="0" w:sz="0" w:val="nil"/>
          <w:left w:space="0" w:sz="0" w:val="nil"/>
          <w:bottom w:space="0" w:sz="0" w:val="nil"/>
          <w:right w:space="0" w:sz="0" w:val="nil"/>
          <w:between w:space="0" w:sz="0" w:val="nil"/>
        </w:pBdr>
        <w:shd w:fill="auto" w:val="clear"/>
        <w:tabs>
          <w:tab w:val="left" w:leader="none" w:pos="1134"/>
        </w:tabs>
        <w:spacing w:after="120" w:before="120" w:line="240" w:lineRule="auto"/>
        <w:ind w:left="648" w:right="0" w:hanging="216"/>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Benchmarking Report</w:t>
      </w:r>
    </w:p>
    <w:p w:rsidR="00000000" w:rsidDel="00000000" w:rsidP="00000000" w:rsidRDefault="00000000" w:rsidRPr="00000000" w14:paraId="00000039">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tabs>
          <w:tab w:val="left" w:leader="none" w:pos="1985"/>
        </w:tabs>
        <w:spacing w:after="120" w:before="120" w:line="240" w:lineRule="auto"/>
        <w:ind w:left="2422" w:right="0" w:hanging="72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For the purposes of this Schedule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"Benchmarking Report"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shall mean the report produced by the benchmarker following the Benchmark Review and as further described in this Schedule;</w:t>
      </w:r>
    </w:p>
    <w:p w:rsidR="00000000" w:rsidDel="00000000" w:rsidP="00000000" w:rsidRDefault="00000000" w:rsidRPr="00000000" w14:paraId="0000003A">
      <w:pPr>
        <w:keepNext w:val="1"/>
        <w:keepLines w:val="0"/>
        <w:pageBreakBefore w:val="0"/>
        <w:widowControl w:val="1"/>
        <w:numPr>
          <w:ilvl w:val="2"/>
          <w:numId w:val="1"/>
        </w:numPr>
        <w:pBdr>
          <w:top w:space="0" w:sz="0" w:val="nil"/>
          <w:left w:space="0" w:sz="0" w:val="nil"/>
          <w:bottom w:space="0" w:sz="0" w:val="nil"/>
          <w:right w:space="0" w:sz="0" w:val="nil"/>
          <w:between w:space="0" w:sz="0" w:val="nil"/>
        </w:pBdr>
        <w:shd w:fill="auto" w:val="clear"/>
        <w:tabs>
          <w:tab w:val="left" w:leader="none" w:pos="1985"/>
        </w:tabs>
        <w:spacing w:after="120" w:before="120" w:line="240" w:lineRule="auto"/>
        <w:ind w:left="2422" w:right="0" w:hanging="72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benchmarker shall prepare a Benchmarking Report and deliver it to the Buyer, at the time specified in the plan Approved pursuant to Paragraph 3.2.3, setting out its findings.  Those findings shall be required to:</w:t>
      </w:r>
    </w:p>
    <w:p w:rsidR="00000000" w:rsidDel="00000000" w:rsidP="00000000" w:rsidRDefault="00000000" w:rsidRPr="00000000" w14:paraId="0000003B">
      <w:pPr>
        <w:keepNext w:val="0"/>
        <w:keepLines w:val="0"/>
        <w:pageBreakBefore w:val="0"/>
        <w:widowControl w:val="1"/>
        <w:numPr>
          <w:ilvl w:val="3"/>
          <w:numId w:val="1"/>
        </w:numPr>
        <w:pBdr>
          <w:top w:space="0" w:sz="0" w:val="nil"/>
          <w:left w:space="0" w:sz="0" w:val="nil"/>
          <w:bottom w:space="0" w:sz="0" w:val="nil"/>
          <w:right w:space="0" w:sz="0" w:val="nil"/>
          <w:between w:space="0" w:sz="0" w:val="nil"/>
        </w:pBdr>
        <w:shd w:fill="auto" w:val="clear"/>
        <w:tabs>
          <w:tab w:val="left" w:leader="none" w:pos="1985"/>
        </w:tabs>
        <w:spacing w:after="120" w:before="120" w:line="240" w:lineRule="auto"/>
        <w:ind w:left="2563" w:right="0" w:hanging="72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include a finding as to whether or not a Benchmarked Service and/or whether the Benchmarked Deliverables as a whole are, Good Value;</w:t>
      </w:r>
    </w:p>
    <w:p w:rsidR="00000000" w:rsidDel="00000000" w:rsidP="00000000" w:rsidRDefault="00000000" w:rsidRPr="00000000" w14:paraId="0000003C">
      <w:pPr>
        <w:keepNext w:val="0"/>
        <w:keepLines w:val="0"/>
        <w:pageBreakBefore w:val="0"/>
        <w:widowControl w:val="1"/>
        <w:numPr>
          <w:ilvl w:val="3"/>
          <w:numId w:val="1"/>
        </w:numPr>
        <w:pBdr>
          <w:top w:space="0" w:sz="0" w:val="nil"/>
          <w:left w:space="0" w:sz="0" w:val="nil"/>
          <w:bottom w:space="0" w:sz="0" w:val="nil"/>
          <w:right w:space="0" w:sz="0" w:val="nil"/>
          <w:between w:space="0" w:sz="0" w:val="nil"/>
        </w:pBdr>
        <w:shd w:fill="auto" w:val="clear"/>
        <w:tabs>
          <w:tab w:val="left" w:leader="none" w:pos="1985"/>
        </w:tabs>
        <w:spacing w:after="120" w:before="120" w:line="240" w:lineRule="auto"/>
        <w:ind w:left="2563" w:right="0" w:hanging="72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if any of the Benchmarked Deliverables are, individually or as a whole, not Good Value, specify the changes that would be required to make that Benchmarked Service or the Benchmarked Deliverables as a whole Good Value; and </w:t>
      </w:r>
    </w:p>
    <w:p w:rsidR="00000000" w:rsidDel="00000000" w:rsidP="00000000" w:rsidRDefault="00000000" w:rsidRPr="00000000" w14:paraId="0000003D">
      <w:pPr>
        <w:keepNext w:val="0"/>
        <w:keepLines w:val="0"/>
        <w:pageBreakBefore w:val="0"/>
        <w:widowControl w:val="1"/>
        <w:numPr>
          <w:ilvl w:val="3"/>
          <w:numId w:val="1"/>
        </w:numPr>
        <w:pBdr>
          <w:top w:space="0" w:sz="0" w:val="nil"/>
          <w:left w:space="0" w:sz="0" w:val="nil"/>
          <w:bottom w:space="0" w:sz="0" w:val="nil"/>
          <w:right w:space="0" w:sz="0" w:val="nil"/>
          <w:between w:space="0" w:sz="0" w:val="nil"/>
        </w:pBdr>
        <w:shd w:fill="auto" w:val="clear"/>
        <w:tabs>
          <w:tab w:val="left" w:leader="none" w:pos="1985"/>
        </w:tabs>
        <w:spacing w:after="120" w:before="120" w:line="240" w:lineRule="auto"/>
        <w:ind w:left="2563" w:right="0" w:hanging="72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include sufficient detail and transparency so that the Party requesting the Benchmarking can interpret and understand how the Supplier has calculated whether or not the Benchmarked Deliverables are, individually or as a whole, Good Value.</w:t>
      </w:r>
    </w:p>
    <w:p w:rsidR="00000000" w:rsidDel="00000000" w:rsidP="00000000" w:rsidRDefault="00000000" w:rsidRPr="00000000" w14:paraId="0000003E">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tabs>
          <w:tab w:val="left" w:leader="none" w:pos="1985"/>
        </w:tabs>
        <w:spacing w:after="120" w:before="120" w:line="240" w:lineRule="auto"/>
        <w:ind w:left="2422" w:right="0" w:hanging="720"/>
        <w:jc w:val="left"/>
        <w:rPr>
          <w:rFonts w:ascii="Arial" w:cs="Arial" w:eastAsia="Arial" w:hAnsi="Arial"/>
          <w:b w:val="0"/>
          <w:i w:val="0"/>
          <w:smallCaps w:val="0"/>
          <w:strike w:val="0"/>
          <w:color w:val="000000"/>
          <w:sz w:val="24"/>
          <w:szCs w:val="24"/>
          <w:u w:val="none"/>
          <w:shd w:fill="auto" w:val="clear"/>
          <w:vertAlign w:val="baseline"/>
        </w:rPr>
        <w:sectPr>
          <w:headerReference r:id="rId7" w:type="default"/>
          <w:headerReference r:id="rId8" w:type="first"/>
          <w:footerReference r:id="rId9" w:type="default"/>
          <w:footerReference r:id="rId10" w:type="first"/>
          <w:pgSz w:h="16838" w:w="11906" w:orient="portrait"/>
          <w:pgMar w:bottom="1440" w:top="1440" w:left="1440" w:right="1440" w:header="709" w:footer="709"/>
          <w:pgNumType w:start="1"/>
        </w:sect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Parties agree that any changes required to this Contract identified in the Benchmarking Report shall be implemented at the direction of the Buyer in accordance with Clause 24 (Changing the contract).</w:t>
      </w:r>
    </w:p>
    <w:p w:rsidR="00000000" w:rsidDel="00000000" w:rsidP="00000000" w:rsidRDefault="00000000" w:rsidRPr="00000000" w14:paraId="0000003F">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985"/>
        </w:tabs>
        <w:spacing w:after="120" w:before="120" w:line="240" w:lineRule="auto"/>
        <w:ind w:left="1656" w:right="0" w:hanging="72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sectPr>
      <w:type w:val="nextPage"/>
      <w:pgSz w:h="16838" w:w="11906" w:orient="portrait"/>
      <w:pgMar w:bottom="1440" w:top="1440" w:left="1440" w:right="1440" w:header="709" w:footer="709"/>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Arial"/>
  <w:font w:name="Arial Bold"/>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45">
    <w:pPr>
      <w:tabs>
        <w:tab w:val="center" w:leader="none" w:pos="4513"/>
        <w:tab w:val="right" w:leader="none" w:pos="9026"/>
      </w:tabs>
      <w:spacing w:after="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Framework Ref: RM</w:t>
      <w:tab/>
      <w:t xml:space="preserve">                                           </w:t>
    </w:r>
  </w:p>
  <w:p w:rsidR="00000000" w:rsidDel="00000000" w:rsidP="00000000" w:rsidRDefault="00000000" w:rsidRPr="00000000" w14:paraId="00000046">
    <w:pPr>
      <w:keepNext w:val="0"/>
      <w:keepLines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Project Version: v1.0</w:t>
      <w:tab/>
      <w:tab/>
      <w:tab/>
      <w:t xml:space="preserve"> </w:t>
    </w:r>
    <w:r w:rsidDel="00000000" w:rsidR="00000000" w:rsidRPr="00000000">
      <w:rPr>
        <w:rFonts w:ascii="Arial" w:cs="Arial" w:eastAsia="Arial" w:hAnsi="Arial"/>
        <w:b w:val="0"/>
        <w:i w:val="0"/>
        <w:smallCaps w:val="0"/>
        <w:strike w:val="0"/>
        <w:color w:val="000000"/>
        <w:sz w:val="20"/>
        <w:szCs w:val="20"/>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47">
    <w:pPr>
      <w:tabs>
        <w:tab w:val="center" w:leader="none" w:pos="4513"/>
        <w:tab w:val="right" w:leader="none" w:pos="9026"/>
      </w:tabs>
      <w:spacing w:after="0" w:lineRule="auto"/>
      <w:rPr/>
    </w:pPr>
    <w:r w:rsidDel="00000000" w:rsidR="00000000" w:rsidRPr="00000000">
      <w:rPr>
        <w:rFonts w:ascii="Arial" w:cs="Arial" w:eastAsia="Arial" w:hAnsi="Arial"/>
        <w:sz w:val="20"/>
        <w:szCs w:val="20"/>
        <w:rtl w:val="0"/>
      </w:rPr>
      <w:t xml:space="preserve">Model Version: v3.0</w:t>
      <w:tab/>
    </w:r>
    <w:r w:rsidDel="00000000" w:rsidR="00000000" w:rsidRPr="00000000">
      <w:rPr>
        <w:rtl w:val="0"/>
      </w:rPr>
      <w:tab/>
      <w:tab/>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48">
    <w:pPr>
      <w:tabs>
        <w:tab w:val="center" w:leader="none" w:pos="4513"/>
        <w:tab w:val="right" w:leader="none" w:pos="9026"/>
      </w:tabs>
      <w:spacing w:after="0" w:lineRule="auto"/>
      <w:rPr>
        <w:rFonts w:ascii="Arial" w:cs="Arial" w:eastAsia="Arial" w:hAnsi="Arial"/>
        <w:sz w:val="20"/>
        <w:szCs w:val="20"/>
      </w:rPr>
    </w:pPr>
    <w:r w:rsidDel="00000000" w:rsidR="00000000" w:rsidRPr="00000000">
      <w:rPr>
        <w:rtl w:val="0"/>
      </w:rPr>
    </w:r>
  </w:p>
  <w:p w:rsidR="00000000" w:rsidDel="00000000" w:rsidP="00000000" w:rsidRDefault="00000000" w:rsidRPr="00000000" w14:paraId="00000049">
    <w:pPr>
      <w:tabs>
        <w:tab w:val="center" w:leader="none" w:pos="4513"/>
        <w:tab w:val="right" w:leader="none" w:pos="9026"/>
      </w:tabs>
      <w:spacing w:after="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Framework Ref: RM6297 Print and Digital Communications</w:t>
    </w:r>
  </w:p>
  <w:p w:rsidR="00000000" w:rsidDel="00000000" w:rsidP="00000000" w:rsidRDefault="00000000" w:rsidRPr="00000000" w14:paraId="0000004A">
    <w:pPr>
      <w:keepNext w:val="0"/>
      <w:keepLines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Project Version: v1.0</w:t>
      <w:tab/>
      <w:tab/>
      <w:t xml:space="preserve"> </w:t>
    </w:r>
    <w:r w:rsidDel="00000000" w:rsidR="00000000" w:rsidRPr="00000000">
      <w:rPr>
        <w:rFonts w:ascii="Arial" w:cs="Arial" w:eastAsia="Arial" w:hAnsi="Arial"/>
        <w:b w:val="0"/>
        <w:i w:val="0"/>
        <w:smallCaps w:val="0"/>
        <w:strike w:val="0"/>
        <w:color w:val="000000"/>
        <w:sz w:val="20"/>
        <w:szCs w:val="20"/>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4B">
    <w:pPr>
      <w:tabs>
        <w:tab w:val="center" w:leader="none" w:pos="4513"/>
        <w:tab w:val="right" w:leader="none" w:pos="9026"/>
      </w:tabs>
      <w:spacing w:after="0" w:lineRule="auto"/>
      <w:rPr/>
    </w:pPr>
    <w:r w:rsidDel="00000000" w:rsidR="00000000" w:rsidRPr="00000000">
      <w:rPr>
        <w:rFonts w:ascii="Arial" w:cs="Arial" w:eastAsia="Arial" w:hAnsi="Arial"/>
        <w:sz w:val="20"/>
        <w:szCs w:val="20"/>
        <w:rtl w:val="0"/>
      </w:rPr>
      <w:t xml:space="preserve">Model Version: v3.3</w:t>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40">
    <w:pPr>
      <w:keepNext w:val="0"/>
      <w:keepLines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5714365</wp:posOffset>
          </wp:positionH>
          <wp:positionV relativeFrom="paragraph">
            <wp:posOffset>-13331</wp:posOffset>
          </wp:positionV>
          <wp:extent cx="849085" cy="685627"/>
          <wp:effectExtent b="0" l="0" r="0" t="0"/>
          <wp:wrapNone/>
          <wp:docPr descr="Crown Commercial Service" id="4" name="image1.png"/>
          <a:graphic>
            <a:graphicData uri="http://schemas.openxmlformats.org/drawingml/2006/picture">
              <pic:pic>
                <pic:nvPicPr>
                  <pic:cNvPr descr="Crown Commercial Service" id="0" name="image1.png"/>
                  <pic:cNvPicPr preferRelativeResize="0"/>
                </pic:nvPicPr>
                <pic:blipFill>
                  <a:blip r:embed="rId1"/>
                  <a:srcRect b="0" l="0" r="0" t="0"/>
                  <a:stretch>
                    <a:fillRect/>
                  </a:stretch>
                </pic:blipFill>
                <pic:spPr>
                  <a:xfrm>
                    <a:off x="0" y="0"/>
                    <a:ext cx="849085" cy="685627"/>
                  </a:xfrm>
                  <a:prstGeom prst="rect"/>
                  <a:ln/>
                </pic:spPr>
              </pic:pic>
            </a:graphicData>
          </a:graphic>
        </wp:anchor>
      </w:drawing>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41">
    <w:pPr>
      <w:keepNext w:val="0"/>
      <w:keepLines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Call-Off Schedule 16 (Benchmarking)</w:t>
    </w:r>
    <w:r w:rsidDel="00000000" w:rsidR="00000000" w:rsidRPr="00000000">
      <w:rPr>
        <w:rtl w:val="0"/>
      </w:rPr>
    </w:r>
  </w:p>
  <w:p w:rsidR="00000000" w:rsidDel="00000000" w:rsidP="00000000" w:rsidRDefault="00000000" w:rsidRPr="00000000" w14:paraId="00000042">
    <w:pPr>
      <w:keepNext w:val="0"/>
      <w:keepLines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Call-Off Ref:</w:t>
    </w:r>
  </w:p>
  <w:p w:rsidR="00000000" w:rsidDel="00000000" w:rsidP="00000000" w:rsidRDefault="00000000" w:rsidRPr="00000000" w14:paraId="00000043">
    <w:pPr>
      <w:keepNext w:val="0"/>
      <w:keepLines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Crown Copyright 20</w:t>
    </w:r>
    <w:r w:rsidDel="00000000" w:rsidR="00000000" w:rsidRPr="00000000">
      <w:rPr>
        <w:rFonts w:ascii="Arial" w:cs="Arial" w:eastAsia="Arial" w:hAnsi="Arial"/>
        <w:sz w:val="20"/>
        <w:szCs w:val="20"/>
        <w:rtl w:val="0"/>
      </w:rPr>
      <w:t xml:space="preserve">23</w:t>
    </w:r>
    <w:r w:rsidDel="00000000" w:rsidR="00000000" w:rsidRPr="00000000">
      <w:rPr>
        <w:rtl w:val="0"/>
      </w:rPr>
    </w:r>
  </w:p>
  <w:p w:rsidR="00000000" w:rsidDel="00000000" w:rsidP="00000000" w:rsidRDefault="00000000" w:rsidRPr="00000000" w14:paraId="00000044">
    <w:pPr>
      <w:keepNext w:val="0"/>
      <w:keepLines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decimal"/>
      <w:lvlText w:val="%1."/>
      <w:lvlJc w:val="left"/>
      <w:pPr>
        <w:ind w:left="360" w:hanging="360"/>
      </w:pPr>
      <w:rPr>
        <w:rFonts w:ascii="Arial" w:cs="Arial" w:eastAsia="Arial" w:hAnsi="Arial"/>
        <w:b w:val="1"/>
        <w:i w:val="0"/>
        <w:smallCaps w:val="0"/>
        <w:strike w:val="0"/>
        <w:color w:val="000000"/>
        <w:sz w:val="24"/>
        <w:szCs w:val="24"/>
        <w:u w:val="none"/>
        <w:vertAlign w:val="baseline"/>
      </w:rPr>
    </w:lvl>
    <w:lvl w:ilvl="1">
      <w:start w:val="1"/>
      <w:numFmt w:val="decimal"/>
      <w:lvlText w:val="%1.%2"/>
      <w:lvlJc w:val="left"/>
      <w:pPr>
        <w:ind w:left="644" w:hanging="359.9999999999999"/>
      </w:pPr>
      <w:rPr>
        <w:rFonts w:ascii="Arial" w:cs="Arial" w:eastAsia="Arial" w:hAnsi="Arial"/>
        <w:b w:val="0"/>
        <w:i w:val="0"/>
        <w:smallCaps w:val="0"/>
        <w:strike w:val="0"/>
        <w:color w:val="000000"/>
        <w:sz w:val="24"/>
        <w:szCs w:val="24"/>
        <w:u w:val="none"/>
        <w:vertAlign w:val="baseline"/>
      </w:rPr>
    </w:lvl>
    <w:lvl w:ilvl="2">
      <w:start w:val="1"/>
      <w:numFmt w:val="decimal"/>
      <w:lvlText w:val="%1.%2.%3"/>
      <w:lvlJc w:val="left"/>
      <w:pPr>
        <w:ind w:left="2422" w:hanging="720"/>
      </w:pPr>
      <w:rPr>
        <w:rFonts w:ascii="Arial" w:cs="Arial" w:eastAsia="Arial" w:hAnsi="Arial"/>
        <w:b w:val="0"/>
        <w:i w:val="0"/>
        <w:smallCaps w:val="0"/>
        <w:strike w:val="0"/>
        <w:color w:val="000000"/>
        <w:sz w:val="24"/>
        <w:szCs w:val="24"/>
        <w:u w:val="none"/>
        <w:vertAlign w:val="baseline"/>
      </w:rPr>
    </w:lvl>
    <w:lvl w:ilvl="3">
      <w:start w:val="1"/>
      <w:numFmt w:val="lowerLetter"/>
      <w:lvlText w:val="(%4)"/>
      <w:lvlJc w:val="left"/>
      <w:pPr>
        <w:ind w:left="2563" w:hanging="720"/>
      </w:pPr>
      <w:rPr>
        <w:rFonts w:ascii="Calibri" w:cs="Calibri" w:eastAsia="Calibri" w:hAnsi="Calibri"/>
        <w:b w:val="0"/>
        <w:i w:val="0"/>
        <w:smallCaps w:val="0"/>
        <w:strike w:val="0"/>
        <w:color w:val="000000"/>
        <w:sz w:val="22"/>
        <w:szCs w:val="22"/>
        <w:u w:val="none"/>
        <w:vertAlign w:val="baseline"/>
      </w:rPr>
    </w:lvl>
    <w:lvl w:ilvl="4">
      <w:start w:val="1"/>
      <w:numFmt w:val="lowerRoman"/>
      <w:lvlText w:val="(%5)"/>
      <w:lvlJc w:val="left"/>
      <w:pPr>
        <w:ind w:left="1440" w:hanging="1080"/>
      </w:pPr>
      <w:rPr>
        <w:b w:val="0"/>
        <w:i w:val="0"/>
        <w:smallCaps w:val="0"/>
        <w:strike w:val="0"/>
        <w:color w:val="000000"/>
        <w:u w:val="none"/>
        <w:vertAlign w:val="baseline"/>
      </w:rPr>
    </w:lvl>
    <w:lvl w:ilvl="5">
      <w:start w:val="1"/>
      <w:numFmt w:val="upperLetter"/>
      <w:lvlText w:val="(%6)"/>
      <w:lvlJc w:val="left"/>
      <w:pPr>
        <w:ind w:left="1440" w:hanging="1080"/>
      </w:pPr>
      <w:rPr>
        <w:b w:val="0"/>
        <w:i w:val="0"/>
        <w:smallCaps w:val="0"/>
        <w:strike w:val="0"/>
        <w:color w:val="000000"/>
        <w:u w:val="none"/>
        <w:vertAlign w:val="baseline"/>
      </w:rPr>
    </w:lvl>
    <w:lvl w:ilvl="6">
      <w:start w:val="1"/>
      <w:numFmt w:val="decimal"/>
      <w:lvlText w:val="%1.%2.%3.%4.%5.%6.%7"/>
      <w:lvlJc w:val="left"/>
      <w:pPr>
        <w:ind w:left="1800" w:hanging="1440"/>
      </w:pPr>
      <w:rPr/>
    </w:lvl>
    <w:lvl w:ilvl="7">
      <w:start w:val="1"/>
      <w:numFmt w:val="decimal"/>
      <w:lvlText w:val="%1.%2.%3.%4.%5.%6.%7.%8"/>
      <w:lvlJc w:val="left"/>
      <w:pPr>
        <w:ind w:left="1800" w:hanging="1440"/>
      </w:pPr>
      <w:rPr/>
    </w:lvl>
    <w:lvl w:ilvl="8">
      <w:start w:val="1"/>
      <w:numFmt w:val="decimal"/>
      <w:lvlText w:val="%1.%2.%3.%4.%5.%6.%7.%8.%9"/>
      <w:lvlJc w:val="left"/>
      <w:pPr>
        <w:ind w:left="2160" w:hanging="1800"/>
      </w:pPr>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en-GB"/>
      </w:rPr>
    </w:rPrDefault>
    <w:pPrDefault>
      <w:pPr>
        <w:spacing w:after="240" w:lineRule="auto"/>
        <w:jc w:val="both"/>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pPr>
      <w:overflowPunct w:val="0"/>
      <w:autoSpaceDE w:val="0"/>
      <w:autoSpaceDN w:val="0"/>
      <w:adjustRightInd w:val="0"/>
      <w:spacing w:after="240" w:line="240" w:lineRule="auto"/>
      <w:jc w:val="both"/>
      <w:textAlignment w:val="baseline"/>
    </w:pPr>
    <w:rPr>
      <w:rFonts w:ascii="Calibri" w:cs="Arial" w:eastAsia="Times New Roman" w:hAnsi="Calibri"/>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Header">
    <w:name w:val="header"/>
    <w:basedOn w:val="Normal"/>
    <w:link w:val="HeaderChar"/>
    <w:uiPriority w:val="99"/>
    <w:unhideWhenUsed w:val="1"/>
    <w:pPr>
      <w:tabs>
        <w:tab w:val="center" w:pos="4513"/>
        <w:tab w:val="right" w:pos="9026"/>
      </w:tabs>
      <w:spacing w:after="0"/>
    </w:pPr>
  </w:style>
  <w:style w:type="character" w:styleId="HeaderChar" w:customStyle="1">
    <w:name w:val="Header Char"/>
    <w:basedOn w:val="DefaultParagraphFont"/>
    <w:link w:val="Header"/>
    <w:uiPriority w:val="99"/>
  </w:style>
  <w:style w:type="paragraph" w:styleId="Footer">
    <w:name w:val="footer"/>
    <w:basedOn w:val="Normal"/>
    <w:link w:val="FooterChar"/>
    <w:uiPriority w:val="99"/>
    <w:unhideWhenUsed w:val="1"/>
    <w:pPr>
      <w:tabs>
        <w:tab w:val="center" w:pos="4513"/>
        <w:tab w:val="right" w:pos="9026"/>
      </w:tabs>
      <w:spacing w:after="0"/>
    </w:pPr>
  </w:style>
  <w:style w:type="character" w:styleId="FooterChar" w:customStyle="1">
    <w:name w:val="Footer Char"/>
    <w:basedOn w:val="DefaultParagraphFont"/>
    <w:link w:val="Footer"/>
    <w:uiPriority w:val="99"/>
  </w:style>
  <w:style w:type="character" w:styleId="Emphasis">
    <w:name w:val="Emphasis"/>
    <w:basedOn w:val="DefaultParagraphFont"/>
    <w:rPr>
      <w:i w:val="1"/>
      <w:iCs w:val="1"/>
    </w:rPr>
  </w:style>
  <w:style w:type="paragraph" w:styleId="GPSL1CLAUSEHEADING" w:customStyle="1">
    <w:name w:val="GPS L1 CLAUSE HEADING"/>
    <w:basedOn w:val="Normal"/>
    <w:next w:val="Normal"/>
    <w:link w:val="GPSL1CLAUSEHEADINGChar"/>
    <w:uiPriority w:val="99"/>
    <w:qFormat w:val="1"/>
    <w:pPr>
      <w:numPr>
        <w:numId w:val="2"/>
      </w:numPr>
      <w:tabs>
        <w:tab w:val="left" w:pos="142"/>
      </w:tabs>
      <w:overflowPunct w:val="1"/>
      <w:autoSpaceDE w:val="1"/>
      <w:autoSpaceDN w:val="1"/>
      <w:spacing w:before="120"/>
      <w:ind w:left="426" w:hanging="426"/>
      <w:textAlignment w:val="auto"/>
      <w:outlineLvl w:val="1"/>
    </w:pPr>
    <w:rPr>
      <w:rFonts w:eastAsia="STZhongsong"/>
      <w:b w:val="1"/>
      <w:caps w:val="1"/>
      <w:lang w:eastAsia="zh-CN"/>
    </w:rPr>
  </w:style>
  <w:style w:type="paragraph" w:styleId="GPSL3numberedclause" w:customStyle="1">
    <w:name w:val="GPS L3 numbered clause"/>
    <w:basedOn w:val="Normal"/>
    <w:link w:val="GPSL3numberedclauseChar"/>
    <w:qFormat w:val="1"/>
    <w:pPr>
      <w:numPr>
        <w:ilvl w:val="2"/>
        <w:numId w:val="2"/>
      </w:numPr>
      <w:tabs>
        <w:tab w:val="left" w:pos="1985"/>
      </w:tabs>
      <w:overflowPunct w:val="1"/>
      <w:autoSpaceDE w:val="1"/>
      <w:autoSpaceDN w:val="1"/>
      <w:spacing w:after="120" w:before="120"/>
      <w:ind w:left="1656"/>
      <w:textAlignment w:val="auto"/>
    </w:pPr>
    <w:rPr>
      <w:lang w:eastAsia="zh-CN"/>
    </w:rPr>
  </w:style>
  <w:style w:type="paragraph" w:styleId="GPSL4numberedclause" w:customStyle="1">
    <w:name w:val="GPS L4 numbered clause"/>
    <w:basedOn w:val="GPSL3numberedclause"/>
    <w:link w:val="GPSL4numberedclauseChar"/>
    <w:qFormat w:val="1"/>
    <w:pPr>
      <w:numPr>
        <w:ilvl w:val="3"/>
      </w:numPr>
      <w:tabs>
        <w:tab w:val="clear" w:pos="1985"/>
      </w:tabs>
      <w:ind w:left="2592" w:hanging="936"/>
    </w:pPr>
  </w:style>
  <w:style w:type="character" w:styleId="GPSL4numberedclauseChar" w:customStyle="1">
    <w:name w:val="GPS L4 numbered clause Char"/>
    <w:link w:val="GPSL4numberedclause"/>
    <w:locked w:val="1"/>
    <w:rPr>
      <w:rFonts w:ascii="Calibri" w:cs="Arial" w:eastAsia="Times New Roman" w:hAnsi="Calibri"/>
      <w:lang w:eastAsia="zh-CN"/>
    </w:rPr>
  </w:style>
  <w:style w:type="paragraph" w:styleId="GPSL5numberedclause" w:customStyle="1">
    <w:name w:val="GPS L5 numbered clause"/>
    <w:basedOn w:val="GPSL4numberedclause"/>
    <w:link w:val="GPSL5numberedclauseChar"/>
    <w:qFormat w:val="1"/>
    <w:pPr>
      <w:numPr>
        <w:ilvl w:val="4"/>
      </w:numPr>
      <w:tabs>
        <w:tab w:val="left" w:pos="3119"/>
      </w:tabs>
      <w:ind w:left="3119" w:hanging="567"/>
    </w:pPr>
  </w:style>
  <w:style w:type="paragraph" w:styleId="GPSL2NumberedBoldHeading" w:customStyle="1">
    <w:name w:val="GPS L2 Numbered Bold Heading"/>
    <w:basedOn w:val="Normal"/>
    <w:link w:val="GPSL2NumberedBoldHeadingChar"/>
    <w:qFormat w:val="1"/>
    <w:pPr>
      <w:numPr>
        <w:ilvl w:val="1"/>
        <w:numId w:val="2"/>
      </w:numPr>
      <w:tabs>
        <w:tab w:val="left" w:pos="1134"/>
      </w:tabs>
      <w:overflowPunct w:val="1"/>
      <w:autoSpaceDE w:val="1"/>
      <w:autoSpaceDN w:val="1"/>
      <w:spacing w:after="120" w:before="120"/>
      <w:ind w:hanging="218"/>
      <w:textAlignment w:val="auto"/>
    </w:pPr>
    <w:rPr>
      <w:b w:val="1"/>
      <w:lang w:eastAsia="zh-CN"/>
    </w:rPr>
  </w:style>
  <w:style w:type="paragraph" w:styleId="GPSL6numbered" w:customStyle="1">
    <w:name w:val="GPS L6 numbered"/>
    <w:basedOn w:val="GPSL5numberedclause"/>
    <w:uiPriority w:val="99"/>
    <w:qFormat w:val="1"/>
    <w:pPr>
      <w:numPr>
        <w:ilvl w:val="5"/>
      </w:numPr>
      <w:tabs>
        <w:tab w:val="num" w:pos="360"/>
        <w:tab w:val="left" w:pos="3686"/>
      </w:tabs>
      <w:ind w:left="3686" w:hanging="567"/>
    </w:pPr>
  </w:style>
  <w:style w:type="character" w:styleId="GPSL3numberedclauseChar" w:customStyle="1">
    <w:name w:val="GPS L3 numbered clause Char"/>
    <w:link w:val="GPSL3numberedclause"/>
    <w:locked w:val="1"/>
    <w:rPr>
      <w:rFonts w:ascii="Calibri" w:cs="Arial" w:eastAsia="Times New Roman" w:hAnsi="Calibri"/>
      <w:lang w:eastAsia="zh-CN"/>
    </w:rPr>
  </w:style>
  <w:style w:type="character" w:styleId="GPSL5numberedclauseChar" w:customStyle="1">
    <w:name w:val="GPS L5 numbered clause Char"/>
    <w:link w:val="GPSL5numberedclause"/>
    <w:locked w:val="1"/>
    <w:rPr>
      <w:rFonts w:ascii="Calibri" w:cs="Arial" w:eastAsia="Times New Roman" w:hAnsi="Calibri"/>
      <w:lang w:eastAsia="zh-CN"/>
    </w:rPr>
  </w:style>
  <w:style w:type="character" w:styleId="GPSL2NumberedBoldHeadingChar" w:customStyle="1">
    <w:name w:val="GPS L2 Numbered Bold Heading Char"/>
    <w:link w:val="GPSL2NumberedBoldHeading"/>
    <w:locked w:val="1"/>
    <w:rPr>
      <w:rFonts w:ascii="Calibri" w:cs="Arial" w:eastAsia="Times New Roman" w:hAnsi="Calibri"/>
      <w:b w:val="1"/>
      <w:lang w:eastAsia="zh-CN"/>
    </w:rPr>
  </w:style>
  <w:style w:type="paragraph" w:styleId="GPsDefinition" w:customStyle="1">
    <w:name w:val="GPs Definition"/>
    <w:basedOn w:val="Normal"/>
    <w:uiPriority w:val="99"/>
    <w:qFormat w:val="1"/>
    <w:pPr>
      <w:numPr>
        <w:numId w:val="1"/>
      </w:numPr>
      <w:tabs>
        <w:tab w:val="left" w:pos="175"/>
      </w:tabs>
      <w:spacing w:after="120"/>
    </w:pPr>
  </w:style>
  <w:style w:type="paragraph" w:styleId="GPSDefinitionL2" w:customStyle="1">
    <w:name w:val="GPS Definition L2"/>
    <w:basedOn w:val="GPsDefinition"/>
    <w:uiPriority w:val="99"/>
    <w:qFormat w:val="1"/>
    <w:pPr>
      <w:numPr>
        <w:ilvl w:val="1"/>
      </w:numPr>
      <w:ind w:hanging="544"/>
    </w:pPr>
  </w:style>
  <w:style w:type="paragraph" w:styleId="GPSDefinitionL3" w:customStyle="1">
    <w:name w:val="GPS Definition L3"/>
    <w:basedOn w:val="GPSDefinitionL2"/>
    <w:uiPriority w:val="99"/>
    <w:qFormat w:val="1"/>
    <w:pPr>
      <w:numPr>
        <w:ilvl w:val="2"/>
      </w:numPr>
    </w:pPr>
  </w:style>
  <w:style w:type="paragraph" w:styleId="GPSDefinitionL4" w:customStyle="1">
    <w:name w:val="GPS Definition L4"/>
    <w:basedOn w:val="GPSDefinitionL3"/>
    <w:uiPriority w:val="99"/>
    <w:qFormat w:val="1"/>
    <w:pPr>
      <w:numPr>
        <w:ilvl w:val="3"/>
      </w:numPr>
    </w:pPr>
  </w:style>
  <w:style w:type="paragraph" w:styleId="GPSDefinitionTerm" w:customStyle="1">
    <w:name w:val="GPS Definition Term"/>
    <w:basedOn w:val="Normal"/>
    <w:uiPriority w:val="99"/>
    <w:qFormat w:val="1"/>
    <w:pPr>
      <w:spacing w:after="120"/>
      <w:ind w:left="-108"/>
      <w:jc w:val="left"/>
    </w:pPr>
    <w:rPr>
      <w:b w:val="1"/>
    </w:rPr>
  </w:style>
  <w:style w:type="paragraph" w:styleId="GPSL1SCHEDULEHeading" w:customStyle="1">
    <w:name w:val="GPS L1 SCHEDULE Heading"/>
    <w:basedOn w:val="GPSL1CLAUSEHEADING"/>
    <w:link w:val="GPSL1SCHEDULEHeadingChar"/>
    <w:qFormat w:val="1"/>
    <w:pPr>
      <w:ind w:left="360" w:hanging="360"/>
      <w:outlineLvl w:val="9"/>
    </w:pPr>
  </w:style>
  <w:style w:type="paragraph" w:styleId="GPSmacrorestart" w:customStyle="1">
    <w:name w:val="GPS macro restart"/>
    <w:basedOn w:val="Normal"/>
    <w:qFormat w:val="1"/>
    <w:pPr>
      <w:spacing w:after="0"/>
    </w:pPr>
    <w:rPr>
      <w:color w:val="ffffff"/>
      <w:sz w:val="16"/>
      <w:szCs w:val="16"/>
    </w:rPr>
  </w:style>
  <w:style w:type="paragraph" w:styleId="GPSSchTitleandNumber" w:customStyle="1">
    <w:name w:val="GPS Sch Title and Number"/>
    <w:basedOn w:val="Normal"/>
    <w:link w:val="GPSSchTitleandNumberChar"/>
    <w:qFormat w:val="1"/>
    <w:pPr>
      <w:keepNext w:val="1"/>
      <w:overflowPunct w:val="1"/>
      <w:autoSpaceDE w:val="1"/>
      <w:autoSpaceDN w:val="1"/>
      <w:ind w:firstLine="426"/>
      <w:jc w:val="center"/>
      <w:textAlignment w:val="auto"/>
      <w:outlineLvl w:val="0"/>
    </w:pPr>
    <w:rPr>
      <w:rFonts w:ascii="Arial Bold" w:cs="Times New Roman" w:eastAsia="STZhongsong" w:hAnsi="Arial Bold"/>
      <w:b w:val="1"/>
      <w:caps w:val="1"/>
      <w:lang w:eastAsia="zh-CN"/>
    </w:rPr>
  </w:style>
  <w:style w:type="paragraph" w:styleId="GPSL2Numbered" w:customStyle="1">
    <w:name w:val="GPS L2 Numbered"/>
    <w:basedOn w:val="GPSL2NumberedBoldHeading"/>
    <w:link w:val="GPSL2NumberedChar"/>
    <w:qFormat w:val="1"/>
    <w:pPr>
      <w:tabs>
        <w:tab w:val="clear" w:pos="1134"/>
      </w:tabs>
      <w:ind w:left="936" w:hanging="576"/>
    </w:pPr>
    <w:rPr>
      <w:b w:val="0"/>
    </w:rPr>
  </w:style>
  <w:style w:type="character" w:styleId="GPSL2NumberedChar" w:customStyle="1">
    <w:name w:val="GPS L2 Numbered Char"/>
    <w:link w:val="GPSL2Numbered"/>
    <w:locked w:val="1"/>
    <w:rPr>
      <w:rFonts w:ascii="Calibri" w:cs="Arial" w:eastAsia="Times New Roman" w:hAnsi="Calibri"/>
      <w:lang w:eastAsia="zh-CN"/>
    </w:rPr>
  </w:style>
  <w:style w:type="character" w:styleId="GPSL1SCHEDULEHeadingChar" w:customStyle="1">
    <w:name w:val="GPS L1 SCHEDULE Heading Char"/>
    <w:link w:val="GPSL1SCHEDULEHeading"/>
    <w:locked w:val="1"/>
    <w:rPr>
      <w:rFonts w:ascii="Calibri" w:cs="Arial" w:eastAsia="STZhongsong" w:hAnsi="Calibri"/>
      <w:b w:val="1"/>
      <w:caps w:val="1"/>
      <w:lang w:eastAsia="zh-CN"/>
    </w:rPr>
  </w:style>
  <w:style w:type="character" w:styleId="GPSSchTitleandNumberChar" w:customStyle="1">
    <w:name w:val="GPS Sch Title and Number Char"/>
    <w:link w:val="GPSSchTitleandNumber"/>
    <w:locked w:val="1"/>
    <w:rPr>
      <w:rFonts w:ascii="Arial Bold" w:cs="Times New Roman" w:eastAsia="STZhongsong" w:hAnsi="Arial Bold"/>
      <w:b w:val="1"/>
      <w:caps w:val="1"/>
      <w:lang w:eastAsia="zh-CN"/>
    </w:rPr>
  </w:style>
  <w:style w:type="paragraph" w:styleId="GPSL2numberedclause" w:customStyle="1">
    <w:name w:val="GPS L2 numbered clause"/>
    <w:basedOn w:val="Normal"/>
    <w:link w:val="GPSL2numberedclauseChar1"/>
    <w:qFormat w:val="1"/>
    <w:pPr>
      <w:tabs>
        <w:tab w:val="left" w:pos="1134"/>
      </w:tabs>
      <w:overflowPunct w:val="1"/>
      <w:autoSpaceDE w:val="1"/>
      <w:autoSpaceDN w:val="1"/>
      <w:spacing w:after="120" w:before="120"/>
      <w:ind w:left="1134" w:hanging="567"/>
      <w:textAlignment w:val="auto"/>
    </w:pPr>
    <w:rPr>
      <w:lang w:eastAsia="zh-CN"/>
    </w:rPr>
  </w:style>
  <w:style w:type="character" w:styleId="GPSL2numberedclauseChar1" w:customStyle="1">
    <w:name w:val="GPS L2 numbered clause Char1"/>
    <w:link w:val="GPSL2numberedclause"/>
    <w:rPr>
      <w:rFonts w:ascii="Calibri" w:cs="Arial" w:eastAsia="Times New Roman" w:hAnsi="Calibri"/>
      <w:lang w:eastAsia="zh-CN"/>
    </w:rPr>
  </w:style>
  <w:style w:type="character" w:styleId="GPSL1CLAUSEHEADINGChar" w:customStyle="1">
    <w:name w:val="GPS L1 CLAUSE HEADING Char"/>
    <w:link w:val="GPSL1CLAUSEHEADING"/>
    <w:rPr>
      <w:rFonts w:ascii="Calibri" w:cs="Arial" w:eastAsia="STZhongsong" w:hAnsi="Calibri"/>
      <w:b w:val="1"/>
      <w:caps w:val="1"/>
      <w:lang w:eastAsia="zh-CN"/>
    </w:rPr>
  </w:style>
  <w:style w:type="character" w:styleId="CommentReference">
    <w:name w:val="annotation reference"/>
    <w:basedOn w:val="DefaultParagraphFont"/>
    <w:uiPriority w:val="99"/>
    <w:semiHidden w:val="1"/>
    <w:unhideWhenUsed w:val="1"/>
    <w:rPr>
      <w:sz w:val="16"/>
      <w:szCs w:val="16"/>
    </w:rPr>
  </w:style>
  <w:style w:type="paragraph" w:styleId="CommentText">
    <w:name w:val="annotation text"/>
    <w:basedOn w:val="Normal"/>
    <w:link w:val="CommentTextChar"/>
    <w:uiPriority w:val="99"/>
    <w:semiHidden w:val="1"/>
    <w:unhideWhenUsed w:val="1"/>
    <w:rPr>
      <w:sz w:val="20"/>
      <w:szCs w:val="20"/>
    </w:rPr>
  </w:style>
  <w:style w:type="character" w:styleId="CommentTextChar" w:customStyle="1">
    <w:name w:val="Comment Text Char"/>
    <w:basedOn w:val="DefaultParagraphFont"/>
    <w:link w:val="CommentText"/>
    <w:uiPriority w:val="99"/>
    <w:semiHidden w:val="1"/>
    <w:rPr>
      <w:rFonts w:ascii="Calibri" w:cs="Arial" w:eastAsia="Times New Roman" w:hAnsi="Calibri"/>
      <w:sz w:val="20"/>
      <w:szCs w:val="20"/>
    </w:rPr>
  </w:style>
  <w:style w:type="paragraph" w:styleId="CommentSubject">
    <w:name w:val="annotation subject"/>
    <w:basedOn w:val="CommentText"/>
    <w:next w:val="CommentText"/>
    <w:link w:val="CommentSubjectChar"/>
    <w:uiPriority w:val="99"/>
    <w:semiHidden w:val="1"/>
    <w:unhideWhenUsed w:val="1"/>
    <w:rPr>
      <w:b w:val="1"/>
      <w:bCs w:val="1"/>
    </w:rPr>
  </w:style>
  <w:style w:type="character" w:styleId="CommentSubjectChar" w:customStyle="1">
    <w:name w:val="Comment Subject Char"/>
    <w:basedOn w:val="CommentTextChar"/>
    <w:link w:val="CommentSubject"/>
    <w:uiPriority w:val="99"/>
    <w:semiHidden w:val="1"/>
    <w:rPr>
      <w:rFonts w:ascii="Calibri" w:cs="Arial" w:eastAsia="Times New Roman" w:hAnsi="Calibri"/>
      <w:b w:val="1"/>
      <w:bCs w:val="1"/>
      <w:sz w:val="20"/>
      <w:szCs w:val="20"/>
    </w:rPr>
  </w:style>
  <w:style w:type="paragraph" w:styleId="BalloonText">
    <w:name w:val="Balloon Text"/>
    <w:basedOn w:val="Normal"/>
    <w:link w:val="BalloonTextChar"/>
    <w:uiPriority w:val="99"/>
    <w:semiHidden w:val="1"/>
    <w:unhideWhenUsed w:val="1"/>
    <w:pPr>
      <w:spacing w:after="0"/>
    </w:pPr>
    <w:rPr>
      <w:rFonts w:ascii="Tahoma" w:cs="Tahoma" w:hAnsi="Tahoma"/>
      <w:sz w:val="16"/>
      <w:szCs w:val="16"/>
    </w:rPr>
  </w:style>
  <w:style w:type="character" w:styleId="BalloonTextChar" w:customStyle="1">
    <w:name w:val="Balloon Text Char"/>
    <w:basedOn w:val="DefaultParagraphFont"/>
    <w:link w:val="BalloonText"/>
    <w:uiPriority w:val="99"/>
    <w:semiHidden w:val="1"/>
    <w:rPr>
      <w:rFonts w:ascii="Tahoma" w:cs="Tahoma" w:eastAsia="Times New Roman" w:hAnsi="Tahoma"/>
      <w:sz w:val="16"/>
      <w:szCs w:val="16"/>
    </w:rPr>
  </w:style>
  <w:style w:type="paragraph" w:styleId="Normal1" w:customStyle="1">
    <w:name w:val="Normal1"/>
    <w:pPr>
      <w:widowControl w:val="0"/>
      <w:spacing w:after="80" w:line="240" w:lineRule="auto"/>
    </w:pPr>
    <w:rPr>
      <w:rFonts w:ascii="Calibri" w:cs="Calibri" w:eastAsia="Calibri" w:hAnsi="Calibri"/>
      <w:color w:val="000000"/>
    </w:rPr>
  </w:style>
  <w:style w:type="table" w:styleId="TableGrid">
    <w:name w:val="Table Grid"/>
    <w:basedOn w:val="TableNormal"/>
    <w:uiPriority w:val="59"/>
    <w:pPr>
      <w:spacing w:after="0" w:line="240" w:lineRule="auto"/>
    </w:pPr>
    <w:rPr>
      <w:rFonts w:ascii="Calibri" w:cs="Times New Roman" w:eastAsia="Calibri" w:hAnsi="Calibri"/>
      <w:color w:val="000000"/>
      <w:sz w:val="20"/>
      <w:szCs w:val="20"/>
    </w:r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Revision">
    <w:name w:val="Revision"/>
    <w:hidden w:val="1"/>
    <w:uiPriority w:val="99"/>
    <w:semiHidden w:val="1"/>
    <w:rsid w:val="004D49BE"/>
    <w:pPr>
      <w:spacing w:after="0" w:line="240" w:lineRule="auto"/>
    </w:pPr>
    <w:rPr>
      <w:rFonts w:ascii="Calibri" w:cs="Arial" w:eastAsia="Times New Roman" w:hAnsi="Calibri"/>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15.0" w:type="dxa"/>
        <w:bottom w:w="0.0" w:type="dxa"/>
        <w:right w:w="115.0" w:type="dxa"/>
      </w:tblCellMar>
    </w:tbl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pPr>
      <w:spacing w:after="0" w:line="240" w:lineRule="auto"/>
    </w:pPr>
    <w:rPr>
      <w:rFonts w:ascii="Calibri" w:cs="Calibri" w:eastAsia="Calibri" w:hAnsi="Calibri"/>
      <w:color w:val="000000"/>
      <w:sz w:val="20"/>
      <w:szCs w:val="20"/>
    </w:rPr>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0" Type="http://schemas.openxmlformats.org/officeDocument/2006/relationships/footer" Target="footer1.xml"/><Relationship Id="rId9" Type="http://schemas.openxmlformats.org/officeDocument/2006/relationships/footer" Target="footer2.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2.xml"/><Relationship Id="rId8"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a3mUrfvZNinuUbn11ECMqZGmcGA==">CgMxLjAyCGguZ2pkZ3hzMgloLjMwajB6bGwyCWguMWZvYjl0ZTIJaC4zem55c2g3MgloLjJldDkycDAyCGgudHlqY3d0OAByITFzUnFLZkdha3k3bm9iYld1SlkwMDN1VXdaTFdZck9DTg==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2018-07-23T07:42:00Z</dcterms:creat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CurrentVersion">
    <vt:lpwstr>17 November 2017 D1V6</vt:lpwstr>
  </property>
</Properties>
</file>