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Relevant Convictions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1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p>
    <w:p w:rsidR="00000000" w:rsidDel="00000000" w:rsidP="00000000" w:rsidRDefault="00000000" w:rsidRPr="00000000" w14:paraId="00000012">
      <w:pPr>
        <w:rPr/>
      </w:pPr>
      <w:bookmarkStart w:colFirst="0" w:colLast="0" w:name="_heading=h.3znysh7" w:id="3"/>
      <w:bookmarkEnd w:id="3"/>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v3.1</w:t>
    </w:r>
    <w:bookmarkStart w:colFirst="0" w:colLast="0" w:name="bookmark=id.2et92p0" w:id="4"/>
    <w:bookmarkEnd w:id="4"/>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18 (Background Checks)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qouu8GAI9WxecVt4AV9RxMeOg==">CgMxLjAyCGguZ2pkZ3hzMgloLjMwajB6bGwyCWguMWZvYjl0ZTIJaC4zem55c2g3MgppZC4yZXQ5MnAwOAByITFac1ZnYS1xZFA4b2JsZk82bjVJTDUtRldnY3d5SzhldA==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2018-06-18T14:34:00Z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