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19 (Scottish Law)</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Call-Off Schedule 19 may be included to adapt the Core Terms and Schedules so that the Call Off Contract is under Scottish Law.</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Core Terms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19, (Other people’s rights in this contract) – “Contract Rights of Third Parties Act (CRTPA)” shall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(Third Party Rights) (Scotland) Act 2017 (CTPRSA)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References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CRTPA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CTPRSA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34 (Resolving Disputes):</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34.2 – add the following wording: “The governing law and jurisdiction provisions of CEDR’s Model Mediation Agreement shall be deemed to be amended to refer to the laws of Scotland and the Court of Session.”</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34.3  The term “Courts of England and Wales” shall be amended to read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“Court of Session”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34.4 – Conduct of Arbitration. </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words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under the London Court of International Arbitration rules current at the time of the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deleted.</w:t>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seat or legal place of the arbitration shall be amended so that it takes place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Edinburgh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opposed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London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the following wording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arbitration shall be conducted in accordance with the Arbitration (Scotland) Act 2010 subject to disapplication in whole or in part of any of the default rules of the Scottish Arbitration Rules comprising Schedule 1 to that Act as the Parties may agree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35 (Which Laws apply) – the words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English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Law of Scotland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Joint Schedules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 Schedule 1 – Definitions shall be amended as follows:</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definition of “CRTPA” shall be replaced by “”CTPRSA” the Contract (Third Party Rights) (Scotland) Act 2017”.</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definition of “Dispute” the reference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English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Law of Scotland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the reference to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English courts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by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courts of Scotland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definition of “Insolvency Event” – the word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“Assignation”.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definition of “Losses”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replaced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“delict”.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part (a) of the definition of “Intellectual Property Rights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words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“Know-How”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“trade secrets”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 to pre-existing know-how and trade secrets only</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Day”: reference to “England and Wales” replaced by “Scotland”</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Guarantee is selected, the following provisions of Joint Schedule 8 – Guarantee shall be amended as follows: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whole Schedule delete all references to “deed of Guarantee” merely express as “Guarantee” </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Annex 1 - Form of Guarantee:</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WHEREAS (B) “deed” replaced by “contract”</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4.1 Delete references to “England and Wales” when referring to addresses.</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12 – the word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assignment”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amended to “assignation”.</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14 – “Contract (Rights of Third Parties) Act 1999” shall be amended to “Contract (Third Party Rights) (Scotland) Act 2017”.</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16 Governing Law (add “and Jurisdiction”). References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“Courts of England”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“Court of 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References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“English”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“Scottish”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References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England and Wales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 replaced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Scotland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Alter execution strip to read as follows: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“IN WITNESS WHEREOF these presents consisting of this page and the [ ] preceding pages are executed in duplicate as follows: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SIGNATURE: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Name: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Position: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Place of signing: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Date: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Witness: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Witness name: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2880" w:right="0" w:hanging="720"/>
        <w:jc w:val="left"/>
        <w:rPr>
          <w:rFonts w:ascii="Arial" w:cs="Arial" w:eastAsia="Arial" w:hAnsi="Arial"/>
          <w:b w:val="0"/>
          <w:i w:val="1"/>
          <w:smallCaps w:val="1"/>
          <w:strike w:val="0"/>
          <w:color w:val="000000"/>
          <w:sz w:val="24"/>
          <w:szCs w:val="24"/>
          <w:u w:val="none"/>
          <w:shd w:fill="auto" w:val="clear"/>
          <w:vertAlign w:val="baseline"/>
        </w:rPr>
      </w:pPr>
      <w:r w:rsidDel="00000000" w:rsidR="00000000" w:rsidRPr="00000000">
        <w:rPr>
          <w:rFonts w:ascii="Arial" w:cs="Arial" w:eastAsia="Arial" w:hAnsi="Arial"/>
          <w:b w:val="0"/>
          <w:i w:val="1"/>
          <w:smallCaps w:val="1"/>
          <w:strike w:val="0"/>
          <w:color w:val="000000"/>
          <w:sz w:val="24"/>
          <w:szCs w:val="24"/>
          <w:u w:val="none"/>
          <w:shd w:fill="auto" w:val="clear"/>
          <w:vertAlign w:val="baseline"/>
          <w:rtl w:val="0"/>
        </w:rPr>
        <w:t xml:space="preserve">Witness address:”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Call-Off Schedules</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b w:val="1"/>
          <w:highlight w:val="yellow"/>
          <w:rtl w:val="0"/>
        </w:rPr>
        <w:t xml:space="preserve">[Buyer Guidance</w:t>
      </w:r>
      <w:r w:rsidDel="00000000" w:rsidR="00000000" w:rsidRPr="00000000">
        <w:rPr>
          <w:rtl w:val="0"/>
        </w:rPr>
        <w:t xml:space="preserve"> Insert any amendments to the Call-Off schedules where Scottish Law applies]</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 to Legislation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57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legislation applicable to England and Wales only is expressly mentioned in this Call Off Contract it shall have the effect of substituting the equivalent legislation applicable in Scotland.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99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r>
  </w:p>
  <w:p w:rsidR="00000000" w:rsidDel="00000000" w:rsidP="00000000" w:rsidRDefault="00000000" w:rsidRPr="00000000" w14:paraId="0000003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19 (Scottish Law)</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0"/>
        <w:szCs w:val="20"/>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J4zObmdnPOiMpcBhNgl23ipA==">CgMxLjAyCGguZ2pkZ3hzOAByITFHcE56RHlUbUIxX3hCMGVlTThNRW9fNWFyblYwZ3ZLXw==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2020-12-10T14:34:00Z</dcterms:created>
  <dc:creator>Christopher Stanley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