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40" w:line="240" w:lineRule="auto"/>
        <w:ind w:left="142" w:right="394" w:firstLine="0"/>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Call-Off Schedule 23 (HMRC Terms)</w:t>
      </w:r>
    </w:p>
    <w:p w:rsidR="00000000" w:rsidDel="00000000" w:rsidP="00000000" w:rsidRDefault="00000000" w:rsidRPr="00000000" w14:paraId="00000002">
      <w:pPr>
        <w:pStyle w:val="Heading2"/>
        <w:keepNext w:val="0"/>
        <w:keepLines w:val="0"/>
        <w:pageBreakBefore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Definitions </w:t>
      </w:r>
    </w:p>
    <w:p w:rsidR="00000000" w:rsidDel="00000000" w:rsidP="00000000" w:rsidRDefault="00000000" w:rsidRPr="00000000" w14:paraId="0000000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240" w:before="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have the following meanings and they shall supplement Joint Schedule 1 (Definitions):</w:t>
      </w:r>
    </w:p>
    <w:tbl>
      <w:tblPr>
        <w:tblStyle w:val="Table1"/>
        <w:tblW w:w="8918.0" w:type="dxa"/>
        <w:jc w:val="left"/>
        <w:tblInd w:w="-6.999999999999993" w:type="dxa"/>
        <w:tblLayout w:type="fixed"/>
        <w:tblLook w:val="0000"/>
      </w:tblPr>
      <w:tblGrid>
        <w:gridCol w:w="2292"/>
        <w:gridCol w:w="6626"/>
        <w:tblGridChange w:id="0">
          <w:tblGrid>
            <w:gridCol w:w="2292"/>
            <w:gridCol w:w="6626"/>
          </w:tblGrid>
        </w:tblGridChange>
      </w:tblGrid>
      <w:tr>
        <w:trPr>
          <w:cantSplit w:val="0"/>
          <w:tblHeader w:val="0"/>
        </w:trPr>
        <w:tc>
          <w:tcPr/>
          <w:p w:rsidR="00000000" w:rsidDel="00000000" w:rsidP="00000000" w:rsidRDefault="00000000" w:rsidRPr="00000000" w14:paraId="00000004">
            <w:pPr>
              <w:pageBreakBefore w:val="0"/>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“Connected Company”</w:t>
            </w:r>
          </w:p>
        </w:tc>
        <w:tc>
          <w:tcPr/>
          <w:p w:rsidR="00000000" w:rsidDel="00000000" w:rsidP="00000000" w:rsidRDefault="00000000" w:rsidRPr="00000000" w14:paraId="00000005">
            <w:pPr>
              <w:pageBreakBefore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 company, entity or other person, the Affiliates of that company, entity or other person or any other person associated with such company, entity or other person;</w:t>
            </w:r>
          </w:p>
          <w:p w:rsidR="00000000" w:rsidDel="00000000" w:rsidP="00000000" w:rsidRDefault="00000000" w:rsidRPr="00000000" w14:paraId="00000006">
            <w:pPr>
              <w:pageBreakBefore w:val="0"/>
              <w:spacing w:after="24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7">
            <w:pPr>
              <w:pageBreakBefore w:val="0"/>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“Control”</w:t>
            </w:r>
          </w:p>
        </w:tc>
        <w:tc>
          <w:tcPr/>
          <w:p w:rsidR="00000000" w:rsidDel="00000000" w:rsidP="00000000" w:rsidRDefault="00000000" w:rsidRPr="00000000" w14:paraId="00000008">
            <w:pPr>
              <w:pageBreakBefore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rsidR="00000000" w:rsidDel="00000000" w:rsidP="00000000" w:rsidRDefault="00000000" w:rsidRPr="00000000" w14:paraId="00000009">
            <w:pPr>
              <w:pageBreakBefore w:val="0"/>
              <w:spacing w:after="24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A">
            <w:pPr>
              <w:pageBreakBefore w:val="0"/>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“Prohibited Transaction”</w:t>
            </w:r>
          </w:p>
        </w:tc>
        <w:tc>
          <w:tcPr/>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would be payable by any Key Subcontractor and its Connected Companies on or in connection with payments made by or on behalf of the Supplier under or pursuant to the applicable Key Subcontract,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pageBreakBefore w:val="0"/>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other than transactions made between the Supplier and its Connected Companies or a Key Subcontractor and its Connected Companies on terms which are at arms-length and are entered into in the ordinary course of the transacting parties’ business;</w:t>
            </w:r>
          </w:p>
          <w:p w:rsidR="00000000" w:rsidDel="00000000" w:rsidP="00000000" w:rsidRDefault="00000000" w:rsidRPr="00000000" w14:paraId="00000010">
            <w:pPr>
              <w:pageBreakBefore w:val="0"/>
              <w:spacing w:after="24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1">
            <w:pPr>
              <w:pageBreakBefore w:val="0"/>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“Purchase Order Number” </w:t>
            </w:r>
          </w:p>
        </w:tc>
        <w:tc>
          <w:tcPr/>
          <w:p w:rsidR="00000000" w:rsidDel="00000000" w:rsidP="00000000" w:rsidRDefault="00000000" w:rsidRPr="00000000" w14:paraId="00000012">
            <w:pPr>
              <w:pageBreakBefore w:val="0"/>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Buyer’s unique number relating to the supply of the Deliverables;  </w:t>
            </w:r>
          </w:p>
        </w:tc>
      </w:tr>
      <w:tr>
        <w:trPr>
          <w:cantSplit w:val="0"/>
          <w:tblHeader w:val="0"/>
        </w:trPr>
        <w:tc>
          <w:tcPr/>
          <w:p w:rsidR="00000000" w:rsidDel="00000000" w:rsidP="00000000" w:rsidRDefault="00000000" w:rsidRPr="00000000" w14:paraId="00000013">
            <w:pPr>
              <w:pageBreakBefore w:val="0"/>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“Supporting Documentation”</w:t>
            </w:r>
          </w:p>
        </w:tc>
        <w:tc>
          <w:tcPr/>
          <w:p w:rsidR="00000000" w:rsidDel="00000000" w:rsidP="00000000" w:rsidRDefault="00000000" w:rsidRPr="00000000" w14:paraId="00000014">
            <w:pPr>
              <w:pageBreakBefore w:val="0"/>
              <w:spacing w:after="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sufficient information in writing to enable the Buyer to reasonably verify the accuracy of any invoice; and</w:t>
            </w:r>
          </w:p>
        </w:tc>
      </w:tr>
      <w:tr>
        <w:trPr>
          <w:cantSplit w:val="0"/>
          <w:tblHeader w:val="0"/>
        </w:trPr>
        <w:tc>
          <w:tcPr/>
          <w:p w:rsidR="00000000" w:rsidDel="00000000" w:rsidP="00000000" w:rsidRDefault="00000000" w:rsidRPr="00000000" w14:paraId="00000015">
            <w:pPr>
              <w:pageBreakBefore w:val="0"/>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“Tax Compliance Failure”</w:t>
            </w:r>
          </w:p>
          <w:p w:rsidR="00000000" w:rsidDel="00000000" w:rsidP="00000000" w:rsidRDefault="00000000" w:rsidRPr="00000000" w14:paraId="00000016">
            <w:pPr>
              <w:pageBreakBefore w:val="0"/>
              <w:spacing w:after="240" w:line="240" w:lineRule="auto"/>
              <w:ind w:left="209"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17">
            <w:pPr>
              <w:pageBreakBefore w:val="0"/>
              <w:tabs>
                <w:tab w:val="left" w:leader="none" w:pos="-75"/>
              </w:tabs>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an entity or person under consideration meets all 3 conditions contained in the relevant excerpt from HMRC’s “Test for Tax Non-Compliance”, as set out in Annex 1 (as amended and updated from time to time), where:</w:t>
            </w:r>
          </w:p>
          <w:p w:rsidR="00000000" w:rsidDel="00000000" w:rsidP="00000000" w:rsidRDefault="00000000" w:rsidRPr="00000000" w14:paraId="000000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5"/>
              </w:tabs>
              <w:spacing w:after="0" w:before="0" w:line="240" w:lineRule="auto"/>
              <w:ind w:left="405"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“Economic Operator” means the Supplier or any agent, supplier or Subcontractor of the Supplier requested to be replaced pursuant to Paragraph 5.3; and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405"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“Essential Subcontractor” means any Key Subcontractor.</w:t>
            </w:r>
          </w:p>
        </w:tc>
      </w:tr>
    </w:tbl>
    <w:p w:rsidR="00000000" w:rsidDel="00000000" w:rsidP="00000000" w:rsidRDefault="00000000" w:rsidRPr="00000000" w14:paraId="0000001B">
      <w:pPr>
        <w:pStyle w:val="Heading2"/>
        <w:keepNext w:val="0"/>
        <w:keepLines w:val="0"/>
        <w:pageBreakBefore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b w:val="1"/>
          <w:color w:val="000000"/>
          <w:sz w:val="24"/>
          <w:szCs w:val="24"/>
        </w:rPr>
      </w:pPr>
      <w:bookmarkStart w:colFirst="0" w:colLast="0" w:name="_heading=h.30j0zll" w:id="1"/>
      <w:bookmarkEnd w:id="1"/>
      <w:r w:rsidDel="00000000" w:rsidR="00000000" w:rsidRPr="00000000">
        <w:rPr>
          <w:rFonts w:ascii="Arial" w:cs="Arial" w:eastAsia="Arial" w:hAnsi="Arial"/>
          <w:b w:val="1"/>
          <w:color w:val="000000"/>
          <w:sz w:val="24"/>
          <w:szCs w:val="24"/>
          <w:rtl w:val="0"/>
        </w:rPr>
        <w:t xml:space="preserve">Exclusion of certain Core Terms and terms of Schedules</w:t>
      </w:r>
    </w:p>
    <w:p w:rsidR="00000000" w:rsidDel="00000000" w:rsidP="00000000" w:rsidRDefault="00000000" w:rsidRPr="00000000" w14:paraId="0000001C">
      <w:pPr>
        <w:pStyle w:val="Heading2"/>
        <w:keepNext w:val="0"/>
        <w:keepLines w:val="0"/>
        <w:pageBreakBefore w:val="0"/>
        <w:numPr>
          <w:ilvl w:val="1"/>
          <w:numId w:val="1"/>
        </w:numPr>
        <w:spacing w:line="240" w:lineRule="auto"/>
        <w:ind w:left="792"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the Parties have entered into a Call-Off Contract which incorporates the terms of this Call-Off Schedule 23, the following Core Terms are modified in respect of that Call-Off Contract (but are not modified in respect of the Framework Contract):</w:t>
      </w:r>
    </w:p>
    <w:p w:rsidR="00000000" w:rsidDel="00000000" w:rsidP="00000000" w:rsidRDefault="00000000" w:rsidRPr="00000000" w14:paraId="0000001D">
      <w:pPr>
        <w:pageBreakBefore w:val="0"/>
        <w:spacing w:after="0" w:lineRule="auto"/>
        <w:rPr/>
      </w:pPr>
      <w:r w:rsidDel="00000000" w:rsidR="00000000" w:rsidRPr="00000000">
        <w:rPr>
          <w:rtl w:val="0"/>
        </w:rPr>
      </w:r>
    </w:p>
    <w:p w:rsidR="00000000" w:rsidDel="00000000" w:rsidP="00000000" w:rsidRDefault="00000000" w:rsidRPr="00000000" w14:paraId="0000001E">
      <w:pPr>
        <w:pStyle w:val="Heading2"/>
        <w:keepNext w:val="0"/>
        <w:keepLines w:val="0"/>
        <w:pageBreakBefore w:val="0"/>
        <w:numPr>
          <w:ilvl w:val="2"/>
          <w:numId w:val="1"/>
        </w:numPr>
        <w:spacing w:after="240" w:before="0" w:line="240" w:lineRule="auto"/>
        <w:ind w:left="1224" w:hanging="504.0000000000000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Clauses 31.1, 31.2, 31.3 and 31.4(d) of the Core Terms do not apply to that Call-Off Contract, but for the avoidance of doubt, the remainder of Clause 31.4 of the Core Terms shall continue to apply to the Call-Off Contract; and</w:t>
      </w:r>
    </w:p>
    <w:p w:rsidR="00000000" w:rsidDel="00000000" w:rsidP="00000000" w:rsidRDefault="00000000" w:rsidRPr="00000000" w14:paraId="0000001F">
      <w:pPr>
        <w:pStyle w:val="Heading2"/>
        <w:keepNext w:val="0"/>
        <w:keepLines w:val="0"/>
        <w:pageBreakBefore w:val="0"/>
        <w:numPr>
          <w:ilvl w:val="2"/>
          <w:numId w:val="1"/>
        </w:numPr>
        <w:spacing w:after="240" w:before="0" w:line="240" w:lineRule="auto"/>
        <w:ind w:left="1224" w:hanging="504.00000000000006"/>
        <w:jc w:val="both"/>
        <w:rPr/>
      </w:pPr>
      <w:r w:rsidDel="00000000" w:rsidR="00000000" w:rsidRPr="00000000">
        <w:rPr>
          <w:rFonts w:ascii="Arial" w:cs="Arial" w:eastAsia="Arial" w:hAnsi="Arial"/>
          <w:color w:val="000000"/>
          <w:sz w:val="24"/>
          <w:szCs w:val="24"/>
          <w:rtl w:val="0"/>
        </w:rPr>
        <w:t xml:space="preserve">Clause 7.2 of the Core Terms does not apply to that Call-Off Contract.</w:t>
      </w: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Style w:val="Heading2"/>
        <w:keepNext w:val="0"/>
        <w:keepLines w:val="0"/>
        <w:pageBreakBefore w:val="0"/>
        <w:numPr>
          <w:ilvl w:val="1"/>
          <w:numId w:val="1"/>
        </w:numPr>
        <w:spacing w:line="240" w:lineRule="auto"/>
        <w:ind w:left="792"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the Parties have entered into a Call-Off Contract which incorporates the terms of this Call-Off Schedule 23, the following Joint Schedules are modified in respect of that Call-Off Contract (but are not disapplied in respect of the Framework Contract):</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Style w:val="Heading2"/>
        <w:keepNext w:val="0"/>
        <w:keepLines w:val="0"/>
        <w:pageBreakBefore w:val="0"/>
        <w:numPr>
          <w:ilvl w:val="2"/>
          <w:numId w:val="1"/>
        </w:numPr>
        <w:spacing w:line="240" w:lineRule="auto"/>
        <w:ind w:left="1224" w:hanging="504.0000000000000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definition of “Occasion of Tax Non-Compliance” contained in Joint Schedule 1 (Definitions) does not apply to that Call-Off Contract; and</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Style w:val="Heading2"/>
        <w:keepNext w:val="0"/>
        <w:keepLines w:val="0"/>
        <w:pageBreakBefore w:val="0"/>
        <w:numPr>
          <w:ilvl w:val="2"/>
          <w:numId w:val="1"/>
        </w:numPr>
        <w:spacing w:line="240" w:lineRule="auto"/>
        <w:ind w:left="1224" w:hanging="504.0000000000000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 5(d) of Joint Schedule 11 (Processing Data) does not apply to that Call-Off Contract.</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Style w:val="Heading2"/>
        <w:keepNext w:val="0"/>
        <w:keepLines w:val="0"/>
        <w:pageBreakBefore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Charges, Payment and Recovery of Sums Due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28">
      <w:pPr>
        <w:pStyle w:val="Heading2"/>
        <w:keepNext w:val="0"/>
        <w:keepLines w:val="0"/>
        <w:pageBreakBefore w:val="0"/>
        <w:numPr>
          <w:ilvl w:val="1"/>
          <w:numId w:val="1"/>
        </w:numPr>
        <w:spacing w:line="240" w:lineRule="auto"/>
        <w:ind w:left="792" w:hanging="432"/>
        <w:jc w:val="both"/>
        <w:rPr>
          <w:rFonts w:ascii="Arial" w:cs="Arial" w:eastAsia="Arial" w:hAnsi="Arial"/>
          <w:color w:val="000000"/>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The Supplier shall invoice the Buyer as specified in Clause 4 of the Core Terms as modified by any Framework Special Terms or any Call-Off Special Terms. </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Style w:val="Heading2"/>
        <w:keepNext w:val="0"/>
        <w:keepLines w:val="0"/>
        <w:pageBreakBefore w:val="0"/>
        <w:numPr>
          <w:ilvl w:val="1"/>
          <w:numId w:val="1"/>
        </w:numPr>
        <w:spacing w:after="240" w:before="0" w:line="240" w:lineRule="auto"/>
        <w:ind w:left="792"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 </w:t>
      </w:r>
    </w:p>
    <w:p w:rsidR="00000000" w:rsidDel="00000000" w:rsidP="00000000" w:rsidRDefault="00000000" w:rsidRPr="00000000" w14:paraId="0000002B">
      <w:pPr>
        <w:pStyle w:val="Heading2"/>
        <w:keepNext w:val="0"/>
        <w:keepLines w:val="0"/>
        <w:pageBreakBefore w:val="0"/>
        <w:numPr>
          <w:ilvl w:val="2"/>
          <w:numId w:val="1"/>
        </w:numPr>
        <w:spacing w:after="240" w:before="0" w:line="240" w:lineRule="auto"/>
        <w:ind w:left="1224" w:hanging="504.0000000000000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does so at its own risk; and</w:t>
      </w:r>
    </w:p>
    <w:p w:rsidR="00000000" w:rsidDel="00000000" w:rsidP="00000000" w:rsidRDefault="00000000" w:rsidRPr="00000000" w14:paraId="0000002C">
      <w:pPr>
        <w:pStyle w:val="Heading2"/>
        <w:keepNext w:val="0"/>
        <w:keepLines w:val="0"/>
        <w:pageBreakBefore w:val="0"/>
        <w:numPr>
          <w:ilvl w:val="2"/>
          <w:numId w:val="1"/>
        </w:numPr>
        <w:spacing w:after="240" w:before="0" w:line="240" w:lineRule="auto"/>
        <w:ind w:left="1418" w:hanging="69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 not be obliged to pay any invoice without a valid Purchase Order Number having been provided to the Supplier.</w:t>
      </w:r>
    </w:p>
    <w:p w:rsidR="00000000" w:rsidDel="00000000" w:rsidP="00000000" w:rsidRDefault="00000000" w:rsidRPr="00000000" w14:paraId="0000002D">
      <w:pPr>
        <w:pStyle w:val="Heading2"/>
        <w:keepNext w:val="0"/>
        <w:keepLines w:val="0"/>
        <w:pageBreakBefore w:val="0"/>
        <w:numPr>
          <w:ilvl w:val="1"/>
          <w:numId w:val="1"/>
        </w:numPr>
        <w:spacing w:after="240" w:before="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submit each invoice and any Supporting Documentation required in accordance with Clause 4 of the Core Terms and any applicable Framework Special Term or Call-Off Special Term, as directed by the Buyer from time to time, either: </w:t>
      </w:r>
      <w:r w:rsidDel="00000000" w:rsidR="00000000" w:rsidRPr="00000000">
        <w:rPr>
          <w:rtl w:val="0"/>
        </w:rPr>
      </w:r>
    </w:p>
    <w:p w:rsidR="00000000" w:rsidDel="00000000" w:rsidP="00000000" w:rsidRDefault="00000000" w:rsidRPr="00000000" w14:paraId="0000002E">
      <w:pPr>
        <w:pStyle w:val="Heading2"/>
        <w:keepNext w:val="0"/>
        <w:keepLines w:val="0"/>
        <w:pageBreakBefore w:val="0"/>
        <w:numPr>
          <w:ilvl w:val="2"/>
          <w:numId w:val="1"/>
        </w:numPr>
        <w:spacing w:after="240" w:before="0" w:line="240" w:lineRule="auto"/>
        <w:ind w:left="1418" w:hanging="69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via the Buyer ’s electronic transaction system as an Electronic Invoice; or </w:t>
      </w:r>
      <w:r w:rsidDel="00000000" w:rsidR="00000000" w:rsidRPr="00000000">
        <w:rPr>
          <w:rtl w:val="0"/>
        </w:rPr>
      </w:r>
    </w:p>
    <w:p w:rsidR="00000000" w:rsidDel="00000000" w:rsidP="00000000" w:rsidRDefault="00000000" w:rsidRPr="00000000" w14:paraId="0000002F">
      <w:pPr>
        <w:pStyle w:val="Heading2"/>
        <w:keepNext w:val="0"/>
        <w:keepLines w:val="0"/>
        <w:pageBreakBefore w:val="0"/>
        <w:numPr>
          <w:ilvl w:val="2"/>
          <w:numId w:val="1"/>
        </w:numPr>
        <w:spacing w:after="240" w:before="0" w:line="240" w:lineRule="auto"/>
        <w:ind w:left="1418" w:hanging="69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to the [</w:t>
      </w:r>
      <w:r w:rsidDel="00000000" w:rsidR="00000000" w:rsidRPr="00000000">
        <w:rPr>
          <w:rFonts w:ascii="Arial" w:cs="Arial" w:eastAsia="Arial" w:hAnsi="Arial"/>
          <w:color w:val="000000"/>
          <w:sz w:val="24"/>
          <w:szCs w:val="24"/>
          <w:highlight w:val="yellow"/>
          <w:rtl w:val="0"/>
        </w:rPr>
        <w:t xml:space="preserve">specify who the contact in HMRC is]</w:t>
      </w:r>
      <w:r w:rsidDel="00000000" w:rsidR="00000000" w:rsidRPr="00000000">
        <w:rPr>
          <w:rFonts w:ascii="Arial" w:cs="Arial" w:eastAsia="Arial" w:hAnsi="Arial"/>
          <w:color w:val="000000"/>
          <w:sz w:val="24"/>
          <w:szCs w:val="24"/>
          <w:rtl w:val="0"/>
        </w:rPr>
        <w:t xml:space="preserve"> (or such other person notified to the Supplier in writing by the Buyer) by email in pdf format or, if agreed with the Buyer, in hard copy by post.</w:t>
      </w:r>
      <w:r w:rsidDel="00000000" w:rsidR="00000000" w:rsidRPr="00000000">
        <w:rPr>
          <w:rtl w:val="0"/>
        </w:rPr>
      </w:r>
    </w:p>
    <w:p w:rsidR="00000000" w:rsidDel="00000000" w:rsidP="00000000" w:rsidRDefault="00000000" w:rsidRPr="00000000" w14:paraId="00000030">
      <w:pPr>
        <w:pStyle w:val="Heading2"/>
        <w:keepNext w:val="0"/>
        <w:keepLines w:val="0"/>
        <w:pageBreakBefore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Warranties</w:t>
      </w:r>
      <w:r w:rsidDel="00000000" w:rsidR="00000000" w:rsidRPr="00000000">
        <w:rPr>
          <w:rtl w:val="0"/>
        </w:rPr>
      </w:r>
    </w:p>
    <w:p w:rsidR="00000000" w:rsidDel="00000000" w:rsidP="00000000" w:rsidRDefault="00000000" w:rsidRPr="00000000" w14:paraId="00000031">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represents and warrants that:</w:t>
      </w:r>
      <w:r w:rsidDel="00000000" w:rsidR="00000000" w:rsidRPr="00000000">
        <w:rPr>
          <w:rtl w:val="0"/>
        </w:rPr>
      </w:r>
    </w:p>
    <w:p w:rsidR="00000000" w:rsidDel="00000000" w:rsidP="00000000" w:rsidRDefault="00000000" w:rsidRPr="00000000" w14:paraId="00000032">
      <w:pPr>
        <w:pStyle w:val="Heading2"/>
        <w:keepNext w:val="0"/>
        <w:keepLines w:val="0"/>
        <w:pageBreakBefore w:val="0"/>
        <w:numPr>
          <w:ilvl w:val="2"/>
          <w:numId w:val="1"/>
        </w:numPr>
        <w:spacing w:after="240" w:before="0" w:line="240" w:lineRule="auto"/>
        <w:ind w:left="1418" w:hanging="698"/>
        <w:jc w:val="both"/>
        <w:rPr>
          <w:rFonts w:ascii="Arial" w:cs="Arial" w:eastAsia="Arial" w:hAnsi="Arial"/>
          <w:sz w:val="24"/>
          <w:szCs w:val="24"/>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in the three years prior to the Effective Date, it has complied with all applicable Law related to Tax in the United Kingdom and in the jurisdiction in which it is established;</w:t>
      </w:r>
      <w:r w:rsidDel="00000000" w:rsidR="00000000" w:rsidRPr="00000000">
        <w:rPr>
          <w:rtl w:val="0"/>
        </w:rPr>
      </w:r>
    </w:p>
    <w:p w:rsidR="00000000" w:rsidDel="00000000" w:rsidP="00000000" w:rsidRDefault="00000000" w:rsidRPr="00000000" w14:paraId="00000033">
      <w:pPr>
        <w:pStyle w:val="Heading2"/>
        <w:keepNext w:val="0"/>
        <w:keepLines w:val="0"/>
        <w:pageBreakBefore w:val="0"/>
        <w:numPr>
          <w:ilvl w:val="2"/>
          <w:numId w:val="1"/>
        </w:numPr>
        <w:spacing w:after="240" w:before="0" w:line="240" w:lineRule="auto"/>
        <w:ind w:left="1418" w:hanging="698"/>
        <w:jc w:val="both"/>
        <w:rPr>
          <w:rFonts w:ascii="Arial" w:cs="Arial" w:eastAsia="Arial" w:hAnsi="Arial"/>
          <w:sz w:val="24"/>
          <w:szCs w:val="24"/>
        </w:rPr>
      </w:pPr>
      <w:bookmarkStart w:colFirst="0" w:colLast="0" w:name="_heading=h.2et92p0" w:id="4"/>
      <w:bookmarkEnd w:id="4"/>
      <w:r w:rsidDel="00000000" w:rsidR="00000000" w:rsidRPr="00000000">
        <w:rPr>
          <w:rFonts w:ascii="Arial" w:cs="Arial" w:eastAsia="Arial" w:hAnsi="Arial"/>
          <w:color w:val="000000"/>
          <w:sz w:val="24"/>
          <w:szCs w:val="24"/>
          <w:rtl w:val="0"/>
        </w:rPr>
        <w:t xml:space="preserve">it has notified the Buyer in writing of any Tax Compliance Failure it is involved in; and</w:t>
      </w:r>
      <w:r w:rsidDel="00000000" w:rsidR="00000000" w:rsidRPr="00000000">
        <w:rPr>
          <w:rtl w:val="0"/>
        </w:rPr>
      </w:r>
    </w:p>
    <w:p w:rsidR="00000000" w:rsidDel="00000000" w:rsidP="00000000" w:rsidRDefault="00000000" w:rsidRPr="00000000" w14:paraId="00000034">
      <w:pPr>
        <w:pStyle w:val="Heading2"/>
        <w:keepNext w:val="0"/>
        <w:keepLines w:val="0"/>
        <w:pageBreakBefore w:val="0"/>
        <w:numPr>
          <w:ilvl w:val="2"/>
          <w:numId w:val="1"/>
        </w:numPr>
        <w:spacing w:after="240" w:before="0" w:line="240" w:lineRule="auto"/>
        <w:ind w:left="1418" w:hanging="698"/>
        <w:jc w:val="both"/>
        <w:rPr>
          <w:rFonts w:ascii="Arial" w:cs="Arial" w:eastAsia="Arial" w:hAnsi="Arial"/>
          <w:color w:val="000000"/>
          <w:sz w:val="24"/>
          <w:szCs w:val="24"/>
        </w:rPr>
      </w:pPr>
      <w:bookmarkStart w:colFirst="0" w:colLast="0" w:name="_heading=h.tyjcwt" w:id="5"/>
      <w:bookmarkEnd w:id="5"/>
      <w:r w:rsidDel="00000000" w:rsidR="00000000" w:rsidRPr="00000000">
        <w:rPr>
          <w:rFonts w:ascii="Arial" w:cs="Arial" w:eastAsia="Arial" w:hAnsi="Arial"/>
          <w:color w:val="000000"/>
          <w:sz w:val="24"/>
          <w:szCs w:val="24"/>
          <w:rtl w:val="0"/>
        </w:rPr>
        <w:t xml:space="preserve">no proceedings or other steps have been taken (nor, to the best of the Supplier’s knowledge, are threatened) for:</w:t>
      </w:r>
    </w:p>
    <w:p w:rsidR="00000000" w:rsidDel="00000000" w:rsidP="00000000" w:rsidRDefault="00000000" w:rsidRPr="00000000" w14:paraId="00000035">
      <w:pPr>
        <w:pStyle w:val="Heading2"/>
        <w:keepNext w:val="0"/>
        <w:keepLines w:val="0"/>
        <w:pageBreakBefore w:val="0"/>
        <w:numPr>
          <w:ilvl w:val="3"/>
          <w:numId w:val="1"/>
        </w:numPr>
        <w:spacing w:after="240" w:line="240" w:lineRule="auto"/>
        <w:ind w:left="2127" w:hanging="10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winding up of the Supplier; </w:t>
      </w:r>
    </w:p>
    <w:p w:rsidR="00000000" w:rsidDel="00000000" w:rsidP="00000000" w:rsidRDefault="00000000" w:rsidRPr="00000000" w14:paraId="00000036">
      <w:pPr>
        <w:pStyle w:val="Heading2"/>
        <w:keepNext w:val="0"/>
        <w:keepLines w:val="0"/>
        <w:pageBreakBefore w:val="0"/>
        <w:numPr>
          <w:ilvl w:val="3"/>
          <w:numId w:val="1"/>
        </w:numPr>
        <w:spacing w:after="240" w:line="240" w:lineRule="auto"/>
        <w:ind w:left="2127" w:hanging="10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dissolution; or</w:t>
      </w:r>
    </w:p>
    <w:p w:rsidR="00000000" w:rsidDel="00000000" w:rsidP="00000000" w:rsidRDefault="00000000" w:rsidRPr="00000000" w14:paraId="00000037">
      <w:pPr>
        <w:pStyle w:val="Heading2"/>
        <w:keepNext w:val="0"/>
        <w:keepLines w:val="0"/>
        <w:pageBreakBefore w:val="0"/>
        <w:numPr>
          <w:ilvl w:val="3"/>
          <w:numId w:val="1"/>
        </w:numPr>
        <w:spacing w:after="24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appointment of a receiver, administrative receiver, liquidator, manager, administrator or similar officer in relation to any of the Supplier’s assets or revenue,</w:t>
      </w:r>
      <w:r w:rsidDel="00000000" w:rsidR="00000000" w:rsidRPr="00000000">
        <w:rPr>
          <w:rtl w:val="0"/>
        </w:rPr>
      </w:r>
    </w:p>
    <w:p w:rsidR="00000000" w:rsidDel="00000000" w:rsidP="00000000" w:rsidRDefault="00000000" w:rsidRPr="00000000" w14:paraId="00000038">
      <w:pPr>
        <w:pStyle w:val="Heading2"/>
        <w:keepNext w:val="0"/>
        <w:keepLines w:val="0"/>
        <w:pageBreakBefore w:val="0"/>
        <w:spacing w:after="240" w:before="0" w:line="240" w:lineRule="auto"/>
        <w:ind w:left="144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the Supplier has notified the Buyer of any profit warnings it has issued in the three years prior to the Effective Date.</w:t>
      </w:r>
    </w:p>
    <w:p w:rsidR="00000000" w:rsidDel="00000000" w:rsidP="00000000" w:rsidRDefault="00000000" w:rsidRPr="00000000" w14:paraId="00000039">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r w:rsidDel="00000000" w:rsidR="00000000" w:rsidRPr="00000000">
        <w:rPr>
          <w:rtl w:val="0"/>
        </w:rPr>
      </w:r>
    </w:p>
    <w:p w:rsidR="00000000" w:rsidDel="00000000" w:rsidP="00000000" w:rsidRDefault="00000000" w:rsidRPr="00000000" w14:paraId="0000003A">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w:t>
      </w:r>
      <w:r w:rsidDel="00000000" w:rsidR="00000000" w:rsidRPr="00000000">
        <w:rPr>
          <w:rtl w:val="0"/>
        </w:rPr>
      </w:r>
    </w:p>
    <w:p w:rsidR="00000000" w:rsidDel="00000000" w:rsidP="00000000" w:rsidRDefault="00000000" w:rsidRPr="00000000" w14:paraId="0000003B">
      <w:pPr>
        <w:pStyle w:val="Heading2"/>
        <w:keepNext w:val="0"/>
        <w:keepLines w:val="0"/>
        <w:pageBreakBefore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Promoting Tax Compliance</w:t>
      </w:r>
      <w:r w:rsidDel="00000000" w:rsidR="00000000" w:rsidRPr="00000000">
        <w:rPr>
          <w:rtl w:val="0"/>
        </w:rPr>
      </w:r>
    </w:p>
    <w:p w:rsidR="00000000" w:rsidDel="00000000" w:rsidP="00000000" w:rsidRDefault="00000000" w:rsidRPr="00000000" w14:paraId="0000003C">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bookmarkStart w:colFirst="0" w:colLast="0" w:name="_heading=h.3dy6vkm" w:id="6"/>
      <w:bookmarkEnd w:id="6"/>
      <w:r w:rsidDel="00000000" w:rsidR="00000000" w:rsidRPr="00000000">
        <w:rPr>
          <w:rFonts w:ascii="Arial" w:cs="Arial" w:eastAsia="Arial" w:hAnsi="Arial"/>
          <w:color w:val="000000"/>
          <w:sz w:val="24"/>
          <w:szCs w:val="24"/>
          <w:rtl w:val="0"/>
        </w:rPr>
        <w:t xml:space="preserve">The Supplier shall comply with all Law relating to Tax and with the equivalent legal provisions of the country in which the Supplier is established. </w:t>
      </w:r>
      <w:r w:rsidDel="00000000" w:rsidR="00000000" w:rsidRPr="00000000">
        <w:rPr>
          <w:rtl w:val="0"/>
        </w:rPr>
      </w:r>
    </w:p>
    <w:p w:rsidR="00000000" w:rsidDel="00000000" w:rsidP="00000000" w:rsidRDefault="00000000" w:rsidRPr="00000000" w14:paraId="0000003D">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bookmarkStart w:colFirst="0" w:colLast="0" w:name="_heading=h.1t3h5sf" w:id="7"/>
      <w:bookmarkEnd w:id="7"/>
      <w:r w:rsidDel="00000000" w:rsidR="00000000" w:rsidRPr="00000000">
        <w:rPr>
          <w:rFonts w:ascii="Arial" w:cs="Arial" w:eastAsia="Arial" w:hAnsi="Arial"/>
          <w:color w:val="000000"/>
          <w:sz w:val="24"/>
          <w:szCs w:val="24"/>
          <w:rtl w:val="0"/>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r w:rsidDel="00000000" w:rsidR="00000000" w:rsidRPr="00000000">
        <w:rPr>
          <w:rtl w:val="0"/>
        </w:rPr>
      </w:r>
    </w:p>
    <w:p w:rsidR="00000000" w:rsidDel="00000000" w:rsidP="00000000" w:rsidRDefault="00000000" w:rsidRPr="00000000" w14:paraId="0000003E">
      <w:pPr>
        <w:pStyle w:val="Heading2"/>
        <w:keepNext w:val="0"/>
        <w:keepLines w:val="0"/>
        <w:pageBreakBefore w:val="0"/>
        <w:numPr>
          <w:ilvl w:val="1"/>
          <w:numId w:val="1"/>
        </w:numPr>
        <w:spacing w:after="240" w:line="240" w:lineRule="auto"/>
        <w:ind w:left="792" w:hanging="432"/>
        <w:jc w:val="both"/>
        <w:rPr>
          <w:rFonts w:ascii="Arial" w:cs="Arial" w:eastAsia="Arial" w:hAnsi="Arial"/>
          <w:color w:val="000000"/>
          <w:sz w:val="24"/>
          <w:szCs w:val="24"/>
        </w:rPr>
      </w:pPr>
      <w:bookmarkStart w:colFirst="0" w:colLast="0" w:name="_heading=h.4d34og8" w:id="8"/>
      <w:bookmarkEnd w:id="8"/>
      <w:r w:rsidDel="00000000" w:rsidR="00000000" w:rsidRPr="00000000">
        <w:rPr>
          <w:rFonts w:ascii="Arial" w:cs="Arial" w:eastAsia="Arial" w:hAnsi="Arial"/>
          <w:color w:val="000000"/>
          <w:sz w:val="24"/>
          <w:szCs w:val="24"/>
          <w:rtl w:val="0"/>
        </w:rPr>
        <w:t xml:space="preserve">Upon a request by the Buyer, the Supplier shall not contract, or will cease to contract, with any agent, supplier or Subcontractor of the Supplier engaged in supplying Deliverables under the Contract.  </w:t>
      </w:r>
    </w:p>
    <w:p w:rsidR="00000000" w:rsidDel="00000000" w:rsidP="00000000" w:rsidRDefault="00000000" w:rsidRPr="00000000" w14:paraId="0000003F">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bookmarkStart w:colFirst="0" w:colLast="0" w:name="_heading=h.2s8eyo1" w:id="9"/>
      <w:bookmarkEnd w:id="9"/>
      <w:r w:rsidDel="00000000" w:rsidR="00000000" w:rsidRPr="00000000">
        <w:rPr>
          <w:rFonts w:ascii="Arial" w:cs="Arial" w:eastAsia="Arial" w:hAnsi="Arial"/>
          <w:color w:val="000000"/>
          <w:sz w:val="24"/>
          <w:szCs w:val="24"/>
          <w:rtl w:val="0"/>
        </w:rPr>
        <w:t xml:space="preserve">If, at any point during the Call-Off Contract Period, there is a Tax Compliance Failure, the Supplier shall:</w:t>
      </w:r>
      <w:r w:rsidDel="00000000" w:rsidR="00000000" w:rsidRPr="00000000">
        <w:rPr>
          <w:rtl w:val="0"/>
        </w:rPr>
      </w:r>
    </w:p>
    <w:p w:rsidR="00000000" w:rsidDel="00000000" w:rsidP="00000000" w:rsidRDefault="00000000" w:rsidRPr="00000000" w14:paraId="00000040">
      <w:pPr>
        <w:pStyle w:val="Heading2"/>
        <w:keepNext w:val="0"/>
        <w:keepLines w:val="0"/>
        <w:pageBreakBefore w:val="0"/>
        <w:numPr>
          <w:ilvl w:val="2"/>
          <w:numId w:val="1"/>
        </w:numPr>
        <w:spacing w:after="240" w:before="0" w:line="240" w:lineRule="auto"/>
        <w:ind w:left="1418" w:hanging="698"/>
        <w:jc w:val="both"/>
        <w:rPr>
          <w:rFonts w:ascii="Arial" w:cs="Arial" w:eastAsia="Arial" w:hAnsi="Arial"/>
          <w:sz w:val="24"/>
          <w:szCs w:val="24"/>
        </w:rPr>
      </w:pPr>
      <w:bookmarkStart w:colFirst="0" w:colLast="0" w:name="_heading=h.17dp8vu" w:id="10"/>
      <w:bookmarkEnd w:id="10"/>
      <w:r w:rsidDel="00000000" w:rsidR="00000000" w:rsidRPr="00000000">
        <w:rPr>
          <w:rFonts w:ascii="Arial" w:cs="Arial" w:eastAsia="Arial" w:hAnsi="Arial"/>
          <w:color w:val="000000"/>
          <w:sz w:val="24"/>
          <w:szCs w:val="24"/>
          <w:rtl w:val="0"/>
        </w:rPr>
        <w:t xml:space="preserve">notify the Buyer in writing within five (5) Working Days of its occurrence; and</w:t>
      </w:r>
      <w:r w:rsidDel="00000000" w:rsidR="00000000" w:rsidRPr="00000000">
        <w:rPr>
          <w:rtl w:val="0"/>
        </w:rPr>
      </w:r>
    </w:p>
    <w:p w:rsidR="00000000" w:rsidDel="00000000" w:rsidP="00000000" w:rsidRDefault="00000000" w:rsidRPr="00000000" w14:paraId="00000041">
      <w:pPr>
        <w:pStyle w:val="Heading2"/>
        <w:keepNext w:val="0"/>
        <w:keepLines w:val="0"/>
        <w:pageBreakBefore w:val="0"/>
        <w:numPr>
          <w:ilvl w:val="2"/>
          <w:numId w:val="1"/>
        </w:numPr>
        <w:spacing w:after="240" w:before="0" w:line="240" w:lineRule="auto"/>
        <w:ind w:left="1418" w:hanging="698"/>
        <w:jc w:val="both"/>
        <w:rPr>
          <w:rFonts w:ascii="Arial" w:cs="Arial" w:eastAsia="Arial" w:hAnsi="Arial"/>
          <w:sz w:val="24"/>
          <w:szCs w:val="24"/>
        </w:rPr>
      </w:pPr>
      <w:bookmarkStart w:colFirst="0" w:colLast="0" w:name="_heading=h.3rdcrjn" w:id="11"/>
      <w:bookmarkEnd w:id="11"/>
      <w:r w:rsidDel="00000000" w:rsidR="00000000" w:rsidRPr="00000000">
        <w:rPr>
          <w:rFonts w:ascii="Arial" w:cs="Arial" w:eastAsia="Arial" w:hAnsi="Arial"/>
          <w:color w:val="000000"/>
          <w:sz w:val="24"/>
          <w:szCs w:val="24"/>
          <w:rtl w:val="0"/>
        </w:rPr>
        <w:t xml:space="preserve">promptly provide to the Buyer:</w:t>
      </w:r>
      <w:r w:rsidDel="00000000" w:rsidR="00000000" w:rsidRPr="00000000">
        <w:rPr>
          <w:rtl w:val="0"/>
        </w:rPr>
      </w:r>
    </w:p>
    <w:p w:rsidR="00000000" w:rsidDel="00000000" w:rsidP="00000000" w:rsidRDefault="00000000" w:rsidRPr="00000000" w14:paraId="00000042">
      <w:pPr>
        <w:pStyle w:val="Heading2"/>
        <w:keepNext w:val="0"/>
        <w:keepLines w:val="0"/>
        <w:pageBreakBefore w:val="0"/>
        <w:numPr>
          <w:ilvl w:val="3"/>
          <w:numId w:val="1"/>
        </w:numPr>
        <w:spacing w:after="240" w:line="240" w:lineRule="auto"/>
        <w:ind w:left="2127" w:hanging="10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the steps which the Supplier is taking to resolve the Tax Compliance Failure and to prevent it from recurring, together with any mitigating factors that it considers relevant; and </w:t>
      </w:r>
    </w:p>
    <w:p w:rsidR="00000000" w:rsidDel="00000000" w:rsidP="00000000" w:rsidRDefault="00000000" w:rsidRPr="00000000" w14:paraId="00000043">
      <w:pPr>
        <w:pStyle w:val="Heading2"/>
        <w:keepNext w:val="0"/>
        <w:keepLines w:val="0"/>
        <w:pageBreakBefore w:val="0"/>
        <w:numPr>
          <w:ilvl w:val="3"/>
          <w:numId w:val="1"/>
        </w:numPr>
        <w:spacing w:after="24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such other information in relation to the Tax Compliance Failure as the Buyer may reasonably require.</w:t>
      </w:r>
      <w:r w:rsidDel="00000000" w:rsidR="00000000" w:rsidRPr="00000000">
        <w:rPr>
          <w:rtl w:val="0"/>
        </w:rPr>
      </w:r>
    </w:p>
    <w:p w:rsidR="00000000" w:rsidDel="00000000" w:rsidP="00000000" w:rsidRDefault="00000000" w:rsidRPr="00000000" w14:paraId="00000044">
      <w:pPr>
        <w:pStyle w:val="Heading2"/>
        <w:keepNext w:val="0"/>
        <w:keepLines w:val="0"/>
        <w:pageBreakBefore w:val="0"/>
        <w:numPr>
          <w:ilvl w:val="1"/>
          <w:numId w:val="1"/>
        </w:numPr>
        <w:spacing w:after="240" w:line="240" w:lineRule="auto"/>
        <w:ind w:left="792" w:hanging="432"/>
        <w:jc w:val="both"/>
        <w:rPr>
          <w:rFonts w:ascii="Arial" w:cs="Arial" w:eastAsia="Arial" w:hAnsi="Arial"/>
          <w:color w:val="000000"/>
          <w:sz w:val="24"/>
          <w:szCs w:val="24"/>
        </w:rPr>
      </w:pPr>
      <w:bookmarkStart w:colFirst="0" w:colLast="0" w:name="_heading=h.26in1rg" w:id="12"/>
      <w:bookmarkEnd w:id="12"/>
      <w:r w:rsidDel="00000000" w:rsidR="00000000" w:rsidRPr="00000000">
        <w:rPr>
          <w:rFonts w:ascii="Arial" w:cs="Arial" w:eastAsia="Arial" w:hAnsi="Arial"/>
          <w:color w:val="000000"/>
          <w:sz w:val="24"/>
          <w:szCs w:val="24"/>
          <w:rtl w:val="0"/>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rsidR="00000000" w:rsidDel="00000000" w:rsidP="00000000" w:rsidRDefault="00000000" w:rsidRPr="00000000" w14:paraId="00000045">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Any amounts due under Paragraph 5.5 shall be paid not less than five (5) Working Days before the date upon which the Tax or other liability is payable by the Buyer.  Any amounts due under Paragraph 5.5 shall not be subject to clause 11.2 of the Core Terms.</w:t>
      </w:r>
      <w:r w:rsidDel="00000000" w:rsidR="00000000" w:rsidRPr="00000000">
        <w:rPr>
          <w:rtl w:val="0"/>
        </w:rPr>
      </w:r>
    </w:p>
    <w:p w:rsidR="00000000" w:rsidDel="00000000" w:rsidP="00000000" w:rsidRDefault="00000000" w:rsidRPr="00000000" w14:paraId="00000046">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bookmarkStart w:colFirst="0" w:colLast="0" w:name="_heading=h.lnxbz9" w:id="13"/>
      <w:bookmarkEnd w:id="13"/>
      <w:r w:rsidDel="00000000" w:rsidR="00000000" w:rsidRPr="00000000">
        <w:rPr>
          <w:rFonts w:ascii="Arial" w:cs="Arial" w:eastAsia="Arial" w:hAnsi="Arial"/>
          <w:color w:val="000000"/>
          <w:sz w:val="24"/>
          <w:szCs w:val="24"/>
          <w:rtl w:val="0"/>
        </w:rPr>
        <w:t xml:space="preserve">Upon the Buyer’s request, the Supplier shall promptly provide information which demonstrates how the Supplier complies with its Tax obligations. </w:t>
      </w:r>
      <w:r w:rsidDel="00000000" w:rsidR="00000000" w:rsidRPr="00000000">
        <w:rPr>
          <w:rtl w:val="0"/>
        </w:rPr>
      </w:r>
    </w:p>
    <w:p w:rsidR="00000000" w:rsidDel="00000000" w:rsidP="00000000" w:rsidRDefault="00000000" w:rsidRPr="00000000" w14:paraId="00000047">
      <w:pPr>
        <w:pStyle w:val="Heading2"/>
        <w:keepNext w:val="0"/>
        <w:keepLines w:val="0"/>
        <w:pageBreakBefore w:val="0"/>
        <w:numPr>
          <w:ilvl w:val="1"/>
          <w:numId w:val="1"/>
        </w:numPr>
        <w:spacing w:after="240" w:line="240" w:lineRule="auto"/>
        <w:ind w:left="792"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Supplier: </w:t>
      </w:r>
    </w:p>
    <w:p w:rsidR="00000000" w:rsidDel="00000000" w:rsidP="00000000" w:rsidRDefault="00000000" w:rsidRPr="00000000" w14:paraId="00000048">
      <w:pPr>
        <w:pStyle w:val="Heading2"/>
        <w:keepNext w:val="0"/>
        <w:keepLines w:val="0"/>
        <w:pageBreakBefore w:val="0"/>
        <w:numPr>
          <w:ilvl w:val="2"/>
          <w:numId w:val="1"/>
        </w:numPr>
        <w:spacing w:after="240" w:before="0" w:line="240" w:lineRule="auto"/>
        <w:ind w:left="1418" w:hanging="69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fails to comply with Paragraphs 5.1, 5.4.1 and/or 5.7 this may be a material breach of the Contract; </w:t>
      </w:r>
    </w:p>
    <w:p w:rsidR="00000000" w:rsidDel="00000000" w:rsidP="00000000" w:rsidRDefault="00000000" w:rsidRPr="00000000" w14:paraId="00000049">
      <w:pPr>
        <w:pStyle w:val="Heading2"/>
        <w:keepNext w:val="0"/>
        <w:keepLines w:val="0"/>
        <w:pageBreakBefore w:val="0"/>
        <w:numPr>
          <w:ilvl w:val="2"/>
          <w:numId w:val="1"/>
        </w:numPr>
        <w:spacing w:after="240" w:before="0" w:line="240" w:lineRule="auto"/>
        <w:ind w:left="1418" w:hanging="69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fails to comply with a reasonable request by the Buyer that it must not contract, or must cease to contract, with any agent, supplier or Subcontractor of the Supplier as required by Paragraph 5.3 on the grounds that the agent, supplier or Subcontractor of the Supplier is  involved in a Tax Compliance Failure this shall be a material breach of the Contract; and/or</w:t>
      </w:r>
    </w:p>
    <w:p w:rsidR="00000000" w:rsidDel="00000000" w:rsidP="00000000" w:rsidRDefault="00000000" w:rsidRPr="00000000" w14:paraId="0000004A">
      <w:pPr>
        <w:pStyle w:val="Heading2"/>
        <w:keepNext w:val="0"/>
        <w:keepLines w:val="0"/>
        <w:pageBreakBefore w:val="0"/>
        <w:numPr>
          <w:ilvl w:val="2"/>
          <w:numId w:val="1"/>
        </w:numPr>
        <w:spacing w:after="240" w:before="0" w:line="240" w:lineRule="auto"/>
        <w:ind w:left="1418" w:hanging="69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fails to provide acceptable details of steps being taken and mitigating factors pursuant to Paragraph 5.4.2 this shall be a material breach of the Contract;</w:t>
      </w:r>
    </w:p>
    <w:p w:rsidR="00000000" w:rsidDel="00000000" w:rsidP="00000000" w:rsidRDefault="00000000" w:rsidRPr="00000000" w14:paraId="0000004B">
      <w:pPr>
        <w:pStyle w:val="Heading2"/>
        <w:keepNext w:val="0"/>
        <w:keepLines w:val="0"/>
        <w:pageBreakBefore w:val="0"/>
        <w:spacing w:after="240" w:line="240" w:lineRule="auto"/>
        <w:ind w:left="79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any such material breach shall be deemed to be an event to which clause 10.4.1 of the Core Terms applies and Clauses 10.6.1 and 10.6.2 of the Core Terms shall apply as if the Contract had been terminated under Clause 10.4.1.</w:t>
      </w:r>
    </w:p>
    <w:p w:rsidR="00000000" w:rsidDel="00000000" w:rsidP="00000000" w:rsidRDefault="00000000" w:rsidRPr="00000000" w14:paraId="0000004C">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addition to those circumstances listed in clause 15.2 to 15.4 of the Core Terms, the Buyer may internally share any information, including Confidential Information, which it receives under Paragraphs 5.2 to 5.4 (inclusive) and 5.7. </w:t>
      </w:r>
      <w:r w:rsidDel="00000000" w:rsidR="00000000" w:rsidRPr="00000000">
        <w:rPr>
          <w:rtl w:val="0"/>
        </w:rPr>
      </w:r>
    </w:p>
    <w:p w:rsidR="00000000" w:rsidDel="00000000" w:rsidP="00000000" w:rsidRDefault="00000000" w:rsidRPr="00000000" w14:paraId="0000004D">
      <w:pPr>
        <w:pStyle w:val="Heading2"/>
        <w:keepNext w:val="0"/>
        <w:keepLines w:val="0"/>
        <w:pageBreakBefore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b w:val="1"/>
          <w:sz w:val="24"/>
          <w:szCs w:val="24"/>
        </w:rPr>
      </w:pPr>
      <w:bookmarkStart w:colFirst="0" w:colLast="0" w:name="_heading=h.35nkun2" w:id="14"/>
      <w:bookmarkEnd w:id="14"/>
      <w:r w:rsidDel="00000000" w:rsidR="00000000" w:rsidRPr="00000000">
        <w:rPr>
          <w:rFonts w:ascii="Arial" w:cs="Arial" w:eastAsia="Arial" w:hAnsi="Arial"/>
          <w:b w:val="1"/>
          <w:color w:val="000000"/>
          <w:sz w:val="24"/>
          <w:szCs w:val="24"/>
          <w:rtl w:val="0"/>
        </w:rPr>
        <w:t xml:space="preserve">Use of Off-shore Tax Structures</w:t>
      </w:r>
      <w:r w:rsidDel="00000000" w:rsidR="00000000" w:rsidRPr="00000000">
        <w:rPr>
          <w:rtl w:val="0"/>
        </w:rPr>
      </w:r>
    </w:p>
    <w:p w:rsidR="00000000" w:rsidDel="00000000" w:rsidP="00000000" w:rsidRDefault="00000000" w:rsidRPr="00000000" w14:paraId="0000004E">
      <w:pPr>
        <w:pStyle w:val="Heading2"/>
        <w:keepNext w:val="0"/>
        <w:keepLines w:val="0"/>
        <w:pageBreakBefore w:val="0"/>
        <w:numPr>
          <w:ilvl w:val="1"/>
          <w:numId w:val="1"/>
        </w:numPr>
        <w:spacing w:after="240" w:line="240" w:lineRule="auto"/>
        <w:ind w:left="792" w:hanging="432"/>
        <w:jc w:val="both"/>
        <w:rPr>
          <w:rFonts w:ascii="Arial" w:cs="Arial" w:eastAsia="Arial" w:hAnsi="Arial"/>
          <w:b w:val="1"/>
          <w:color w:val="000000"/>
          <w:sz w:val="24"/>
          <w:szCs w:val="24"/>
        </w:rPr>
      </w:pPr>
      <w:bookmarkStart w:colFirst="0" w:colLast="0" w:name="_heading=h.1ksv4uv" w:id="15"/>
      <w:bookmarkEnd w:id="15"/>
      <w:r w:rsidDel="00000000" w:rsidR="00000000" w:rsidRPr="00000000">
        <w:rPr>
          <w:rFonts w:ascii="Arial" w:cs="Arial" w:eastAsia="Arial" w:hAnsi="Arial"/>
          <w:color w:val="000000"/>
          <w:sz w:val="24"/>
          <w:szCs w:val="24"/>
          <w:rtl w:val="0"/>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r w:rsidDel="00000000" w:rsidR="00000000" w:rsidRPr="00000000">
        <w:rPr>
          <w:rtl w:val="0"/>
        </w:rPr>
      </w:r>
    </w:p>
    <w:p w:rsidR="00000000" w:rsidDel="00000000" w:rsidP="00000000" w:rsidRDefault="00000000" w:rsidRPr="00000000" w14:paraId="0000004F">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bookmarkStart w:colFirst="0" w:colLast="0" w:name="_heading=h.44sinio" w:id="16"/>
      <w:bookmarkEnd w:id="16"/>
      <w:r w:rsidDel="00000000" w:rsidR="00000000" w:rsidRPr="00000000">
        <w:rPr>
          <w:rFonts w:ascii="Arial" w:cs="Arial" w:eastAsia="Arial" w:hAnsi="Arial"/>
          <w:color w:val="000000"/>
          <w:sz w:val="24"/>
          <w:szCs w:val="24"/>
          <w:rtl w:val="0"/>
        </w:rPr>
        <w:t xml:space="preserve">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r w:rsidDel="00000000" w:rsidR="00000000" w:rsidRPr="00000000">
        <w:rPr>
          <w:rtl w:val="0"/>
        </w:rPr>
      </w:r>
    </w:p>
    <w:p w:rsidR="00000000" w:rsidDel="00000000" w:rsidP="00000000" w:rsidRDefault="00000000" w:rsidRPr="00000000" w14:paraId="00000050">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bookmarkStart w:colFirst="0" w:colLast="0" w:name="_heading=h.2jxsxqh" w:id="17"/>
      <w:bookmarkEnd w:id="17"/>
      <w:r w:rsidDel="00000000" w:rsidR="00000000" w:rsidRPr="00000000">
        <w:rPr>
          <w:rFonts w:ascii="Arial" w:cs="Arial" w:eastAsia="Arial" w:hAnsi="Arial"/>
          <w:color w:val="000000"/>
          <w:sz w:val="24"/>
          <w:szCs w:val="24"/>
          <w:rtl w:val="0"/>
        </w:rPr>
        <w:t xml:space="preserve">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w:t>
      </w:r>
      <w:r w:rsidDel="00000000" w:rsidR="00000000" w:rsidRPr="00000000">
        <w:rPr>
          <w:rtl w:val="0"/>
        </w:rPr>
      </w:r>
    </w:p>
    <w:p w:rsidR="00000000" w:rsidDel="00000000" w:rsidP="00000000" w:rsidRDefault="00000000" w:rsidRPr="00000000" w14:paraId="00000051">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w:t>
      </w:r>
      <w:r w:rsidDel="00000000" w:rsidR="00000000" w:rsidRPr="00000000">
        <w:rPr>
          <w:rtl w:val="0"/>
        </w:rPr>
      </w:r>
    </w:p>
    <w:p w:rsidR="00000000" w:rsidDel="00000000" w:rsidP="00000000" w:rsidRDefault="00000000" w:rsidRPr="00000000" w14:paraId="00000052">
      <w:pPr>
        <w:pStyle w:val="Heading2"/>
        <w:keepNext w:val="0"/>
        <w:keepLines w:val="0"/>
        <w:pageBreakBefore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Data Protection and off-shoring</w:t>
      </w:r>
      <w:r w:rsidDel="00000000" w:rsidR="00000000" w:rsidRPr="00000000">
        <w:rPr>
          <w:rtl w:val="0"/>
        </w:rPr>
      </w:r>
    </w:p>
    <w:p w:rsidR="00000000" w:rsidDel="00000000" w:rsidP="00000000" w:rsidRDefault="00000000" w:rsidRPr="00000000" w14:paraId="00000053">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bookmarkStart w:colFirst="0" w:colLast="0" w:name="_heading=h.z337ya" w:id="18"/>
      <w:bookmarkEnd w:id="18"/>
      <w:r w:rsidDel="00000000" w:rsidR="00000000" w:rsidRPr="00000000">
        <w:rPr>
          <w:rFonts w:ascii="Arial" w:cs="Arial" w:eastAsia="Arial" w:hAnsi="Arial"/>
          <w:color w:val="000000"/>
          <w:sz w:val="24"/>
          <w:szCs w:val="24"/>
          <w:rtl w:val="0"/>
        </w:rPr>
        <w:t xml:space="preserve">The Processor shall, in relation to any Personal Data Processed in connection with its obligations under the Contract:</w:t>
      </w:r>
      <w:r w:rsidDel="00000000" w:rsidR="00000000" w:rsidRPr="00000000">
        <w:rPr>
          <w:rtl w:val="0"/>
        </w:rPr>
      </w:r>
    </w:p>
    <w:p w:rsidR="00000000" w:rsidDel="00000000" w:rsidP="00000000" w:rsidRDefault="00000000" w:rsidRPr="00000000" w14:paraId="00000054">
      <w:pPr>
        <w:pStyle w:val="Heading2"/>
        <w:keepNext w:val="0"/>
        <w:keepLines w:val="0"/>
        <w:pageBreakBefore w:val="0"/>
        <w:numPr>
          <w:ilvl w:val="2"/>
          <w:numId w:val="1"/>
        </w:numPr>
        <w:spacing w:after="240" w:before="0" w:line="240" w:lineRule="auto"/>
        <w:ind w:left="1418" w:hanging="69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not transfer Personal Data outside of the United Kingdom unless the prior written consent of the Controller has been obtained and the following conditions are fulfilled:</w:t>
      </w:r>
      <w:r w:rsidDel="00000000" w:rsidR="00000000" w:rsidRPr="00000000">
        <w:rPr>
          <w:rtl w:val="0"/>
        </w:rPr>
      </w:r>
    </w:p>
    <w:p w:rsidR="00000000" w:rsidDel="00000000" w:rsidP="00000000" w:rsidRDefault="00000000" w:rsidRPr="00000000" w14:paraId="00000055">
      <w:pPr>
        <w:pStyle w:val="Heading2"/>
        <w:keepNext w:val="0"/>
        <w:keepLines w:val="0"/>
        <w:pageBreakBefore w:val="0"/>
        <w:numPr>
          <w:ilvl w:val="3"/>
          <w:numId w:val="1"/>
        </w:numPr>
        <w:spacing w:after="240" w:before="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Controller or the Processor has provided appropriate safeguards in relation to the transfer (whether in accordance with GDPR Article 46 or LED Article 37) as determined by the Controller;</w:t>
      </w:r>
      <w:r w:rsidDel="00000000" w:rsidR="00000000" w:rsidRPr="00000000">
        <w:rPr>
          <w:rtl w:val="0"/>
        </w:rPr>
      </w:r>
    </w:p>
    <w:p w:rsidR="00000000" w:rsidDel="00000000" w:rsidP="00000000" w:rsidRDefault="00000000" w:rsidRPr="00000000" w14:paraId="00000056">
      <w:pPr>
        <w:pStyle w:val="Heading2"/>
        <w:keepNext w:val="0"/>
        <w:keepLines w:val="0"/>
        <w:pageBreakBefore w:val="0"/>
        <w:numPr>
          <w:ilvl w:val="3"/>
          <w:numId w:val="1"/>
        </w:numPr>
        <w:spacing w:after="240" w:before="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Data Subject has enforceable rights and effective legal remedies;</w:t>
      </w:r>
      <w:r w:rsidDel="00000000" w:rsidR="00000000" w:rsidRPr="00000000">
        <w:rPr>
          <w:rtl w:val="0"/>
        </w:rPr>
      </w:r>
    </w:p>
    <w:p w:rsidR="00000000" w:rsidDel="00000000" w:rsidP="00000000" w:rsidRDefault="00000000" w:rsidRPr="00000000" w14:paraId="00000057">
      <w:pPr>
        <w:pStyle w:val="Heading2"/>
        <w:keepNext w:val="0"/>
        <w:keepLines w:val="0"/>
        <w:pageBreakBefore w:val="0"/>
        <w:numPr>
          <w:ilvl w:val="3"/>
          <w:numId w:val="1"/>
        </w:numPr>
        <w:spacing w:after="240" w:before="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r w:rsidDel="00000000" w:rsidR="00000000" w:rsidRPr="00000000">
        <w:rPr>
          <w:rtl w:val="0"/>
        </w:rPr>
      </w:r>
    </w:p>
    <w:p w:rsidR="00000000" w:rsidDel="00000000" w:rsidP="00000000" w:rsidRDefault="00000000" w:rsidRPr="00000000" w14:paraId="00000058">
      <w:pPr>
        <w:pStyle w:val="Heading2"/>
        <w:keepNext w:val="0"/>
        <w:keepLines w:val="0"/>
        <w:pageBreakBefore w:val="0"/>
        <w:numPr>
          <w:ilvl w:val="3"/>
          <w:numId w:val="1"/>
        </w:numPr>
        <w:spacing w:after="240" w:before="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Processor complies with any reasonable instructions notified to it in advance by the Controller with respect to the Processing of the Personal Data;</w:t>
      </w:r>
      <w:r w:rsidDel="00000000" w:rsidR="00000000" w:rsidRPr="00000000">
        <w:rPr>
          <w:rtl w:val="0"/>
        </w:rPr>
      </w:r>
    </w:p>
    <w:p w:rsidR="00000000" w:rsidDel="00000000" w:rsidP="00000000" w:rsidRDefault="00000000" w:rsidRPr="00000000" w14:paraId="00000059">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Failure by the Processor to comply with the obligations set out in Paragraph 7.1 shall be deemed to be an event to which clause 10.4.1 of the Core Terms applies and Clauses 10.6.1 and 10.6.2 of the Core Terms shall apply as if the Contract had been terminated under Clause 10.4.1. </w:t>
      </w:r>
      <w:r w:rsidDel="00000000" w:rsidR="00000000" w:rsidRPr="00000000">
        <w:rPr>
          <w:rtl w:val="0"/>
        </w:rPr>
      </w:r>
    </w:p>
    <w:p w:rsidR="00000000" w:rsidDel="00000000" w:rsidP="00000000" w:rsidRDefault="00000000" w:rsidRPr="00000000" w14:paraId="0000005A">
      <w:pPr>
        <w:pStyle w:val="Heading2"/>
        <w:keepNext w:val="0"/>
        <w:keepLines w:val="0"/>
        <w:pageBreakBefore w:val="0"/>
        <w:numPr>
          <w:ilvl w:val="0"/>
          <w:numId w:val="1"/>
        </w:numPr>
        <w:pBdr>
          <w:top w:space="0" w:sz="0" w:val="nil"/>
          <w:left w:space="0" w:sz="0" w:val="nil"/>
          <w:bottom w:space="0" w:sz="0" w:val="nil"/>
          <w:right w:space="0" w:sz="0" w:val="nil"/>
          <w:between w:space="0" w:sz="0" w:val="nil"/>
        </w:pBdr>
        <w:spacing w:after="240" w:before="0" w:line="240" w:lineRule="auto"/>
        <w:ind w:left="567" w:hanging="567"/>
        <w:jc w:val="both"/>
        <w:rPr>
          <w:rFonts w:ascii="Arial" w:cs="Arial" w:eastAsia="Arial" w:hAnsi="Arial"/>
          <w:b w:val="1"/>
          <w:sz w:val="24"/>
          <w:szCs w:val="24"/>
        </w:rPr>
      </w:pPr>
      <w:bookmarkStart w:colFirst="0" w:colLast="0" w:name="_heading=h.3j2qqm3" w:id="19"/>
      <w:bookmarkEnd w:id="19"/>
      <w:r w:rsidDel="00000000" w:rsidR="00000000" w:rsidRPr="00000000">
        <w:rPr>
          <w:rFonts w:ascii="Arial" w:cs="Arial" w:eastAsia="Arial" w:hAnsi="Arial"/>
          <w:b w:val="1"/>
          <w:color w:val="000000"/>
          <w:sz w:val="24"/>
          <w:szCs w:val="24"/>
          <w:rtl w:val="0"/>
        </w:rPr>
        <w:t xml:space="preserve">Commissioners for Revenue and Customs Act 2005 and related Legislation </w:t>
      </w:r>
      <w:r w:rsidDel="00000000" w:rsidR="00000000" w:rsidRPr="00000000">
        <w:rPr>
          <w:rtl w:val="0"/>
        </w:rPr>
      </w:r>
    </w:p>
    <w:p w:rsidR="00000000" w:rsidDel="00000000" w:rsidP="00000000" w:rsidRDefault="00000000" w:rsidRPr="00000000" w14:paraId="0000005B">
      <w:pPr>
        <w:pStyle w:val="Heading2"/>
        <w:keepNext w:val="0"/>
        <w:keepLines w:val="0"/>
        <w:pageBreakBefore w:val="0"/>
        <w:numPr>
          <w:ilvl w:val="1"/>
          <w:numId w:val="1"/>
        </w:numPr>
        <w:spacing w:after="240" w:line="240" w:lineRule="auto"/>
        <w:ind w:left="851" w:hanging="709"/>
        <w:jc w:val="both"/>
        <w:rPr>
          <w:rFonts w:ascii="Arial" w:cs="Arial" w:eastAsia="Arial" w:hAnsi="Arial"/>
          <w:sz w:val="24"/>
          <w:szCs w:val="24"/>
        </w:rPr>
      </w:pPr>
      <w:bookmarkStart w:colFirst="0" w:colLast="0" w:name="_heading=h.1y810tw" w:id="20"/>
      <w:bookmarkEnd w:id="20"/>
      <w:r w:rsidDel="00000000" w:rsidR="00000000" w:rsidRPr="00000000">
        <w:rPr>
          <w:rFonts w:ascii="Arial" w:cs="Arial" w:eastAsia="Arial" w:hAnsi="Arial"/>
          <w:color w:val="000000"/>
          <w:sz w:val="24"/>
          <w:szCs w:val="24"/>
          <w:rtl w:val="0"/>
        </w:rPr>
        <w:t xml:space="preserve">The Supplier shall comply with, and shall ensure that all Supplier Staff who will have access to, or are provided with, Government Data comply with the obligations set out in Section 18 of the Commissioners for Revenue and Customs Act 2005 (“</w:t>
      </w:r>
      <w:r w:rsidDel="00000000" w:rsidR="00000000" w:rsidRPr="00000000">
        <w:rPr>
          <w:rFonts w:ascii="Arial" w:cs="Arial" w:eastAsia="Arial" w:hAnsi="Arial"/>
          <w:b w:val="1"/>
          <w:color w:val="000000"/>
          <w:sz w:val="24"/>
          <w:szCs w:val="24"/>
          <w:rtl w:val="0"/>
        </w:rPr>
        <w:t xml:space="preserve">CRCA</w:t>
      </w:r>
      <w:r w:rsidDel="00000000" w:rsidR="00000000" w:rsidRPr="00000000">
        <w:rPr>
          <w:rFonts w:ascii="Arial" w:cs="Arial" w:eastAsia="Arial" w:hAnsi="Arial"/>
          <w:color w:val="000000"/>
          <w:sz w:val="24"/>
          <w:szCs w:val="24"/>
          <w:rtl w:val="0"/>
        </w:rPr>
        <w:t xml:space="preserve">”) to maintain the confidentiality of Government Data.  Further, the Supplier acknowledges that (without prejudice to any other rights and remedies of the Buyer) a breach of those obligations may lead to a prosecution under Section 19 of CRCA. </w:t>
      </w:r>
      <w:r w:rsidDel="00000000" w:rsidR="00000000" w:rsidRPr="00000000">
        <w:rPr>
          <w:rtl w:val="0"/>
        </w:rPr>
      </w:r>
    </w:p>
    <w:p w:rsidR="00000000" w:rsidDel="00000000" w:rsidP="00000000" w:rsidRDefault="00000000" w:rsidRPr="00000000" w14:paraId="0000005C">
      <w:pPr>
        <w:pStyle w:val="Heading2"/>
        <w:keepNext w:val="0"/>
        <w:keepLines w:val="0"/>
        <w:pageBreakBefore w:val="0"/>
        <w:numPr>
          <w:ilvl w:val="1"/>
          <w:numId w:val="1"/>
        </w:numPr>
        <w:spacing w:after="240" w:line="240" w:lineRule="auto"/>
        <w:ind w:left="851"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sidDel="00000000" w:rsidR="00000000" w:rsidRPr="00000000">
        <w:rPr>
          <w:i w:val="1"/>
          <w:color w:val="000000"/>
          <w:rtl w:val="0"/>
        </w:rPr>
        <w:t xml:space="preserve"> </w:t>
      </w:r>
      <w:r w:rsidDel="00000000" w:rsidR="00000000" w:rsidRPr="00000000">
        <w:rPr>
          <w:rFonts w:ascii="Arial" w:cs="Arial" w:eastAsia="Arial" w:hAnsi="Arial"/>
          <w:color w:val="000000"/>
          <w:sz w:val="24"/>
          <w:szCs w:val="24"/>
          <w:rtl w:val="0"/>
        </w:rPr>
        <w:t xml:space="preserve">Further, the Supplier acknowledges that (without prejudice to any other rights and remedies of the Buyer) a breach of those obligations may lead to prosecution under those Acts. </w:t>
      </w:r>
    </w:p>
    <w:p w:rsidR="00000000" w:rsidDel="00000000" w:rsidP="00000000" w:rsidRDefault="00000000" w:rsidRPr="00000000" w14:paraId="0000005D">
      <w:pPr>
        <w:pStyle w:val="Heading2"/>
        <w:keepNext w:val="0"/>
        <w:keepLines w:val="0"/>
        <w:pageBreakBefore w:val="0"/>
        <w:numPr>
          <w:ilvl w:val="1"/>
          <w:numId w:val="1"/>
        </w:numPr>
        <w:spacing w:after="240" w:line="240" w:lineRule="auto"/>
        <w:ind w:left="851"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r w:rsidDel="00000000" w:rsidR="00000000" w:rsidRPr="00000000">
        <w:rPr>
          <w:rtl w:val="0"/>
        </w:rPr>
      </w:r>
    </w:p>
    <w:p w:rsidR="00000000" w:rsidDel="00000000" w:rsidP="00000000" w:rsidRDefault="00000000" w:rsidRPr="00000000" w14:paraId="0000005E">
      <w:pPr>
        <w:pStyle w:val="Heading2"/>
        <w:keepNext w:val="0"/>
        <w:keepLines w:val="0"/>
        <w:pageBreakBefore w:val="0"/>
        <w:numPr>
          <w:ilvl w:val="1"/>
          <w:numId w:val="1"/>
        </w:numPr>
        <w:spacing w:after="240" w:line="240" w:lineRule="auto"/>
        <w:ind w:left="851"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r w:rsidDel="00000000" w:rsidR="00000000" w:rsidRPr="00000000">
        <w:rPr>
          <w:rtl w:val="0"/>
        </w:rPr>
      </w:r>
    </w:p>
    <w:p w:rsidR="00000000" w:rsidDel="00000000" w:rsidP="00000000" w:rsidRDefault="00000000" w:rsidRPr="00000000" w14:paraId="0000005F">
      <w:pPr>
        <w:pStyle w:val="Heading2"/>
        <w:keepNext w:val="0"/>
        <w:keepLines w:val="0"/>
        <w:pageBreakBefore w:val="0"/>
        <w:numPr>
          <w:ilvl w:val="1"/>
          <w:numId w:val="1"/>
        </w:numPr>
        <w:spacing w:after="240" w:line="240" w:lineRule="auto"/>
        <w:ind w:left="851"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r w:rsidDel="00000000" w:rsidR="00000000" w:rsidRPr="00000000">
        <w:rPr>
          <w:rtl w:val="0"/>
        </w:rPr>
      </w:r>
    </w:p>
    <w:p w:rsidR="00000000" w:rsidDel="00000000" w:rsidP="00000000" w:rsidRDefault="00000000" w:rsidRPr="00000000" w14:paraId="00000060">
      <w:pPr>
        <w:pStyle w:val="Heading2"/>
        <w:keepNext w:val="0"/>
        <w:keepLines w:val="0"/>
        <w:pageBreakBefore w:val="0"/>
        <w:numPr>
          <w:ilvl w:val="1"/>
          <w:numId w:val="1"/>
        </w:numPr>
        <w:spacing w:after="240" w:line="240" w:lineRule="auto"/>
        <w:ind w:left="851"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the event that the Supplier or the Supplier Staff fail to comply with this Paragraph 8, the Buyer reserves the right to terminate the Contract as if that failure to comply were an event to which clause 10.4.1 of the Core Terms applies. </w:t>
      </w:r>
      <w:r w:rsidDel="00000000" w:rsidR="00000000" w:rsidRPr="00000000">
        <w:rPr>
          <w:rtl w:val="0"/>
        </w:rPr>
      </w:r>
    </w:p>
    <w:p w:rsidR="00000000" w:rsidDel="00000000" w:rsidP="00000000" w:rsidRDefault="00000000" w:rsidRPr="00000000" w14:paraId="00000061">
      <w:pPr>
        <w:pageBreakBefore w:val="0"/>
        <w:spacing w:after="240" w:line="240" w:lineRule="auto"/>
        <w:jc w:val="center"/>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Annex 1</w:t>
      </w:r>
    </w:p>
    <w:p w:rsidR="00000000" w:rsidDel="00000000" w:rsidP="00000000" w:rsidRDefault="00000000" w:rsidRPr="00000000" w14:paraId="00000062">
      <w:pPr>
        <w:pageBreakBefore w:val="0"/>
        <w:spacing w:after="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Excerpt from HMRC’s “Test for Tax Non-Compliance”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Condition one (An in-scope entity or person)</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 person or entity which is either: (“X”)</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4" w:right="0" w:firstLine="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Economic Operator or Essential Subcontractor (EOS)</w:t>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of the same Group of companies of EOS. An entity will be treated as within the same Group of EOS where that entities’ financial statements would be required to be consolidated with those of EOS if prepared in accordance with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IFRS 10 Consolidated Financial Accounts</w:t>
      </w:r>
      <w:r w:rsidDel="00000000" w:rsidR="00000000" w:rsidRPr="00000000">
        <w:rPr>
          <w:rFonts w:ascii="Arial" w:cs="Arial" w:eastAsia="Arial" w:hAnsi="Arial"/>
          <w:b w:val="0"/>
          <w:i w:val="1"/>
          <w:smallCaps w:val="0"/>
          <w:strike w:val="0"/>
          <w:color w:val="000000"/>
          <w:sz w:val="24"/>
          <w:szCs w:val="24"/>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director, shareholder or other person (P) which exercises control over EOS. ‘Control’ means P can secure, through holding of shares or powers under articles of association or other document that EOS’s affairs are conducted in accordance with P’s wishes.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Condition two (Arrangements involving evasion, abuse or tax avoidance)</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 has been engaged in one or more of the following:</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Fraudulent evasion</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caught by the General Anti-Abuse Rule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caught by the Halifax Abuse principle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Entered into arrangements caught by a DOTAS or VADR scheme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4"/>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caught by a recognised ‘anti-avoidance rule’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5"/>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rsidR="00000000" w:rsidDel="00000000" w:rsidP="00000000" w:rsidRDefault="00000000" w:rsidRPr="00000000" w14:paraId="0000007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Entered into an avoidance scheme identified by HMRC’s published Spotlights list</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6"/>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Engaged in conduct which falls under rules in other jurisdictions which are equivalent or similar to (a) to (f) above.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Condition three (Arrangements are admitted, or subject to litigation/prosecution or identified in a published list (Spotlights))</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X’s activity 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Condition 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where applicable, subject to dispute and/or litigation as follows: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(a), either X:</w:t>
      </w:r>
    </w:p>
    <w:p w:rsidR="00000000" w:rsidDel="00000000" w:rsidP="00000000" w:rsidRDefault="00000000" w:rsidRPr="00000000" w14:paraId="0000007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40" w:before="0" w:line="240" w:lineRule="auto"/>
        <w:ind w:left="1418"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accepted the terms of an offer made under a Contractual Disclosure Facility (CDF) pursuant to the Code of Practice 9 (COP9) procedure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7"/>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w:t>
      </w:r>
    </w:p>
    <w:p w:rsidR="00000000" w:rsidDel="00000000" w:rsidP="00000000" w:rsidRDefault="00000000" w:rsidRPr="00000000" w14:paraId="0000007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40" w:before="0" w:line="240" w:lineRule="auto"/>
        <w:ind w:left="1418"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been charged with an offence of fraudulent evasion. </w:t>
      </w:r>
    </w:p>
    <w:p w:rsidR="00000000" w:rsidDel="00000000" w:rsidP="00000000" w:rsidRDefault="00000000" w:rsidRPr="00000000" w14:paraId="0000007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rsidR="00000000" w:rsidDel="00000000" w:rsidP="00000000" w:rsidRDefault="00000000" w:rsidRPr="00000000" w14:paraId="0000007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(b) to (e), during an HMRC enquiry, if it has been agreed between HMRC and X that there is a pause with the enquiry in order to await the outcome of related litigation.</w:t>
      </w:r>
    </w:p>
    <w:p w:rsidR="00000000" w:rsidDel="00000000" w:rsidP="00000000" w:rsidRDefault="00000000" w:rsidRPr="00000000" w14:paraId="0000007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(f) this condition is satisfied without any further steps being taken.</w:t>
      </w:r>
    </w:p>
    <w:p w:rsidR="00000000" w:rsidDel="00000000" w:rsidP="00000000" w:rsidRDefault="00000000" w:rsidRPr="00000000" w14:paraId="0000007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(g) the foreign equivalent to each of the corresponding steps set out above in (i) to (iii).</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0">
      <w:pPr>
        <w:pStyle w:val="Heading3"/>
        <w:keepNext w:val="0"/>
        <w:keepLines w:val="0"/>
        <w:pageBreakBefore w:val="0"/>
        <w:spacing w:after="240" w:before="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For the avoidance of doubt, any reference in this Annex 1 to any Law includes a reference to that Law as amended, extended, consolidated or re-enacted from time to time including any implementing or successor legislation. </w:t>
      </w:r>
    </w:p>
    <w:p w:rsidR="00000000" w:rsidDel="00000000" w:rsidP="00000000" w:rsidRDefault="00000000" w:rsidRPr="00000000" w14:paraId="00000081">
      <w:pPr>
        <w:pageBreakBefore w:val="0"/>
        <w:spacing w:after="240" w:line="24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2">
      <w:pPr>
        <w:pageBreakBefore w:val="0"/>
        <w:spacing w:after="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Annex 2 Form </w:t>
      </w:r>
    </w:p>
    <w:p w:rsidR="00000000" w:rsidDel="00000000" w:rsidP="00000000" w:rsidRDefault="00000000" w:rsidRPr="00000000" w14:paraId="00000083">
      <w:pPr>
        <w:pageBreakBefore w:val="0"/>
        <w:spacing w:after="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CONFIDENTIALITY DECLARATION </w:t>
      </w:r>
    </w:p>
    <w:p w:rsidR="00000000" w:rsidDel="00000000" w:rsidP="00000000" w:rsidRDefault="00000000" w:rsidRPr="00000000" w14:paraId="00000084">
      <w:pPr>
        <w:pageBreakBefore w:val="0"/>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CONTRACT REFERENCE: [</w:t>
      </w:r>
      <w:r w:rsidDel="00000000" w:rsidR="00000000" w:rsidRPr="00000000">
        <w:rPr>
          <w:rFonts w:ascii="Arial" w:cs="Arial" w:eastAsia="Arial" w:hAnsi="Arial"/>
          <w:sz w:val="24"/>
          <w:szCs w:val="24"/>
          <w:highlight w:val="yellow"/>
          <w:rtl w:val="0"/>
        </w:rPr>
        <w:t xml:space="preserve">for Supplier to insert Contract reference number and contract date</w:t>
      </w:r>
      <w:r w:rsidDel="00000000" w:rsidR="00000000" w:rsidRPr="00000000">
        <w:rPr>
          <w:rFonts w:ascii="Arial" w:cs="Arial" w:eastAsia="Arial" w:hAnsi="Arial"/>
          <w:sz w:val="24"/>
          <w:szCs w:val="24"/>
          <w:rtl w:val="0"/>
        </w:rPr>
        <w:t xml:space="preserve">] ((‘the Agreement’)</w:t>
      </w:r>
    </w:p>
    <w:p w:rsidR="00000000" w:rsidDel="00000000" w:rsidP="00000000" w:rsidRDefault="00000000" w:rsidRPr="00000000" w14:paraId="00000085">
      <w:pPr>
        <w:pageBreakBefore w:val="0"/>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DECLARATION:</w:t>
      </w:r>
    </w:p>
    <w:p w:rsidR="00000000" w:rsidDel="00000000" w:rsidP="00000000" w:rsidRDefault="00000000" w:rsidRPr="00000000" w14:paraId="00000086">
      <w:pPr>
        <w:pageBreakBefore w:val="0"/>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solemnly declare that: </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am aware that the duty of confidentiality imposed by section 18 of the Commissioners for Revenue and Customs Act 2005 applies to Government Data (as defined in the Agreement) that has been or will be provided to me in accordance with the Agreement.</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understand and acknowledge that under Section 19 of the Commissioners for Revenue and Customs Act 2005 it may be a criminal offence to disclose any Government Data provided to me.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5670.0" w:type="dxa"/>
        <w:jc w:val="left"/>
        <w:tblInd w:w="3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0"/>
        <w:tblGridChange w:id="0">
          <w:tblGrid>
            <w:gridCol w:w="5670"/>
          </w:tblGrid>
        </w:tblGridChange>
      </w:tblGrid>
      <w:tr>
        <w:trPr>
          <w:cantSplit w:val="0"/>
          <w:tblHeader w:val="0"/>
        </w:trPr>
        <w:tc>
          <w:tcPr/>
          <w:p w:rsidR="00000000" w:rsidDel="00000000" w:rsidP="00000000" w:rsidRDefault="00000000" w:rsidRPr="00000000" w14:paraId="0000008A">
            <w:pPr>
              <w:pageBreakBefore w:val="0"/>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SIGNED:</w:t>
            </w:r>
          </w:p>
        </w:tc>
      </w:tr>
      <w:tr>
        <w:trPr>
          <w:cantSplit w:val="0"/>
          <w:tblHeader w:val="0"/>
        </w:trPr>
        <w:tc>
          <w:tcPr/>
          <w:p w:rsidR="00000000" w:rsidDel="00000000" w:rsidP="00000000" w:rsidRDefault="00000000" w:rsidRPr="00000000" w14:paraId="0000008B">
            <w:pPr>
              <w:pageBreakBefore w:val="0"/>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FULL NAME:</w:t>
            </w:r>
          </w:p>
        </w:tc>
      </w:tr>
      <w:tr>
        <w:trPr>
          <w:cantSplit w:val="0"/>
          <w:tblHeader w:val="0"/>
        </w:trPr>
        <w:tc>
          <w:tcPr/>
          <w:p w:rsidR="00000000" w:rsidDel="00000000" w:rsidP="00000000" w:rsidRDefault="00000000" w:rsidRPr="00000000" w14:paraId="0000008C">
            <w:pPr>
              <w:pageBreakBefore w:val="0"/>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POSITION:</w:t>
            </w:r>
          </w:p>
        </w:tc>
      </w:tr>
      <w:tr>
        <w:trPr>
          <w:cantSplit w:val="0"/>
          <w:tblHeader w:val="0"/>
        </w:trPr>
        <w:tc>
          <w:tcPr/>
          <w:p w:rsidR="00000000" w:rsidDel="00000000" w:rsidP="00000000" w:rsidRDefault="00000000" w:rsidRPr="00000000" w14:paraId="0000008D">
            <w:pPr>
              <w:pageBreakBefore w:val="0"/>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COMPANY: </w:t>
            </w:r>
          </w:p>
        </w:tc>
      </w:tr>
      <w:tr>
        <w:trPr>
          <w:cantSplit w:val="0"/>
          <w:tblHeader w:val="0"/>
        </w:trPr>
        <w:tc>
          <w:tcPr/>
          <w:p w:rsidR="00000000" w:rsidDel="00000000" w:rsidP="00000000" w:rsidRDefault="00000000" w:rsidRPr="00000000" w14:paraId="0000008E">
            <w:pPr>
              <w:pageBreakBefore w:val="0"/>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 OF SIGNITURE: </w:t>
            </w:r>
          </w:p>
        </w:tc>
      </w:tr>
    </w:tbl>
    <w:p w:rsidR="00000000" w:rsidDel="00000000" w:rsidP="00000000" w:rsidRDefault="00000000" w:rsidRPr="00000000" w14:paraId="0000008F">
      <w:pPr>
        <w:pageBreakBefore w:val="0"/>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pageBreakBefore w:val="0"/>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pageBreakBefore w:val="0"/>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pageBreakBefore w:val="0"/>
        <w:spacing w:after="240" w:line="240" w:lineRule="auto"/>
        <w:jc w:val="right"/>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https://www.iasplus.com/en/standards/ifrs/ifrs10</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2">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“General Anti-Abuse Rule” means (a) the legislation in Part 5 of the Finance Act 2013; and (b) any</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future legislation introduced into Parliament to counteract tax advantages arising from abusive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arrangements to avoid national insurance contributions</w:t>
      </w:r>
    </w:p>
  </w:footnote>
  <w:footnote w:id="3">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“Halifax Abuse Principle” means the principle explained in the CJEU Case C-255/02 Halifax and others</w:t>
      </w:r>
    </w:p>
  </w:footnote>
  <w:footnote w:id="4">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5">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full definition of ‘Anti-avoidance rule’ can be found at Paragraph 25(1) of Schedule 18 to the Finance Act 2016 and Condition 2 (a) above shall be construed accordingly.     </w:t>
      </w:r>
    </w:p>
  </w:footnote>
  <w:footnote w:id="6">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Targeted list of tax avoidance schemes that HMRC believes are being used to avoid paying tax due and which are listed on the Spotlight website: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https://www.gov.uk/government/collections/tax-avoidance-schemes-currently-in-the-spotlight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7">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tabs>
        <w:tab w:val="center" w:leader="none" w:pos="4153"/>
        <w:tab w:val="right" w:leader="none" w:pos="8306"/>
      </w:tabs>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Call-Off Schedule 23 (HMRC Terms)</w:t>
    </w:r>
    <w:r w:rsidDel="00000000" w:rsidR="00000000" w:rsidRPr="00000000">
      <w:rPr>
        <w:rtl w:val="0"/>
      </w:rPr>
    </w:r>
  </w:p>
  <w:p w:rsidR="00000000" w:rsidDel="00000000" w:rsidP="00000000" w:rsidRDefault="00000000" w:rsidRPr="00000000" w14:paraId="0000009E">
    <w:pPr>
      <w:tabs>
        <w:tab w:val="center" w:leader="none" w:pos="4153"/>
        <w:tab w:val="right" w:leader="none" w:pos="830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09F">
    <w:pPr>
      <w:tabs>
        <w:tab w:val="center" w:leader="none" w:pos="4153"/>
        <w:tab w:val="right" w:leader="none" w:pos="8306"/>
      </w:tabs>
      <w:spacing w:after="0" w:line="240" w:lineRule="auto"/>
      <w:rPr/>
    </w:pPr>
    <w:r w:rsidDel="00000000" w:rsidR="00000000" w:rsidRPr="00000000">
      <w:rPr>
        <w:rFonts w:ascii="Arial" w:cs="Arial" w:eastAsia="Arial" w:hAnsi="Arial"/>
        <w:sz w:val="20"/>
        <w:szCs w:val="20"/>
        <w:rtl w:val="0"/>
      </w:rPr>
      <w:t xml:space="preserve">Crown Copyright 2023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color w:val="000000"/>
      </w:rPr>
    </w:lvl>
    <w:lvl w:ilvl="1">
      <w:start w:val="1"/>
      <w:numFmt w:val="decimal"/>
      <w:lvlText w:val="%1.%2."/>
      <w:lvlJc w:val="left"/>
      <w:pPr>
        <w:ind w:left="792" w:hanging="432"/>
      </w:pPr>
      <w:rPr>
        <w:rFonts w:ascii="Arial" w:cs="Arial" w:eastAsia="Arial" w:hAnsi="Arial"/>
        <w:b w:val="0"/>
        <w:color w:val="000000"/>
        <w:sz w:val="24"/>
        <w:szCs w:val="24"/>
      </w:rPr>
    </w:lvl>
    <w:lvl w:ilvl="2">
      <w:start w:val="1"/>
      <w:numFmt w:val="decimal"/>
      <w:lvlText w:val="%1.%2.%3."/>
      <w:lvlJc w:val="left"/>
      <w:pPr>
        <w:ind w:left="1224" w:hanging="504"/>
      </w:pPr>
      <w:rPr>
        <w:rFonts w:ascii="Arial" w:cs="Arial" w:eastAsia="Arial" w:hAnsi="Arial"/>
        <w:color w:val="000000"/>
        <w:sz w:val="24"/>
        <w:szCs w:val="24"/>
      </w:rPr>
    </w:lvl>
    <w:lvl w:ilvl="3">
      <w:start w:val="1"/>
      <w:numFmt w:val="decimal"/>
      <w:lvlText w:val="%1.%2.%3.%4."/>
      <w:lvlJc w:val="left"/>
      <w:pPr>
        <w:ind w:left="1728" w:hanging="647.9999999999998"/>
      </w:pPr>
      <w:rPr>
        <w:color w:val="000000"/>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0" w:firstLine="0"/>
      </w:pPr>
      <w:rPr/>
    </w:lvl>
    <w:lvl w:ilvl="1">
      <w:start w:val="1"/>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lowerRoman"/>
      <w:lvlText w:val="%2."/>
      <w:lvlJc w:val="righ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405" w:hanging="360"/>
      </w:pPr>
      <w:rPr/>
    </w:lvl>
    <w:lvl w:ilvl="1">
      <w:start w:val="1"/>
      <w:numFmt w:val="lowerLetter"/>
      <w:lvlText w:val="%2."/>
      <w:lvlJc w:val="left"/>
      <w:pPr>
        <w:ind w:left="1125" w:hanging="360"/>
      </w:pPr>
      <w:rPr/>
    </w:lvl>
    <w:lvl w:ilvl="2">
      <w:start w:val="1"/>
      <w:numFmt w:val="lowerRoman"/>
      <w:lvlText w:val="%3."/>
      <w:lvlJc w:val="right"/>
      <w:pPr>
        <w:ind w:left="1845" w:hanging="180"/>
      </w:pPr>
      <w:rPr/>
    </w:lvl>
    <w:lvl w:ilvl="3">
      <w:start w:val="1"/>
      <w:numFmt w:val="decimal"/>
      <w:lvlText w:val="%4."/>
      <w:lvlJc w:val="left"/>
      <w:pPr>
        <w:ind w:left="2565" w:hanging="360"/>
      </w:pPr>
      <w:rPr/>
    </w:lvl>
    <w:lvl w:ilvl="4">
      <w:start w:val="1"/>
      <w:numFmt w:val="lowerLetter"/>
      <w:lvlText w:val="%5."/>
      <w:lvlJc w:val="left"/>
      <w:pPr>
        <w:ind w:left="3285" w:hanging="360"/>
      </w:pPr>
      <w:rPr/>
    </w:lvl>
    <w:lvl w:ilvl="5">
      <w:start w:val="1"/>
      <w:numFmt w:val="lowerRoman"/>
      <w:lvlText w:val="%6."/>
      <w:lvlJc w:val="right"/>
      <w:pPr>
        <w:ind w:left="4005" w:hanging="180"/>
      </w:pPr>
      <w:rPr/>
    </w:lvl>
    <w:lvl w:ilvl="6">
      <w:start w:val="1"/>
      <w:numFmt w:val="decimal"/>
      <w:lvlText w:val="%7."/>
      <w:lvlJc w:val="left"/>
      <w:pPr>
        <w:ind w:left="4725" w:hanging="360"/>
      </w:pPr>
      <w:rPr/>
    </w:lvl>
    <w:lvl w:ilvl="7">
      <w:start w:val="1"/>
      <w:numFmt w:val="lowerLetter"/>
      <w:lvlText w:val="%8."/>
      <w:lvlJc w:val="left"/>
      <w:pPr>
        <w:ind w:left="5445" w:hanging="360"/>
      </w:pPr>
      <w:rPr/>
    </w:lvl>
    <w:lvl w:ilvl="8">
      <w:start w:val="1"/>
      <w:numFmt w:val="lowerRoman"/>
      <w:lvlText w:val="%9."/>
      <w:lvlJc w:val="right"/>
      <w:pPr>
        <w:ind w:left="6165"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5E034E"/>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nhideWhenUsed w:val="1"/>
    <w:qFormat w:val="1"/>
    <w:rsid w:val="00F74A0D"/>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unhideWhenUsed w:val="1"/>
    <w:qFormat w:val="1"/>
    <w:rsid w:val="00F41BDE"/>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2" w:customStyle="1">
    <w:name w:val="Body2"/>
    <w:basedOn w:val="Normal"/>
    <w:uiPriority w:val="99"/>
    <w:rsid w:val="005D2DCE"/>
    <w:pPr>
      <w:spacing w:after="220" w:line="240" w:lineRule="auto"/>
      <w:ind w:left="709"/>
      <w:jc w:val="both"/>
    </w:pPr>
    <w:rPr>
      <w:rFonts w:ascii="Trebuchet MS" w:cs="Times New Roman" w:eastAsia="Times New Roman" w:hAnsi="Trebuchet MS"/>
      <w:sz w:val="20"/>
      <w:szCs w:val="20"/>
    </w:rPr>
  </w:style>
  <w:style w:type="table" w:styleId="TableGrid">
    <w:name w:val="Table Grid"/>
    <w:basedOn w:val="TableNormal"/>
    <w:uiPriority w:val="39"/>
    <w:rsid w:val="0016586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F8367D"/>
    <w:pPr>
      <w:ind w:left="720"/>
      <w:contextualSpacing w:val="1"/>
    </w:pPr>
  </w:style>
  <w:style w:type="paragraph" w:styleId="BodyText">
    <w:name w:val="Body Text"/>
    <w:basedOn w:val="Normal"/>
    <w:link w:val="BodyTextChar"/>
    <w:semiHidden w:val="1"/>
    <w:rsid w:val="008A5F11"/>
    <w:pPr>
      <w:spacing w:after="120" w:line="240" w:lineRule="auto"/>
    </w:pPr>
    <w:rPr>
      <w:rFonts w:ascii="Times New Roman" w:cs="Times New Roman" w:eastAsia="Times New Roman" w:hAnsi="Times New Roman"/>
      <w:sz w:val="24"/>
      <w:szCs w:val="24"/>
      <w:lang w:eastAsia="en-GB"/>
    </w:rPr>
  </w:style>
  <w:style w:type="character" w:styleId="BodyTextChar" w:customStyle="1">
    <w:name w:val="Body Text Char"/>
    <w:basedOn w:val="DefaultParagraphFont"/>
    <w:link w:val="BodyText"/>
    <w:semiHidden w:val="1"/>
    <w:rsid w:val="008A5F11"/>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3533FD"/>
    <w:pPr>
      <w:tabs>
        <w:tab w:val="center" w:pos="4513"/>
        <w:tab w:val="right" w:pos="9026"/>
      </w:tabs>
      <w:spacing w:after="0" w:line="240" w:lineRule="auto"/>
    </w:pPr>
  </w:style>
  <w:style w:type="character" w:styleId="HeaderChar" w:customStyle="1">
    <w:name w:val="Header Char"/>
    <w:basedOn w:val="DefaultParagraphFont"/>
    <w:link w:val="Header"/>
    <w:uiPriority w:val="99"/>
    <w:rsid w:val="003533FD"/>
  </w:style>
  <w:style w:type="paragraph" w:styleId="Footer">
    <w:name w:val="footer"/>
    <w:basedOn w:val="Normal"/>
    <w:link w:val="FooterChar"/>
    <w:unhideWhenUsed w:val="1"/>
    <w:rsid w:val="003533FD"/>
    <w:pPr>
      <w:tabs>
        <w:tab w:val="center" w:pos="4513"/>
        <w:tab w:val="right" w:pos="9026"/>
      </w:tabs>
      <w:spacing w:after="0" w:line="240" w:lineRule="auto"/>
    </w:pPr>
  </w:style>
  <w:style w:type="character" w:styleId="FooterChar" w:customStyle="1">
    <w:name w:val="Footer Char"/>
    <w:basedOn w:val="DefaultParagraphFont"/>
    <w:link w:val="Footer"/>
    <w:rsid w:val="003533FD"/>
  </w:style>
  <w:style w:type="paragraph" w:styleId="BalloonText">
    <w:name w:val="Balloon Text"/>
    <w:basedOn w:val="Normal"/>
    <w:link w:val="BalloonTextChar"/>
    <w:uiPriority w:val="99"/>
    <w:semiHidden w:val="1"/>
    <w:unhideWhenUsed w:val="1"/>
    <w:rsid w:val="0076306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6306D"/>
    <w:rPr>
      <w:rFonts w:ascii="Segoe UI" w:cs="Segoe UI" w:hAnsi="Segoe UI"/>
      <w:sz w:val="18"/>
      <w:szCs w:val="18"/>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F74A0D"/>
    <w:rPr>
      <w:rFonts w:asciiTheme="majorHAnsi" w:cstheme="majorBidi" w:eastAsiaTheme="majorEastAsia" w:hAnsiTheme="majorHAnsi"/>
      <w:color w:val="2e74b5" w:themeColor="accent1" w:themeShade="0000BF"/>
      <w:sz w:val="26"/>
      <w:szCs w:val="26"/>
    </w:rPr>
  </w:style>
  <w:style w:type="character" w:styleId="CommentReference">
    <w:name w:val="annotation reference"/>
    <w:basedOn w:val="DefaultParagraphFont"/>
    <w:uiPriority w:val="99"/>
    <w:semiHidden w:val="1"/>
    <w:unhideWhenUsed w:val="1"/>
    <w:rsid w:val="00CD5173"/>
    <w:rPr>
      <w:sz w:val="16"/>
      <w:szCs w:val="16"/>
    </w:rPr>
  </w:style>
  <w:style w:type="paragraph" w:styleId="CommentText">
    <w:name w:val="annotation text"/>
    <w:basedOn w:val="Normal"/>
    <w:link w:val="CommentTextChar"/>
    <w:uiPriority w:val="99"/>
    <w:unhideWhenUsed w:val="1"/>
    <w:rsid w:val="00CD5173"/>
    <w:pPr>
      <w:spacing w:line="240" w:lineRule="auto"/>
    </w:pPr>
    <w:rPr>
      <w:sz w:val="20"/>
      <w:szCs w:val="20"/>
    </w:rPr>
  </w:style>
  <w:style w:type="character" w:styleId="CommentTextChar" w:customStyle="1">
    <w:name w:val="Comment Text Char"/>
    <w:basedOn w:val="DefaultParagraphFont"/>
    <w:link w:val="CommentText"/>
    <w:uiPriority w:val="99"/>
    <w:rsid w:val="00CD5173"/>
    <w:rPr>
      <w:sz w:val="20"/>
      <w:szCs w:val="20"/>
    </w:rPr>
  </w:style>
  <w:style w:type="paragraph" w:styleId="CommentSubject">
    <w:name w:val="annotation subject"/>
    <w:basedOn w:val="CommentText"/>
    <w:next w:val="CommentText"/>
    <w:link w:val="CommentSubjectChar"/>
    <w:uiPriority w:val="99"/>
    <w:semiHidden w:val="1"/>
    <w:unhideWhenUsed w:val="1"/>
    <w:rsid w:val="00CD5173"/>
    <w:rPr>
      <w:b w:val="1"/>
      <w:bCs w:val="1"/>
    </w:rPr>
  </w:style>
  <w:style w:type="character" w:styleId="CommentSubjectChar" w:customStyle="1">
    <w:name w:val="Comment Subject Char"/>
    <w:basedOn w:val="CommentTextChar"/>
    <w:link w:val="CommentSubject"/>
    <w:uiPriority w:val="99"/>
    <w:semiHidden w:val="1"/>
    <w:rsid w:val="00CD5173"/>
    <w:rPr>
      <w:b w:val="1"/>
      <w:bCs w:val="1"/>
      <w:sz w:val="20"/>
      <w:szCs w:val="20"/>
    </w:rPr>
  </w:style>
  <w:style w:type="paragraph" w:styleId="TableNormal1" w:customStyle="1">
    <w:name w:val="Table Normal1"/>
    <w:basedOn w:val="Normal"/>
    <w:rsid w:val="00555F2E"/>
    <w:pPr>
      <w:spacing w:after="120" w:before="120" w:line="240" w:lineRule="auto"/>
      <w:ind w:left="34"/>
    </w:pPr>
    <w:rPr>
      <w:rFonts w:ascii="Trebuchet MS" w:cs="Times New Roman" w:eastAsia="Trebuchet MS" w:hAnsi="Trebuchet MS"/>
    </w:rPr>
  </w:style>
  <w:style w:type="character" w:styleId="Hyperlink">
    <w:name w:val="Hyperlink"/>
    <w:basedOn w:val="DefaultParagraphFont"/>
    <w:uiPriority w:val="99"/>
    <w:unhideWhenUsed w:val="1"/>
    <w:rsid w:val="00C103F3"/>
    <w:rPr>
      <w:color w:val="0000ff"/>
      <w:u w:val="single"/>
    </w:rPr>
  </w:style>
  <w:style w:type="paragraph" w:styleId="Revision">
    <w:name w:val="Revision"/>
    <w:hidden w:val="1"/>
    <w:uiPriority w:val="99"/>
    <w:semiHidden w:val="1"/>
    <w:rsid w:val="00413E82"/>
    <w:pPr>
      <w:spacing w:after="0" w:line="240" w:lineRule="auto"/>
    </w:pPr>
  </w:style>
  <w:style w:type="paragraph" w:styleId="NormalWeb">
    <w:name w:val="Normal (Web)"/>
    <w:basedOn w:val="Normal"/>
    <w:uiPriority w:val="99"/>
    <w:rsid w:val="00601C72"/>
    <w:pPr>
      <w:spacing w:after="100" w:afterAutospacing="1" w:line="312" w:lineRule="atLeast"/>
    </w:pPr>
    <w:rPr>
      <w:rFonts w:ascii="Arial Unicode MS" w:cs="Arial Unicode MS" w:eastAsia="Arial Unicode MS" w:hAnsi="Arial Unicode MS"/>
      <w:sz w:val="24"/>
      <w:szCs w:val="24"/>
    </w:rPr>
  </w:style>
  <w:style w:type="paragraph" w:styleId="FootnoteText">
    <w:name w:val="footnote text"/>
    <w:basedOn w:val="Normal"/>
    <w:link w:val="FootnoteTextChar"/>
    <w:uiPriority w:val="99"/>
    <w:unhideWhenUsed w:val="1"/>
    <w:rsid w:val="00601C72"/>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601C72"/>
    <w:rPr>
      <w:rFonts w:ascii="Calibri" w:cs="Times New Roman" w:eastAsia="Calibri" w:hAnsi="Calibri"/>
      <w:sz w:val="20"/>
      <w:szCs w:val="20"/>
    </w:rPr>
  </w:style>
  <w:style w:type="character" w:styleId="FootnoteReference">
    <w:name w:val="footnote reference"/>
    <w:uiPriority w:val="99"/>
    <w:unhideWhenUsed w:val="1"/>
    <w:rsid w:val="00601C72"/>
    <w:rPr>
      <w:vertAlign w:val="superscript"/>
    </w:rPr>
  </w:style>
  <w:style w:type="paragraph" w:styleId="paragraph" w:customStyle="1">
    <w:name w:val="paragraph"/>
    <w:basedOn w:val="Normal"/>
    <w:rsid w:val="00E07350"/>
    <w:pPr>
      <w:spacing w:after="0" w:line="240" w:lineRule="auto"/>
    </w:pPr>
    <w:rPr>
      <w:rFonts w:ascii="Times New Roman" w:cs="Times New Roman" w:eastAsia="Times New Roman" w:hAnsi="Times New Roman"/>
      <w:sz w:val="24"/>
      <w:szCs w:val="24"/>
      <w:lang w:eastAsia="en-GB"/>
    </w:rPr>
  </w:style>
  <w:style w:type="character" w:styleId="contextualspellingandgrammarerror" w:customStyle="1">
    <w:name w:val="contextualspellingandgrammarerror"/>
    <w:basedOn w:val="DefaultParagraphFont"/>
    <w:rsid w:val="00E07350"/>
  </w:style>
  <w:style w:type="character" w:styleId="normaltextrun1" w:customStyle="1">
    <w:name w:val="normaltextrun1"/>
    <w:basedOn w:val="DefaultParagraphFont"/>
    <w:rsid w:val="00E07350"/>
  </w:style>
  <w:style w:type="character" w:styleId="eop" w:customStyle="1">
    <w:name w:val="eop"/>
    <w:basedOn w:val="DefaultParagraphFont"/>
    <w:rsid w:val="00E07350"/>
  </w:style>
  <w:style w:type="character" w:styleId="findhit" w:customStyle="1">
    <w:name w:val="findhit"/>
    <w:basedOn w:val="DefaultParagraphFont"/>
    <w:rsid w:val="00CE122B"/>
    <w:rPr>
      <w:shd w:color="auto" w:fill="ffee80" w:val="clear"/>
    </w:rPr>
  </w:style>
  <w:style w:type="character" w:styleId="Heading3Char" w:customStyle="1">
    <w:name w:val="Heading 3 Char"/>
    <w:basedOn w:val="DefaultParagraphFont"/>
    <w:link w:val="Heading3"/>
    <w:uiPriority w:val="9"/>
    <w:rsid w:val="00F41BDE"/>
    <w:rPr>
      <w:rFonts w:asciiTheme="majorHAnsi" w:cstheme="majorBidi" w:eastAsiaTheme="majorEastAsia" w:hAnsiTheme="majorHAnsi"/>
      <w:color w:val="1f4d78" w:themeColor="accent1" w:themeShade="00007F"/>
      <w:sz w:val="24"/>
      <w:szCs w:val="24"/>
    </w:rPr>
  </w:style>
  <w:style w:type="character" w:styleId="normaltextrun" w:customStyle="1">
    <w:name w:val="normaltextrun"/>
    <w:basedOn w:val="DefaultParagraphFont"/>
    <w:rsid w:val="00F052EE"/>
  </w:style>
  <w:style w:type="paragraph" w:styleId="ScheduleL1" w:customStyle="1">
    <w:name w:val="Schedule L1"/>
    <w:basedOn w:val="Normal"/>
    <w:rsid w:val="004E2481"/>
    <w:pPr>
      <w:keepNext w:val="1"/>
      <w:numPr>
        <w:numId w:val="43"/>
      </w:numPr>
      <w:tabs>
        <w:tab w:val="clear" w:pos="720"/>
      </w:tabs>
      <w:adjustRightInd w:val="0"/>
      <w:spacing w:after="240" w:before="120" w:line="240" w:lineRule="auto"/>
      <w:ind w:left="357" w:hanging="357"/>
      <w:jc w:val="both"/>
      <w:outlineLvl w:val="0"/>
    </w:pPr>
    <w:rPr>
      <w:rFonts w:ascii="Calibri" w:cs="Times New Roman" w:eastAsia="STZhongsong" w:hAnsi="Calibri"/>
      <w:b w:val="1"/>
      <w:caps w:val="1"/>
      <w:szCs w:val="20"/>
      <w:lang w:eastAsia="zh-CN"/>
    </w:rPr>
  </w:style>
  <w:style w:type="paragraph" w:styleId="ScheduleL2" w:customStyle="1">
    <w:name w:val="Schedule L2"/>
    <w:basedOn w:val="Normal"/>
    <w:link w:val="ScheduleL2Char"/>
    <w:rsid w:val="004E2481"/>
    <w:pPr>
      <w:numPr>
        <w:ilvl w:val="1"/>
        <w:numId w:val="43"/>
      </w:numPr>
      <w:tabs>
        <w:tab w:val="clear" w:pos="720"/>
        <w:tab w:val="left" w:pos="993"/>
      </w:tabs>
      <w:adjustRightInd w:val="0"/>
      <w:spacing w:after="120" w:before="120" w:line="240" w:lineRule="auto"/>
      <w:ind w:left="992" w:hanging="635"/>
      <w:jc w:val="both"/>
      <w:outlineLvl w:val="1"/>
    </w:pPr>
    <w:rPr>
      <w:rFonts w:ascii="Calibri" w:cs="Times New Roman" w:eastAsia="STZhongsong" w:hAnsi="Calibri"/>
      <w:szCs w:val="20"/>
      <w:lang w:eastAsia="zh-CN" w:val="en-US"/>
    </w:rPr>
  </w:style>
  <w:style w:type="character" w:styleId="ScheduleL2Char" w:customStyle="1">
    <w:name w:val="Schedule L2 Char"/>
    <w:link w:val="ScheduleL2"/>
    <w:rsid w:val="004E2481"/>
    <w:rPr>
      <w:rFonts w:ascii="Calibri" w:cs="Times New Roman" w:eastAsia="STZhongsong" w:hAnsi="Calibri"/>
      <w:szCs w:val="20"/>
      <w:lang w:eastAsia="zh-CN" w:val="en-US"/>
    </w:rPr>
  </w:style>
  <w:style w:type="paragraph" w:styleId="ScheduleL3" w:customStyle="1">
    <w:name w:val="Schedule L3"/>
    <w:basedOn w:val="Normal"/>
    <w:rsid w:val="004E2481"/>
    <w:pPr>
      <w:numPr>
        <w:ilvl w:val="2"/>
        <w:numId w:val="43"/>
      </w:numPr>
      <w:adjustRightInd w:val="0"/>
      <w:spacing w:after="120" w:before="120" w:line="240" w:lineRule="auto"/>
      <w:ind w:hanging="807"/>
      <w:jc w:val="both"/>
      <w:outlineLvl w:val="2"/>
    </w:pPr>
    <w:rPr>
      <w:rFonts w:ascii="Calibri" w:cs="Times New Roman" w:eastAsia="STZhongsong" w:hAnsi="Calibri"/>
      <w:szCs w:val="20"/>
      <w:lang w:eastAsia="zh-CN"/>
    </w:rPr>
  </w:style>
  <w:style w:type="paragraph" w:styleId="ScheduleL4" w:customStyle="1">
    <w:name w:val="Schedule L4"/>
    <w:basedOn w:val="Normal"/>
    <w:rsid w:val="004E2481"/>
    <w:pPr>
      <w:numPr>
        <w:ilvl w:val="3"/>
        <w:numId w:val="43"/>
      </w:numPr>
      <w:adjustRightInd w:val="0"/>
      <w:spacing w:after="120" w:before="120" w:line="240" w:lineRule="auto"/>
      <w:jc w:val="both"/>
      <w:outlineLvl w:val="3"/>
    </w:pPr>
    <w:rPr>
      <w:rFonts w:ascii="Calibri" w:cs="Times New Roman" w:eastAsia="STZhongsong" w:hAnsi="Calibri"/>
      <w:szCs w:val="20"/>
      <w:lang w:eastAsia="zh-CN"/>
    </w:rPr>
  </w:style>
  <w:style w:type="paragraph" w:styleId="ScheduleL5" w:customStyle="1">
    <w:name w:val="Schedule L5"/>
    <w:basedOn w:val="Normal"/>
    <w:rsid w:val="004E2481"/>
    <w:pPr>
      <w:numPr>
        <w:ilvl w:val="4"/>
        <w:numId w:val="43"/>
      </w:numPr>
      <w:adjustRightInd w:val="0"/>
      <w:spacing w:after="240" w:line="240" w:lineRule="auto"/>
      <w:jc w:val="both"/>
      <w:outlineLvl w:val="4"/>
    </w:pPr>
    <w:rPr>
      <w:rFonts w:ascii="Times New Roman" w:cs="Times New Roman" w:eastAsia="STZhongsong" w:hAnsi="Times New Roman"/>
      <w:szCs w:val="20"/>
      <w:lang w:eastAsia="zh-CN"/>
    </w:rPr>
  </w:style>
  <w:style w:type="paragraph" w:styleId="ScheduleL6" w:customStyle="1">
    <w:name w:val="Schedule L6"/>
    <w:basedOn w:val="Normal"/>
    <w:rsid w:val="004E2481"/>
    <w:pPr>
      <w:numPr>
        <w:ilvl w:val="5"/>
        <w:numId w:val="43"/>
      </w:numPr>
      <w:overflowPunct w:val="0"/>
      <w:autoSpaceDE w:val="0"/>
      <w:autoSpaceDN w:val="0"/>
      <w:adjustRightInd w:val="0"/>
      <w:spacing w:after="240" w:line="240" w:lineRule="auto"/>
      <w:jc w:val="both"/>
      <w:textAlignment w:val="baseline"/>
      <w:outlineLvl w:val="5"/>
    </w:pPr>
    <w:rPr>
      <w:rFonts w:ascii="Times New Roman" w:cs="Arial" w:eastAsia="STZhongsong" w:hAnsi="Times New Roman"/>
      <w:szCs w:val="20"/>
      <w:lang w:eastAsia="zh-CN"/>
    </w:rPr>
  </w:style>
  <w:style w:type="paragraph" w:styleId="ScheduleL7" w:customStyle="1">
    <w:name w:val="Schedule L7"/>
    <w:basedOn w:val="Normal"/>
    <w:rsid w:val="004E2481"/>
    <w:pPr>
      <w:numPr>
        <w:ilvl w:val="6"/>
        <w:numId w:val="43"/>
      </w:numPr>
      <w:overflowPunct w:val="0"/>
      <w:autoSpaceDE w:val="0"/>
      <w:autoSpaceDN w:val="0"/>
      <w:adjustRightInd w:val="0"/>
      <w:spacing w:after="240" w:line="240" w:lineRule="auto"/>
      <w:jc w:val="both"/>
      <w:textAlignment w:val="baseline"/>
      <w:outlineLvl w:val="6"/>
    </w:pPr>
    <w:rPr>
      <w:rFonts w:ascii="Times New Roman" w:cs="Arial" w:eastAsia="STZhongsong" w:hAnsi="Times New Roman"/>
      <w:szCs w:val="20"/>
      <w:lang w:eastAsia="zh-CN"/>
    </w:rPr>
  </w:style>
  <w:style w:type="paragraph" w:styleId="ScheduleL8" w:customStyle="1">
    <w:name w:val="Schedule L8"/>
    <w:basedOn w:val="Normal"/>
    <w:rsid w:val="004E2481"/>
    <w:pPr>
      <w:numPr>
        <w:ilvl w:val="7"/>
        <w:numId w:val="43"/>
      </w:numPr>
      <w:overflowPunct w:val="0"/>
      <w:autoSpaceDE w:val="0"/>
      <w:autoSpaceDN w:val="0"/>
      <w:adjustRightInd w:val="0"/>
      <w:spacing w:after="240" w:line="240" w:lineRule="auto"/>
      <w:jc w:val="both"/>
      <w:textAlignment w:val="baseline"/>
      <w:outlineLvl w:val="7"/>
    </w:pPr>
    <w:rPr>
      <w:rFonts w:ascii="Times New Roman" w:cs="Arial" w:eastAsia="STZhongsong" w:hAnsi="Times New Roman"/>
      <w:szCs w:val="20"/>
      <w:lang w:eastAsia="zh-CN"/>
    </w:rPr>
  </w:style>
  <w:style w:type="paragraph" w:styleId="ScheduleL9" w:customStyle="1">
    <w:name w:val="Schedule L9"/>
    <w:basedOn w:val="Normal"/>
    <w:rsid w:val="004E2481"/>
    <w:pPr>
      <w:numPr>
        <w:ilvl w:val="8"/>
        <w:numId w:val="43"/>
      </w:numPr>
      <w:overflowPunct w:val="0"/>
      <w:autoSpaceDE w:val="0"/>
      <w:autoSpaceDN w:val="0"/>
      <w:adjustRightInd w:val="0"/>
      <w:spacing w:after="240" w:line="240" w:lineRule="auto"/>
      <w:jc w:val="both"/>
      <w:textAlignment w:val="baseline"/>
      <w:outlineLvl w:val="8"/>
    </w:pPr>
    <w:rPr>
      <w:rFonts w:ascii="Times New Roman" w:cs="Arial" w:eastAsia="STZhongsong" w:hAnsi="Times New Roman"/>
      <w:szCs w:val="20"/>
      <w:lang w:eastAsia="zh-CN"/>
    </w:rPr>
  </w:style>
  <w:style w:type="character" w:styleId="Heading1Char" w:customStyle="1">
    <w:name w:val="Heading 1 Char"/>
    <w:basedOn w:val="DefaultParagraphFont"/>
    <w:link w:val="Heading1"/>
    <w:uiPriority w:val="9"/>
    <w:rsid w:val="005E034E"/>
    <w:rPr>
      <w:rFonts w:asciiTheme="majorHAnsi" w:cstheme="majorBidi" w:eastAsiaTheme="majorEastAsia" w:hAnsiTheme="majorHAnsi"/>
      <w:color w:val="2e74b5" w:themeColor="accent1" w:themeShade="0000BF"/>
      <w:sz w:val="32"/>
      <w:szCs w:val="32"/>
    </w:rPr>
  </w:style>
  <w:style w:type="character" w:styleId="UnresolvedMention" w:customStyle="1">
    <w:name w:val="Unresolved Mention"/>
    <w:basedOn w:val="DefaultParagraphFont"/>
    <w:uiPriority w:val="99"/>
    <w:semiHidden w:val="1"/>
    <w:unhideWhenUsed w:val="1"/>
    <w:rsid w:val="002F5D6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asplus.com/en/standards/ifrs/ifrs10" TargetMode="External"/><Relationship Id="rId2" Type="http://schemas.openxmlformats.org/officeDocument/2006/relationships/hyperlink" Target="https://www.gov.uk/government/collections/tax-avoidance-schemes-currently-in-the-spotl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0zTCtr5vWqlJo+qOJvChNwy+8Jw==">AMUW2mUoeLUsjUyOufOr0jDEfWWp81cIWmMJ+y+hebsmrzsep4u+29PI+sDr6l/uPbxkIHjYZ7sJ59aEgd/KZLMS5P/YKIliJgkOoD72CLWzklCm4PZAhUfnZlIa7xoTl1KYqWOU2F6Gncah0J9HApJVJGN36hNPFVjHnLUYiTHfRwnGcNwhO3ipRLdfPA097Vitw3SEbcSZn4iDHdodc5Sc7C1huEyJ7KlATBBzTDI5ID/1RDmzmKOS66LMuRSeePllarSjNMazwfuDu/n0g2TWTm/jbA6caXcmXN9DjiZRsGu6eWyHL0K4Xp/DH2E0HwO7GvXf2ppESzEAbR32a2fg7RkWlC/aYBo2cNgJxGGHxfhHz+ny7jNOOCmbVaxSWseWqFvEfY7T644tDe5yq9nXk7LP4aBb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2020-07-07T09:46:00Z</dcterms:created>
  <dc:creator>Nightingale, Maksuda (Sols)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0x010100890674E04011F34AA050921BEBFA8B69</vt:lpwstr>
  </property>
</Properties>
</file>