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bookmarkStart w:colFirst="0" w:colLast="0" w:name="_heading=h.ihv636"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24 (Corporate Resolution Planning)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1"/>
      <w:bookmarkEnd w:id="1"/>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"Accounting Reference Date"</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sz w:val="24"/>
                <w:szCs w:val="24"/>
              </w:rPr>
            </w:pPr>
            <w:r w:rsidDel="00000000" w:rsidR="00000000" w:rsidRPr="00000000">
              <w:rPr>
                <w:sz w:val="24"/>
                <w:szCs w:val="24"/>
                <w:rtl w:val="0"/>
              </w:rPr>
              <w:t xml:space="preserve">means in each year the date to which the Supplier prepares its annual audited financial statements;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“Annual Revenue”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100" w:lineRule="auto"/>
              <w:ind w:left="0" w:firstLine="0"/>
              <w:jc w:val="left"/>
              <w:rPr>
                <w:sz w:val="24"/>
                <w:szCs w:val="24"/>
              </w:rPr>
            </w:pPr>
            <w:r w:rsidDel="00000000" w:rsidR="00000000" w:rsidRPr="00000000">
              <w:rPr>
                <w:sz w:val="24"/>
                <w:szCs w:val="24"/>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0" w:firstLine="0"/>
              <w:rPr>
                <w:sz w:val="24"/>
                <w:szCs w:val="24"/>
              </w:rPr>
            </w:pPr>
            <w:r w:rsidDel="00000000" w:rsidR="00000000" w:rsidRPr="00000000">
              <w:rPr>
                <w:sz w:val="24"/>
                <w:szCs w:val="24"/>
                <w:rtl w:val="0"/>
              </w:rPr>
              <w:t xml:space="preserve">figures for accounting periods of other than 12 months should be scaled pro rata to produce a proforma figure for a 12 month period; and</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“Appropriate Authority” or “Appropriate Authorities”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00" w:lineRule="auto"/>
              <w:ind w:left="0" w:firstLine="0"/>
              <w:jc w:val="left"/>
              <w:rPr>
                <w:sz w:val="24"/>
                <w:szCs w:val="24"/>
              </w:rPr>
            </w:pPr>
            <w:r w:rsidDel="00000000" w:rsidR="00000000" w:rsidRPr="00000000">
              <w:rPr>
                <w:sz w:val="24"/>
                <w:szCs w:val="24"/>
                <w:rtl w:val="0"/>
              </w:rPr>
              <w:t xml:space="preserve">means 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"Cabinet Office Markets and Suppliers Team"</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“Class 1 Transaction”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“Control”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“Corporate Change Event”</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"Corporate Change Event Grace Period"</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before="100" w:lineRule="auto"/>
              <w:ind w:left="0" w:firstLine="0"/>
              <w:jc w:val="left"/>
              <w:rPr>
                <w:sz w:val="24"/>
                <w:szCs w:val="24"/>
              </w:rPr>
            </w:pPr>
            <w:r w:rsidDel="00000000" w:rsidR="00000000" w:rsidRPr="00000000">
              <w:rPr>
                <w:sz w:val="24"/>
                <w:szCs w:val="24"/>
                <w:rtl w:val="0"/>
              </w:rPr>
              <w:t xml:space="preserve">means a grace period agreed to by the Appropriate Authority for providing CRP Information and/or updates to Business  Continuity Plan after a Corporate Change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"Corporate Resolvability Assessment (Structural Review)"</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100" w:lineRule="auto"/>
              <w:ind w:left="0" w:firstLine="0"/>
              <w:jc w:val="left"/>
              <w:rPr>
                <w:sz w:val="24"/>
                <w:szCs w:val="24"/>
              </w:rPr>
            </w:pPr>
            <w:r w:rsidDel="00000000" w:rsidR="00000000" w:rsidRPr="00000000">
              <w:rPr>
                <w:sz w:val="24"/>
                <w:szCs w:val="24"/>
                <w:rtl w:val="0"/>
              </w:rPr>
              <w:t xml:space="preserve">means part of the CRP Information relating to the Supplier Group to be provided by the Supplier in accordance with Paragraph 3 and Annex 2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“Critical National Infrastructure” or “CNI”</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before="100" w:lineRule="auto"/>
              <w:ind w:left="0" w:firstLine="0"/>
              <w:jc w:val="left"/>
              <w:rPr>
                <w:sz w:val="24"/>
                <w:szCs w:val="24"/>
              </w:rPr>
            </w:pPr>
            <w:r w:rsidDel="00000000" w:rsidR="00000000" w:rsidRPr="00000000">
              <w:rPr>
                <w:sz w:val="24"/>
                <w:szCs w:val="24"/>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0" w:firstLine="0"/>
              <w:rPr>
                <w:sz w:val="24"/>
                <w:szCs w:val="24"/>
              </w:rPr>
            </w:pPr>
            <w:r w:rsidDel="00000000" w:rsidR="00000000" w:rsidRPr="00000000">
              <w:rPr>
                <w:sz w:val="24"/>
                <w:szCs w:val="24"/>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“Critical Service Contract”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the overall status of the Services provided under the Contract as determined by the Buyer and specified in Paragraph 2 of this Schedule;</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“CRP Information”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100" w:lineRule="auto"/>
              <w:ind w:left="0" w:firstLine="0"/>
              <w:jc w:val="left"/>
              <w:rPr>
                <w:sz w:val="24"/>
                <w:szCs w:val="24"/>
              </w:rPr>
            </w:pPr>
            <w:r w:rsidDel="00000000" w:rsidR="00000000" w:rsidRPr="00000000">
              <w:rPr>
                <w:sz w:val="24"/>
                <w:szCs w:val="24"/>
                <w:rtl w:val="0"/>
              </w:rPr>
              <w:t xml:space="preserve">means the corporate resolution planning information, together, the: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(c) Financial Information and Commentary</w:t>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“Public Sector Dependent Supplier”</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a supplier where that supplier, or that supplier’s group has Annual Revenue of £50 million or more of which over 50% is generated from UK Public Sector Business;</w:t>
            </w:r>
          </w:p>
        </w:tc>
      </w:tr>
      <w:tr>
        <w:trPr>
          <w:cantSplit w:val="0"/>
          <w:trHeight w:val="567"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“Strategic Supplier”</w:t>
            </w:r>
          </w:p>
        </w:tc>
        <w:tc>
          <w:tcPr/>
          <w:p w:rsidR="00000000" w:rsidDel="00000000" w:rsidP="00000000" w:rsidRDefault="00000000" w:rsidRPr="00000000" w14:paraId="00000031">
            <w:pPr>
              <w:tabs>
                <w:tab w:val="left" w:leader="none" w:pos="-9"/>
              </w:tabs>
              <w:spacing w:after="120" w:lineRule="auto"/>
              <w:ind w:left="0" w:firstLine="0"/>
              <w:jc w:val="left"/>
              <w:rPr>
                <w:sz w:val="24"/>
                <w:szCs w:val="24"/>
              </w:rPr>
            </w:pPr>
            <w:r w:rsidDel="00000000" w:rsidR="00000000" w:rsidRPr="00000000">
              <w:rPr>
                <w:sz w:val="24"/>
                <w:szCs w:val="24"/>
                <w:rtl w:val="0"/>
              </w:rPr>
              <w:t xml:space="preserve">means those suppliers to government listed at</w:t>
            </w:r>
          </w:p>
          <w:p w:rsidR="00000000" w:rsidDel="00000000" w:rsidP="00000000" w:rsidRDefault="00000000" w:rsidRPr="00000000" w14:paraId="00000032">
            <w:pPr>
              <w:tabs>
                <w:tab w:val="left" w:leader="none" w:pos="-9"/>
              </w:tabs>
              <w:spacing w:after="120" w:lineRule="auto"/>
              <w:ind w:left="0" w:firstLine="0"/>
              <w:jc w:val="left"/>
              <w:rPr>
                <w:sz w:val="24"/>
                <w:szCs w:val="24"/>
              </w:rPr>
            </w:pPr>
            <w:r w:rsidDel="00000000" w:rsidR="00000000" w:rsidRPr="00000000">
              <w:rPr>
                <w:sz w:val="24"/>
                <w:szCs w:val="24"/>
                <w:rtl w:val="0"/>
              </w:rPr>
              <w:t xml:space="preserve">https://www.gov.uk/government/publications/strategic-suppliers;</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“UK Public Sector Business”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“UK Public Sector / CNI Contract Information”</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Bold" w:cs="Arial Bold" w:eastAsia="Arial Bold" w:hAnsi="Arial Bold"/>
          <w:b w:val="1"/>
          <w:color w:val="000000"/>
          <w:sz w:val="24"/>
          <w:szCs w:val="24"/>
        </w:rPr>
      </w:pPr>
      <w:r w:rsidDel="00000000" w:rsidR="00000000" w:rsidRPr="00000000">
        <w:rPr>
          <w:rtl w:val="0"/>
        </w:rPr>
      </w:r>
    </w:p>
    <w:p w:rsidR="00000000" w:rsidDel="00000000" w:rsidP="00000000" w:rsidRDefault="00000000" w:rsidRPr="00000000" w14:paraId="00000038">
      <w:pPr>
        <w:ind w:left="0" w:firstLine="0"/>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Service Status and Supplier Status</w:t>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This Contract </w:t>
      </w:r>
      <w:r w:rsidDel="00000000" w:rsidR="00000000" w:rsidRPr="00000000">
        <w:rPr>
          <w:color w:val="000000"/>
          <w:sz w:val="24"/>
          <w:szCs w:val="24"/>
          <w:highlight w:val="yellow"/>
          <w:rtl w:val="0"/>
        </w:rPr>
        <w:t xml:space="preserve">[insert ‘is’ or ‘is not’</w:t>
      </w:r>
      <w:r w:rsidDel="00000000" w:rsidR="00000000" w:rsidRPr="00000000">
        <w:rPr>
          <w:color w:val="000000"/>
          <w:sz w:val="24"/>
          <w:szCs w:val="24"/>
          <w:rtl w:val="0"/>
        </w:rPr>
        <w:t xml:space="preserve">] a Critical Service Contract.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yellow"/>
          <w:u w:val="none"/>
          <w:vertAlign w:val="baseline"/>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notify the Buyer </w:t>
      </w:r>
      <w:r w:rsidDel="00000000" w:rsidR="00000000" w:rsidRPr="00000000">
        <w:rPr>
          <w:color w:val="000000"/>
          <w:rtl w:val="0"/>
        </w:rPr>
        <w:t xml:space="preserve">and the Cabinet Office Markets and Suppliers </w:t>
      </w:r>
      <w:r w:rsidDel="00000000" w:rsidR="00000000" w:rsidRPr="00000000">
        <w:rPr>
          <w:rtl w:val="0"/>
        </w:rPr>
        <w:t xml:space="preserve">Team</w:t>
      </w:r>
      <w:r w:rsidDel="00000000" w:rsidR="00000000" w:rsidRPr="00000000">
        <w:rPr>
          <w:color w:val="000000"/>
          <w:sz w:val="24"/>
          <w:szCs w:val="24"/>
          <w:rtl w:val="0"/>
        </w:rPr>
        <w:t xml:space="preserve"> in writing within 5 Working Days of the Effective Date and throughout the Call-Off Contract Period within 120 days after each Accounting Reference Date as to whether or not it is a Public Sector Dependent Supplier. </w:t>
      </w:r>
      <w:r w:rsidDel="00000000" w:rsidR="00000000" w:rsidRPr="00000000">
        <w:rPr>
          <w:color w:val="000000"/>
          <w:rtl w:val="0"/>
        </w:rPr>
        <w:t xml:space="preserve">The contact email address for the Markets and Suppliers Team is </w:t>
      </w:r>
      <w:hyperlink r:id="rId7">
        <w:r w:rsidDel="00000000" w:rsidR="00000000" w:rsidRPr="00000000">
          <w:rPr>
            <w:color w:val="0000ff"/>
            <w:u w:val="single"/>
            <w:rtl w:val="0"/>
          </w:rPr>
          <w:t xml:space="preserve">resolution.planning@cabinetoffice.gov.uk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0">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Provision of Corporate Resolution Planning Information</w:t>
      </w:r>
    </w:p>
    <w:p w:rsidR="00000000" w:rsidDel="00000000" w:rsidP="00000000" w:rsidRDefault="00000000" w:rsidRPr="00000000" w14:paraId="00000041">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4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Paragraphs 3.6, 3.10 and 3.11:</w:t>
      </w:r>
    </w:p>
    <w:p w:rsidR="00000000" w:rsidDel="00000000" w:rsidP="00000000" w:rsidRDefault="00000000" w:rsidRPr="00000000" w14:paraId="00000043">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where the Contract is a Critical Service Contract, the Supplier shall provide the Appropriate Authority or Appropriate Authorities</w:t>
      </w:r>
      <w:r w:rsidDel="00000000" w:rsidR="00000000" w:rsidRPr="00000000">
        <w:rPr>
          <w:sz w:val="28"/>
          <w:szCs w:val="28"/>
          <w:rtl w:val="0"/>
        </w:rPr>
        <w:t xml:space="preserve"> </w:t>
      </w:r>
      <w:r w:rsidDel="00000000" w:rsidR="00000000" w:rsidRPr="00000000">
        <w:rPr>
          <w:sz w:val="24"/>
          <w:szCs w:val="24"/>
          <w:rtl w:val="0"/>
        </w:rPr>
        <w:t xml:space="preserve">with the CRP Information within 60 days of the Effective Date; and</w:t>
      </w:r>
    </w:p>
    <w:p w:rsidR="00000000" w:rsidDel="00000000" w:rsidP="00000000" w:rsidRDefault="00000000" w:rsidRPr="00000000" w14:paraId="00000044">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ensure that the CRP Information provided pursuant to Paragraphs 3.2, 3.8 and 3.9:</w:t>
      </w:r>
    </w:p>
    <w:p w:rsidR="00000000" w:rsidDel="00000000" w:rsidP="00000000" w:rsidRDefault="00000000" w:rsidRPr="00000000" w14:paraId="0000004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full, comprehensive, accurate and up to date;</w:t>
      </w:r>
    </w:p>
    <w:p w:rsidR="00000000" w:rsidDel="00000000" w:rsidP="00000000" w:rsidRDefault="00000000" w:rsidRPr="00000000" w14:paraId="0000004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split into three parts:</w:t>
      </w:r>
    </w:p>
    <w:p w:rsidR="00000000" w:rsidDel="00000000" w:rsidP="00000000" w:rsidRDefault="00000000" w:rsidRPr="00000000" w14:paraId="00000048">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Exposure Information (Contracts List</w:t>
      </w:r>
      <w:r w:rsidDel="00000000" w:rsidR="00000000" w:rsidRPr="00000000">
        <w:rPr>
          <w:color w:val="000000"/>
          <w:sz w:val="24"/>
          <w:szCs w:val="24"/>
          <w:rtl w:val="0"/>
        </w:rPr>
        <w:t xml:space="preserve">);</w:t>
      </w:r>
    </w:p>
    <w:p w:rsidR="00000000" w:rsidDel="00000000" w:rsidP="00000000" w:rsidRDefault="00000000" w:rsidRPr="00000000" w14:paraId="00000049">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Corporate Resolvability Assessment (Structural Review)</w:t>
      </w:r>
      <w:r w:rsidDel="00000000" w:rsidR="00000000" w:rsidRPr="00000000">
        <w:rPr>
          <w:color w:val="000000"/>
          <w:sz w:val="24"/>
          <w:szCs w:val="24"/>
          <w:rtl w:val="0"/>
        </w:rPr>
        <w:t xml:space="preserve">;</w:t>
      </w:r>
    </w:p>
    <w:p w:rsidR="00000000" w:rsidDel="00000000" w:rsidP="00000000" w:rsidRDefault="00000000" w:rsidRPr="00000000" w14:paraId="0000004A">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Financial Information and Commentary</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09"/>
        <w:rPr>
          <w:color w:val="000000"/>
          <w:sz w:val="24"/>
          <w:szCs w:val="24"/>
        </w:rPr>
      </w:pPr>
      <w:r w:rsidDel="00000000" w:rsidR="00000000" w:rsidRPr="00000000">
        <w:rPr>
          <w:rtl w:val="0"/>
        </w:rPr>
      </w:r>
    </w:p>
    <w:p w:rsidR="00000000" w:rsidDel="00000000" w:rsidP="00000000" w:rsidRDefault="00000000" w:rsidRPr="00000000" w14:paraId="0000004D">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4E">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4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complies with the requirements set out at </w:t>
      </w:r>
      <w:r w:rsidDel="00000000" w:rsidR="00000000" w:rsidRPr="00000000">
        <w:rPr>
          <w:color w:val="000000"/>
          <w:rtl w:val="0"/>
        </w:rPr>
        <w:t xml:space="preserve">Annex 1 (Exposure Information (Contracts List)), Annex 2 (Corporate Resolvability Assessment (Structural Review)) and Annex 3 (Financial Information and Commentary) </w:t>
      </w:r>
      <w:r w:rsidDel="00000000" w:rsidR="00000000" w:rsidRPr="00000000">
        <w:rPr>
          <w:sz w:val="24"/>
          <w:szCs w:val="24"/>
          <w:rtl w:val="0"/>
        </w:rPr>
        <w:t xml:space="preserve">respectively.</w:t>
      </w:r>
    </w:p>
    <w:p w:rsidR="00000000" w:rsidDel="00000000" w:rsidP="00000000" w:rsidRDefault="00000000" w:rsidRPr="00000000" w14:paraId="00000050">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51">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Appropriate Authority or Appropriate Authorities reject the CRP Information:</w:t>
      </w:r>
    </w:p>
    <w:p w:rsidR="00000000" w:rsidDel="00000000" w:rsidP="00000000" w:rsidRDefault="00000000" w:rsidRPr="00000000" w14:paraId="00000052">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53">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000000" w:rsidDel="00000000" w:rsidP="00000000" w:rsidRDefault="00000000" w:rsidRPr="00000000" w14:paraId="0000005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member of the Supplier Group has already provided CRP Information to a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or the Cabinet Office Markets and Suppliers Team (or, in the case of a Strategic Supplier, solely to the Cabinet Office Markets and Suppliers Team) and has received an Assurance of its CRP Information from that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5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An Assurance shall be deemed Valid for the purposes of Paragraph 3.6 if:</w:t>
      </w:r>
    </w:p>
    <w:p w:rsidR="00000000" w:rsidDel="00000000" w:rsidP="00000000" w:rsidRDefault="00000000" w:rsidRPr="00000000" w14:paraId="0000005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05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no Corporate Change Events or Financial Distress Events (or events which would be deemed to be Corporate Change Events or Financial Distress Events if the Contract had then been in force) have occurred since the date of issue of the Assurance.</w:t>
      </w:r>
    </w:p>
    <w:p w:rsidR="00000000" w:rsidDel="00000000" w:rsidP="00000000" w:rsidRDefault="00000000" w:rsidRPr="00000000" w14:paraId="00000058">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5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000000" w:rsidDel="00000000" w:rsidP="00000000" w:rsidRDefault="00000000" w:rsidRPr="00000000" w14:paraId="0000005A">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a Corporate Change Event unless</w:t>
      </w:r>
    </w:p>
    <w:p w:rsidR="00000000" w:rsidDel="00000000" w:rsidP="00000000" w:rsidRDefault="00000000" w:rsidRPr="00000000" w14:paraId="0000005B">
      <w:pPr>
        <w:keepNext w:val="1"/>
        <w:numPr>
          <w:ilvl w:val="3"/>
          <w:numId w:val="5"/>
        </w:numPr>
        <w:pBdr>
          <w:top w:space="0" w:sz="0" w:val="nil"/>
          <w:left w:space="0" w:sz="0" w:val="nil"/>
          <w:bottom w:space="0" w:sz="0" w:val="nil"/>
          <w:right w:space="0" w:sz="0" w:val="nil"/>
          <w:between w:space="0" w:sz="0" w:val="nil"/>
        </w:pBdr>
        <w:spacing w:after="120" w:before="120" w:lineRule="auto"/>
        <w:ind w:left="2268" w:hanging="850"/>
        <w:jc w:val="left"/>
        <w:rPr>
          <w:sz w:val="24"/>
          <w:szCs w:val="24"/>
        </w:rPr>
      </w:pPr>
      <w:r w:rsidDel="00000000" w:rsidR="00000000" w:rsidRPr="00000000">
        <w:rPr>
          <w:rtl w:val="0"/>
        </w:rPr>
        <w:t xml:space="preserve">the Supplier requests and the Appropriate Authority (acting reasonably) agrees to a </w:t>
      </w:r>
      <w:r w:rsidDel="00000000" w:rsidR="00000000" w:rsidRPr="00000000">
        <w:rPr>
          <w:highlight w:val="yellow"/>
          <w:rtl w:val="0"/>
        </w:rPr>
        <w:t xml:space="preserve">Corporate Change Event Grace Period</w:t>
      </w:r>
      <w:r w:rsidDel="00000000" w:rsidR="00000000" w:rsidRPr="00000000">
        <w:rPr>
          <w:rtl w:val="0"/>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r w:rsidDel="00000000" w:rsidR="00000000" w:rsidRPr="00000000">
        <w:rPr>
          <w:rtl w:val="0"/>
        </w:rPr>
      </w:r>
    </w:p>
    <w:p w:rsidR="00000000" w:rsidDel="00000000" w:rsidP="00000000" w:rsidRDefault="00000000" w:rsidRPr="00000000" w14:paraId="0000005C">
      <w:pPr>
        <w:keepNext w:val="1"/>
        <w:numPr>
          <w:ilvl w:val="3"/>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 not required pursuant to Paragraph 3.10;</w:t>
      </w:r>
    </w:p>
    <w:p w:rsidR="00000000" w:rsidDel="00000000" w:rsidP="00000000" w:rsidRDefault="00000000" w:rsidRPr="00000000" w14:paraId="0000005D">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the date that:</w:t>
      </w:r>
    </w:p>
    <w:p w:rsidR="00000000" w:rsidDel="00000000" w:rsidP="00000000" w:rsidRDefault="00000000" w:rsidRPr="00000000" w14:paraId="0000005E">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5F">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60">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61">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62">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not required pursuant to Paragraph 3.10.</w:t>
      </w:r>
    </w:p>
    <w:p w:rsidR="00000000" w:rsidDel="00000000" w:rsidP="00000000" w:rsidRDefault="00000000" w:rsidRPr="00000000" w14:paraId="0000006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6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w:t>
      </w:r>
      <w:r w:rsidDel="00000000" w:rsidR="00000000" w:rsidRPr="00000000">
        <w:rPr>
          <w:color w:val="000000"/>
          <w:sz w:val="24"/>
          <w:szCs w:val="24"/>
          <w:highlight w:val="yellow"/>
          <w:rtl w:val="0"/>
        </w:rPr>
        <w:t xml:space="preserve">Parent Undertaking</w:t>
      </w:r>
      <w:r w:rsidDel="00000000" w:rsidR="00000000" w:rsidRPr="00000000">
        <w:rPr>
          <w:color w:val="000000"/>
          <w:sz w:val="24"/>
          <w:szCs w:val="24"/>
          <w:rtl w:val="0"/>
        </w:rPr>
        <w:t xml:space="preserve"> of the Supplier has a credit rating of either:</w:t>
      </w:r>
    </w:p>
    <w:p w:rsidR="00000000" w:rsidDel="00000000" w:rsidP="00000000" w:rsidRDefault="00000000" w:rsidRPr="00000000" w14:paraId="0000006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Aa3 or better from Moody’s;</w:t>
      </w:r>
    </w:p>
    <w:p w:rsidR="00000000" w:rsidDel="00000000" w:rsidP="00000000" w:rsidRDefault="00000000" w:rsidRPr="00000000" w14:paraId="0000006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Standard and Poors;</w:t>
      </w:r>
    </w:p>
    <w:p w:rsidR="00000000" w:rsidDel="00000000" w:rsidP="00000000" w:rsidRDefault="00000000" w:rsidRPr="00000000" w14:paraId="0000006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Fitch;</w:t>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after="120" w:before="120" w:lineRule="auto"/>
        <w:ind w:left="720" w:firstLine="0"/>
        <w:jc w:val="left"/>
        <w:rPr>
          <w:sz w:val="24"/>
          <w:szCs w:val="24"/>
        </w:rPr>
      </w:pPr>
      <w:r w:rsidDel="00000000" w:rsidR="00000000" w:rsidRPr="00000000">
        <w:rPr>
          <w:sz w:val="24"/>
          <w:szCs w:val="24"/>
          <w:rtl w:val="0"/>
        </w:rPr>
        <w:t xml:space="preserve">the Supplier will not be required to provide any CRP Information unless or until either (i) a Financial Distress Event occurs (unless the Supplier is relieved of the consequences of the Financial Distress Event under </w:t>
      </w:r>
      <w:r w:rsidDel="00000000" w:rsidR="00000000" w:rsidRPr="00000000">
        <w:rPr>
          <w:sz w:val="24"/>
          <w:szCs w:val="24"/>
          <w:highlight w:val="yellow"/>
          <w:rtl w:val="0"/>
        </w:rPr>
        <w:t xml:space="preserve">Paragraph 7.1 of Annex 3 to Joint Schedule 7 (Financial Distress</w:t>
      </w:r>
      <w:r w:rsidDel="00000000" w:rsidR="00000000" w:rsidRPr="00000000">
        <w:rPr>
          <w:sz w:val="24"/>
          <w:szCs w:val="24"/>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69">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6A">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Termination Rights</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shall be entitled to terminate the Contract if the Supplier is required to provide CRP Information under Paragraph 3 and either:</w:t>
      </w:r>
    </w:p>
    <w:p w:rsidR="00000000" w:rsidDel="00000000" w:rsidP="00000000" w:rsidRDefault="00000000" w:rsidRPr="00000000" w14:paraId="0000006C">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provide the CRP Information within 4 months of the </w:t>
      </w:r>
      <w:r w:rsidDel="00000000" w:rsidR="00000000" w:rsidRPr="00000000">
        <w:rPr>
          <w:sz w:val="24"/>
          <w:szCs w:val="24"/>
          <w:highlight w:val="yellow"/>
          <w:rtl w:val="0"/>
        </w:rPr>
        <w:t xml:space="preserve">Effective Date</w:t>
      </w:r>
      <w:r w:rsidDel="00000000" w:rsidR="00000000" w:rsidRPr="00000000">
        <w:rPr>
          <w:sz w:val="24"/>
          <w:szCs w:val="24"/>
          <w:rtl w:val="0"/>
        </w:rPr>
        <w:t xml:space="preserve"> if this is a Critical Service Contract or otherwise within 4 months of the Appropriate Authority’s or Appropriate Authorities’ request; or</w:t>
      </w:r>
    </w:p>
    <w:p w:rsidR="00000000" w:rsidDel="00000000" w:rsidP="00000000" w:rsidRDefault="00000000" w:rsidRPr="00000000" w14:paraId="0000006D">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obtain an Assurance from the Appropriate Authority or Appropriate Authorities within 4 months of the date that it was first required to provide the CRP Information under the Contract,</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ind w:left="720" w:hanging="10.999999999999943"/>
        <w:rPr>
          <w:color w:val="000000"/>
          <w:sz w:val="24"/>
          <w:szCs w:val="24"/>
        </w:rPr>
      </w:pPr>
      <w:r w:rsidDel="00000000" w:rsidR="00000000" w:rsidRPr="00000000">
        <w:rPr>
          <w:color w:val="000000"/>
          <w:sz w:val="24"/>
          <w:szCs w:val="24"/>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6F">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Confidentiality and usage of CRP Information</w:t>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bookmarkStart w:colFirst="0" w:colLast="0" w:name="_heading=h.23ckvvd" w:id="2"/>
      <w:bookmarkEnd w:id="2"/>
      <w:r w:rsidDel="00000000" w:rsidR="00000000" w:rsidRPr="00000000">
        <w:rPr>
          <w:color w:val="000000"/>
          <w:sz w:val="24"/>
          <w:szCs w:val="24"/>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7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74">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redacting only those parts of the information which are subject to such obligations of confidentiality;</w:t>
      </w:r>
    </w:p>
    <w:p w:rsidR="00000000" w:rsidDel="00000000" w:rsidP="00000000" w:rsidRDefault="00000000" w:rsidRPr="00000000" w14:paraId="0000007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providing the information in a form that does not breach its obligations of confidentiality including (where possible) by:</w:t>
      </w:r>
    </w:p>
    <w:p w:rsidR="00000000" w:rsidDel="00000000" w:rsidP="00000000" w:rsidRDefault="00000000" w:rsidRPr="00000000" w14:paraId="00000076">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summarising the information;</w:t>
      </w:r>
    </w:p>
    <w:p w:rsidR="00000000" w:rsidDel="00000000" w:rsidP="00000000" w:rsidRDefault="00000000" w:rsidRPr="00000000" w14:paraId="00000077">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grouping the information;</w:t>
      </w:r>
    </w:p>
    <w:p w:rsidR="00000000" w:rsidDel="00000000" w:rsidP="00000000" w:rsidRDefault="00000000" w:rsidRPr="00000000" w14:paraId="00000078">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anonymising the information; and</w:t>
      </w:r>
    </w:p>
    <w:p w:rsidR="00000000" w:rsidDel="00000000" w:rsidP="00000000" w:rsidRDefault="00000000" w:rsidRPr="00000000" w14:paraId="00000079">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presenting the information in general terms</w:t>
      </w:r>
    </w:p>
    <w:p w:rsidR="00000000" w:rsidDel="00000000" w:rsidP="00000000" w:rsidRDefault="00000000" w:rsidRPr="00000000" w14:paraId="0000007A">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Rule="auto"/>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ind w:firstLine="1418"/>
        <w:rPr/>
      </w:pPr>
      <w:r w:rsidDel="00000000" w:rsidR="00000000" w:rsidRPr="00000000">
        <w:br w:type="page"/>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300" w:before="100" w:lineRule="auto"/>
        <w:ind w:firstLine="1418"/>
        <w:jc w:val="center"/>
        <w:rPr>
          <w:b w:val="1"/>
          <w:smallCaps w:val="1"/>
          <w:color w:val="000000"/>
        </w:rPr>
      </w:pPr>
      <w:r w:rsidDel="00000000" w:rsidR="00000000" w:rsidRPr="00000000">
        <w:rPr>
          <w:b w:val="1"/>
          <w:smallCaps w:val="1"/>
          <w:rtl w:val="0"/>
        </w:rPr>
        <w:t xml:space="preserve">ANNEX 1</w:t>
      </w:r>
      <w:r w:rsidDel="00000000" w:rsidR="00000000" w:rsidRPr="00000000">
        <w:rPr>
          <w:b w:val="1"/>
          <w:smallCaps w:val="1"/>
          <w:color w:val="000000"/>
          <w:rtl w:val="0"/>
        </w:rPr>
        <w:t xml:space="preserve">: EXPOSURE: CRITICAL CONTRACTS LIST</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The Supplier shall:</w:t>
      </w:r>
    </w:p>
    <w:p w:rsidR="00000000" w:rsidDel="00000000" w:rsidP="00000000" w:rsidRDefault="00000000" w:rsidRPr="00000000" w14:paraId="0000007F">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80">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1baon6m" w:id="3"/>
      <w:bookmarkEnd w:id="3"/>
      <w:r w:rsidDel="00000000" w:rsidR="00000000" w:rsidRPr="00000000">
        <w:rPr>
          <w:color w:val="000000"/>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81">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3vac5uf" w:id="4"/>
      <w:bookmarkEnd w:id="4"/>
      <w:r w:rsidDel="00000000" w:rsidR="00000000" w:rsidRPr="00000000">
        <w:rPr>
          <w:color w:val="000000"/>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82">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r w:rsidDel="00000000" w:rsidR="00000000" w:rsidRPr="00000000">
        <w:rPr>
          <w:color w:val="000000"/>
          <w:rtl w:val="0"/>
        </w:rPr>
        <w:t xml:space="preserve">involve or could reasonably be considered to involve CNI;</w:t>
      </w:r>
    </w:p>
    <w:p w:rsidR="00000000" w:rsidDel="00000000" w:rsidP="00000000" w:rsidRDefault="00000000" w:rsidRPr="00000000" w14:paraId="00000083">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ind w:firstLine="1418"/>
        <w:jc w:val="center"/>
        <w:rPr>
          <w:b w:val="1"/>
        </w:rPr>
      </w:pPr>
      <w:r w:rsidDel="00000000" w:rsidR="00000000" w:rsidRPr="00000000">
        <w:rPr>
          <w:b w:val="1"/>
          <w:rtl w:val="0"/>
        </w:rPr>
        <w:t xml:space="preserve">ANNEX 2: CORPORATE RESOLVABILITY ASSESSMENT (STRUCTURAL REVIEW)</w:t>
      </w:r>
    </w:p>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2hioqz"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so as to provide a simple, effective and easily understood overview of the Supplier Group; and</w:t>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full details of the importance of each member of the Supplier Group to the Supplier Group’s UK Public Sector Business and CNI agreements listed pursuant to Annex 1 and the dependencies between each.</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center"/>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ANNEX 3: Financial information AND COMMENTARY</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08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in a simple, effective and easily understood manner.</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091">
      <w:pPr>
        <w:ind w:firstLine="1418"/>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2">
      <w:pPr>
        <w:ind w:left="0" w:firstLine="0"/>
        <w:rPr>
          <w:color w:val="000000"/>
          <w:sz w:val="24"/>
          <w:szCs w:val="24"/>
        </w:rPr>
      </w:pP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r w:rsidDel="00000000" w:rsidR="00000000" w:rsidRPr="00000000">
      <w:rPr>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24 (Corporate Resolution Planning)</w:t>
    </w:r>
    <w:r w:rsidDel="00000000" w:rsidR="00000000" w:rsidRPr="00000000">
      <w:rPr>
        <w:rtl w:val="0"/>
      </w:rPr>
    </w:r>
  </w:p>
  <w:p w:rsidR="00000000" w:rsidDel="00000000" w:rsidP="00000000" w:rsidRDefault="00000000" w:rsidRPr="00000000" w14:paraId="00000094">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95">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96">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val="1"/>
      <w:keepLines w:val="1"/>
      <w:spacing w:after="120" w:before="480"/>
      <w:outlineLvl w:val="0"/>
    </w:pPr>
    <w:rPr>
      <w:b w:val="1"/>
      <w:sz w:val="48"/>
      <w:szCs w:val="48"/>
    </w:rPr>
  </w:style>
  <w:style w:type="paragraph" w:styleId="Heading2">
    <w:name w:val="heading 2"/>
    <w:basedOn w:val="Normal"/>
    <w:next w:val="Normal"/>
    <w:rsid w:val="0052154C"/>
    <w:pPr>
      <w:keepNext w:val="1"/>
      <w:keepLines w:val="1"/>
      <w:spacing w:after="80" w:before="360"/>
      <w:outlineLvl w:val="1"/>
    </w:pPr>
    <w:rPr>
      <w:b w:val="1"/>
      <w:sz w:val="36"/>
      <w:szCs w:val="36"/>
    </w:rPr>
  </w:style>
  <w:style w:type="paragraph" w:styleId="Heading3">
    <w:name w:val="heading 3"/>
    <w:basedOn w:val="Normal"/>
    <w:next w:val="Normal"/>
    <w:rsid w:val="0052154C"/>
    <w:pPr>
      <w:keepNext w:val="1"/>
      <w:keepLines w:val="1"/>
      <w:spacing w:after="80" w:before="280"/>
      <w:outlineLvl w:val="2"/>
    </w:pPr>
    <w:rPr>
      <w:b w:val="1"/>
      <w:sz w:val="28"/>
      <w:szCs w:val="28"/>
    </w:rPr>
  </w:style>
  <w:style w:type="paragraph" w:styleId="Heading4">
    <w:name w:val="heading 4"/>
    <w:basedOn w:val="Normal"/>
    <w:next w:val="Normal"/>
    <w:rsid w:val="0052154C"/>
    <w:pPr>
      <w:keepNext w:val="1"/>
      <w:keepLines w:val="1"/>
      <w:spacing w:after="40" w:before="240"/>
      <w:outlineLvl w:val="3"/>
    </w:pPr>
    <w:rPr>
      <w:b w:val="1"/>
      <w:sz w:val="24"/>
      <w:szCs w:val="24"/>
    </w:rPr>
  </w:style>
  <w:style w:type="paragraph" w:styleId="Heading5">
    <w:name w:val="heading 5"/>
    <w:basedOn w:val="Normal"/>
    <w:next w:val="Normal"/>
    <w:rsid w:val="0052154C"/>
    <w:pPr>
      <w:keepNext w:val="1"/>
      <w:keepLines w:val="1"/>
      <w:spacing w:after="40" w:before="220"/>
      <w:outlineLvl w:val="4"/>
    </w:pPr>
    <w:rPr>
      <w:b w:val="1"/>
    </w:rPr>
  </w:style>
  <w:style w:type="paragraph" w:styleId="Heading6">
    <w:name w:val="heading 6"/>
    <w:basedOn w:val="Normal"/>
    <w:next w:val="Normal"/>
    <w:rsid w:val="0052154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numPr>
        <w:numId w:val="7"/>
      </w:numPr>
      <w:overflowPunct w:val="1"/>
      <w:autoSpaceDE w:val="1"/>
      <w:autoSpaceDN w:val="1"/>
      <w:adjustRightInd w:val="1"/>
      <w:spacing w:after="200" w:before="100"/>
      <w:jc w:val="left"/>
      <w:textAlignment w:val="auto"/>
    </w:pPr>
    <w:rPr>
      <w:rFonts w:cs="Times New Roman"/>
      <w:b w:val="1"/>
      <w:sz w:val="24"/>
      <w:szCs w:val="24"/>
    </w:rPr>
  </w:style>
  <w:style w:type="paragraph" w:styleId="ScheduleText2" w:customStyle="1">
    <w:name w:val="Schedule Text 2"/>
    <w:basedOn w:val="ScheduleText1"/>
    <w:next w:val="Normal"/>
    <w:rsid w:val="003C22E1"/>
    <w:pPr>
      <w:numPr>
        <w:ilvl w:val="1"/>
      </w:numPr>
    </w:pPr>
    <w:rPr>
      <w:b w:val="0"/>
    </w:rPr>
  </w:style>
  <w:style w:type="paragraph" w:styleId="ScheduleText3" w:customStyle="1">
    <w:name w:val="Schedule Text 3"/>
    <w:basedOn w:val="Normal"/>
    <w:next w:val="Normal"/>
    <w:rsid w:val="003C22E1"/>
    <w:pPr>
      <w:numPr>
        <w:ilvl w:val="2"/>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4" w:customStyle="1">
    <w:name w:val="Schedule Text 4"/>
    <w:basedOn w:val="Normal"/>
    <w:next w:val="Normal"/>
    <w:rsid w:val="003C22E1"/>
    <w:pPr>
      <w:numPr>
        <w:ilvl w:val="3"/>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5" w:customStyle="1">
    <w:name w:val="Schedule Text 5"/>
    <w:basedOn w:val="Normal"/>
    <w:next w:val="Normal"/>
    <w:rsid w:val="003C22E1"/>
    <w:pPr>
      <w:numPr>
        <w:ilvl w:val="4"/>
        <w:numId w:val="7"/>
      </w:numPr>
      <w:tabs>
        <w:tab w:val="left" w:pos="720"/>
        <w:tab w:val="left" w:pos="2523"/>
      </w:tabs>
      <w:overflowPunct w:val="1"/>
      <w:autoSpaceDE w:val="1"/>
      <w:autoSpaceDN w:val="1"/>
      <w:adjustRightInd w:val="1"/>
      <w:spacing w:after="200" w:before="100"/>
      <w:jc w:val="left"/>
      <w:textAlignment w:val="auto"/>
    </w:pPr>
    <w:rPr>
      <w:rFonts w:cs="Times New Roman"/>
      <w:sz w:val="24"/>
      <w:szCs w:val="24"/>
    </w:rPr>
  </w:style>
  <w:style w:type="paragraph" w:styleId="ScheduleText6" w:customStyle="1">
    <w:name w:val="Schedule Text 6"/>
    <w:basedOn w:val="ScheduleText5"/>
    <w:rsid w:val="003C22E1"/>
    <w:pPr>
      <w:numPr>
        <w:ilvl w:val="5"/>
      </w:numPr>
    </w:pPr>
  </w:style>
  <w:style w:type="paragraph" w:styleId="ScheduleText7" w:customStyle="1">
    <w:name w:val="Schedule Text 7"/>
    <w:basedOn w:val="ScheduleText6"/>
    <w:rsid w:val="003C22E1"/>
    <w:pPr>
      <w:numPr>
        <w:ilvl w:val="6"/>
      </w:numPr>
    </w:pPr>
  </w:style>
  <w:style w:type="paragraph" w:styleId="BulletsBody" w:customStyle="1">
    <w:name w:val="Bullets Body"/>
    <w:basedOn w:val="Normal"/>
    <w:rsid w:val="009009FB"/>
    <w:pPr>
      <w:numPr>
        <w:numId w:val="8"/>
      </w:numPr>
      <w:overflowPunct w:val="1"/>
      <w:autoSpaceDE w:val="1"/>
      <w:autoSpaceDN w:val="1"/>
      <w:adjustRightInd w:val="1"/>
      <w:spacing w:after="200" w:before="100"/>
      <w:jc w:val="left"/>
      <w:textAlignment w:val="auto"/>
    </w:pPr>
    <w:rPr>
      <w:rFonts w:cs="Times New Roman"/>
      <w:sz w:val="24"/>
      <w:szCs w:val="24"/>
    </w:rPr>
  </w:style>
  <w:style w:type="paragraph" w:styleId="BulletsLevel1" w:customStyle="1">
    <w:name w:val="Bullets Level 1"/>
    <w:basedOn w:val="Normal"/>
    <w:rsid w:val="009009FB"/>
    <w:pPr>
      <w:numPr>
        <w:ilvl w:val="1"/>
        <w:numId w:val="8"/>
      </w:numPr>
      <w:tabs>
        <w:tab w:val="left" w:pos="1797"/>
      </w:tabs>
      <w:overflowPunct w:val="1"/>
      <w:autoSpaceDE w:val="1"/>
      <w:autoSpaceDN w:val="1"/>
      <w:adjustRightInd w:val="1"/>
      <w:spacing w:after="200" w:before="100"/>
      <w:jc w:val="left"/>
      <w:textAlignment w:val="auto"/>
    </w:pPr>
    <w:rPr>
      <w:rFonts w:cs="Times New Roman"/>
      <w:sz w:val="24"/>
      <w:szCs w:val="24"/>
    </w:rPr>
  </w:style>
  <w:style w:type="paragraph" w:styleId="BulletsLevel2" w:customStyle="1">
    <w:name w:val="Bullets Level 2"/>
    <w:basedOn w:val="BulletsLevel1"/>
    <w:rsid w:val="009009FB"/>
    <w:pPr>
      <w:numPr>
        <w:ilvl w:val="2"/>
      </w:numPr>
      <w:tabs>
        <w:tab w:val="clear" w:pos="1797"/>
      </w:tabs>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sz w:val="24"/>
      <w:szCs w:val="24"/>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sz w:val="24"/>
      <w:szCs w:val="24"/>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numPr>
        <w:ilvl w:val="3"/>
        <w:numId w:val="11"/>
      </w:numPr>
    </w:pPr>
  </w:style>
  <w:style w:type="paragraph" w:styleId="AppendixText5" w:customStyle="1">
    <w:name w:val="Appendix Text 5"/>
    <w:basedOn w:val="Normal"/>
    <w:rsid w:val="00666034"/>
    <w:pPr>
      <w:numPr>
        <w:ilvl w:val="4"/>
        <w:numId w:val="11"/>
      </w:numPr>
    </w:pPr>
  </w:style>
  <w:style w:type="table" w:styleId="a0"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1"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paragraph" w:styleId="StdBodyText2" w:customStyle="1">
    <w:name w:val="Std Body Text 2"/>
    <w:basedOn w:val="Normal"/>
    <w:rsid w:val="00F71ABD"/>
    <w:pPr>
      <w:overflowPunct w:val="1"/>
      <w:autoSpaceDE w:val="1"/>
      <w:autoSpaceDN w:val="1"/>
      <w:adjustRightInd w:val="1"/>
      <w:spacing w:after="200" w:before="100"/>
      <w:ind w:left="720"/>
      <w:jc w:val="left"/>
      <w:textAlignment w:val="auto"/>
    </w:pPr>
    <w:rPr>
      <w:rFonts w:cs="Times New Roman"/>
      <w:sz w:val="24"/>
      <w:szCs w:val="24"/>
    </w:rPr>
  </w:style>
  <w:style w:type="paragraph" w:styleId="AppendixText6" w:customStyle="1">
    <w:name w:val="Appendix Text 6"/>
    <w:basedOn w:val="AppendixText5"/>
    <w:rsid w:val="00F71ABD"/>
    <w:pPr>
      <w:numPr>
        <w:ilvl w:val="0"/>
        <w:numId w:val="0"/>
      </w:numPr>
      <w:tabs>
        <w:tab w:val="left" w:pos="720"/>
        <w:tab w:val="left" w:pos="2523"/>
        <w:tab w:val="num" w:pos="4320"/>
      </w:tabs>
      <w:overflowPunct w:val="1"/>
      <w:autoSpaceDE w:val="1"/>
      <w:autoSpaceDN w:val="1"/>
      <w:adjustRightInd w:val="1"/>
      <w:spacing w:after="200" w:before="100"/>
      <w:ind w:left="4320" w:hanging="720"/>
      <w:jc w:val="left"/>
      <w:textAlignment w:val="auto"/>
    </w:pPr>
    <w:rPr>
      <w:rFonts w:cs="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solution.planning@cabinetoffice.gov.uk" TargetMode="External"/><Relationship Id="rId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MPuuC2uQra/h/RUY1Td67/oAg==">CgMxLjAyCGguaWh2NjM2MghoLmdqZGd4czIJaC4yM2NrdnZkMgloLjFiYW9uNm0yCWguM3ZhYzV1ZjIJaC4zMmhpb3F6OAByITF3cUo2dlNURXdiS2NqcE9hNlNrVUhUa1dDSjdpbHJtNw==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2023-06-22T11:14:00Z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