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for Buyers: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After a further competition, if the Supplier’s bid has additional things that you would like included in the contract, insert the Supplier’s bid here.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Tender Here]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6" w:footer="706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RM6297 Print and Digital Communications</w: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F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2BGsKJIrcCBu57Kk5EQqXLBHA==">CgMxLjAyCWlkLmdqZGd4czgAciExSmI0MVdGbmJCOTdyWGx3eHAwNVIwWjc3Vk1jLWFhaFE=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2018-11-23T10:46:00Z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