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6 (ICT Services)</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01.0" w:type="dxa"/>
        <w:jc w:val="left"/>
        <w:tblInd w:w="713.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741"/>
        <w:gridCol w:w="5460"/>
        <w:tblGridChange w:id="0">
          <w:tblGrid>
            <w:gridCol w:w="2741"/>
            <w:gridCol w:w="5460"/>
          </w:tblGrid>
        </w:tblGridChange>
      </w:tblGrid>
      <w:tr>
        <w:trPr>
          <w:cantSplit w:val="0"/>
          <w:tblHeader w:val="0"/>
        </w:trPr>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Property" </w:t>
            </w:r>
          </w:p>
        </w:tc>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property, other than real property and IPR, including the Buyer System, any equipment issued or made available to the Supplier by the Buyer in connection with this Contract;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Software"</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which is owned by or licensed to the Buyer and which is or will be used by the Supplier for the purposes of providing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System"</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“Commercial off the shelf Software” or “COTS Software”</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"Defect"</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damage or defect in the manufacturing of a Deliverable; or</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error or failure of code within the Software which causes a Deliverable to malfunction or to produce unintelligible or incorrect results; or</w:t>
            </w:r>
          </w:p>
        </w:tc>
      </w:tr>
      <w:tr>
        <w:trPr>
          <w:cantSplit w:val="0"/>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44"/>
              </w:tabs>
              <w:spacing w:after="120" w:before="0" w:line="240" w:lineRule="auto"/>
              <w:ind w:left="342" w:right="0" w:hanging="3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trPr>
          <w:cantSplit w:val="0"/>
          <w:tblHeader w:val="0"/>
        </w:trPr>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"Emergency Maintenance"</w:t>
            </w:r>
          </w:p>
        </w:tc>
        <w:tc>
          <w:tcPr>
            <w:shd w:fill="auto" w:val="cle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Environment"</w:t>
            </w:r>
          </w:p>
        </w:tc>
        <w:tc>
          <w:tcPr>
            <w:shd w:fill="auto" w:val="cle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System and the Supplier System;</w:t>
            </w:r>
          </w:p>
        </w:tc>
      </w:tr>
      <w:tr>
        <w:trPr>
          <w:cantSplit w:val="0"/>
          <w:tblHeader w:val="0"/>
        </w:trPr>
        <w:tc>
          <w:tcPr>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w:t>
            </w:r>
          </w:p>
        </w:tc>
        <w:tc>
          <w:tcPr>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p>
        </w:tc>
        <w:tc>
          <w:tcPr>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tc>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Release"</w:t>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Software"</w:t>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trPr>
          <w:cantSplit w:val="0"/>
          <w:tblHeader w:val="0"/>
        </w:trPr>
        <w:tc>
          <w:tcPr>
            <w:shd w:fill="auto"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Environment"</w:t>
            </w:r>
          </w:p>
        </w:tc>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Buyer System and any premises (including the Buyer Premises, the Supplier’s premises or third party premises) from, to or at which:</w:t>
            </w:r>
          </w:p>
          <w:p w:rsidR="00000000" w:rsidDel="00000000" w:rsidP="00000000" w:rsidRDefault="00000000" w:rsidRPr="00000000" w14:paraId="00000024">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are (or are to be) provided; or </w:t>
            </w:r>
          </w:p>
          <w:p w:rsidR="00000000" w:rsidDel="00000000" w:rsidP="00000000" w:rsidRDefault="00000000" w:rsidRPr="00000000" w14:paraId="00000025">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manages, organises or otherwise directs the provision or the use of the Deliverables; or</w:t>
            </w:r>
          </w:p>
          <w:p w:rsidR="00000000" w:rsidDel="00000000" w:rsidP="00000000" w:rsidRDefault="00000000" w:rsidRPr="00000000" w14:paraId="00000026">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44"/>
                <w:tab w:val="left" w:leader="none" w:pos="342"/>
              </w:tabs>
              <w:spacing w:after="120" w:before="0" w:line="240" w:lineRule="auto"/>
              <w:ind w:left="34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6.1 of this Schedule;</w:t>
            </w:r>
          </w:p>
        </w:tc>
      </w:tr>
      <w:tr>
        <w:trPr>
          <w:cantSplit w:val="0"/>
          <w:tblHeader w:val="0"/>
        </w:trP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"Sites"</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Joint Schedule 1(Definitions), and for the purposes of this Call Off Schedule shall also include any premises from, to or at which physical interface with the Buyer System takes place;</w:t>
            </w:r>
          </w:p>
        </w:tc>
      </w:tr>
      <w:tr>
        <w:trPr>
          <w:cantSplit w:val="0"/>
          <w:tblHeader w:val="0"/>
        </w:trPr>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Specially Written Software COTS Software and non-COTS Supplier and third party Software;</w:t>
            </w:r>
          </w:p>
        </w:tc>
      </w:tr>
      <w:tr>
        <w:trPr>
          <w:cantSplit w:val="0"/>
          <w:tblHeader w:val="0"/>
        </w:trP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9.1 of this Schedule;</w:t>
            </w:r>
          </w:p>
        </w:tc>
      </w:tr>
      <w:tr>
        <w:trPr>
          <w:cantSplit w:val="0"/>
          <w:tblHeader w:val="0"/>
        </w:trPr>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"Source Code"</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"Specially Written Software"</w:t>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trPr>
          <w:cantSplit w:val="0"/>
          <w:tblHeader w:val="0"/>
        </w:trPr>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System"</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trPr>
          <w:cantSplit w:val="0"/>
          <w:tblHeader w:val="0"/>
        </w:trPr>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hen this Schedule should be used</w:t>
      </w: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360" w:right="0" w:hanging="360"/>
        <w:jc w:val="left"/>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Buyer due diligence requirements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686"/>
          <w:tab w:val="left" w:leader="none" w:pos="142"/>
        </w:tabs>
        <w:spacing w:after="240" w:before="120" w:line="240" w:lineRule="auto"/>
        <w:ind w:left="936" w:right="0" w:hanging="57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suitability of the existing and (to the extent that it is defined or reasonably foreseeable at the Start Date) future Operating Environment; </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processes and procedures and the working methods of the Buyer; </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ownership, functionality, capacity, condition and suitability for use in the provision of the Deliverables of the Buyer Assets; and</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confirms that it has advised the Buyer in writing of:</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aspect, if any, of the Operating Environment that is not suitable for the provision of the ICT Services;</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actions needed to remedy each such unsuitable aspect; and</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timetable for and the costs of those actions.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software warranty</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represents and warrants that:</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components of the Specially Written Software shall:</w:t>
      </w:r>
    </w:p>
    <w:p w:rsidR="00000000" w:rsidDel="00000000" w:rsidP="00000000" w:rsidRDefault="00000000" w:rsidRPr="00000000" w14:paraId="0000004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free from material design and programming errors;</w:t>
      </w:r>
    </w:p>
    <w:p w:rsidR="00000000" w:rsidDel="00000000" w:rsidP="00000000" w:rsidRDefault="00000000" w:rsidRPr="00000000" w14:paraId="0000004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in all material respects in accordance with the relevant specifications contained in Call Off Schedule 14 (Service Levels) and Documentation; and</w:t>
      </w:r>
    </w:p>
    <w:p w:rsidR="00000000" w:rsidDel="00000000" w:rsidP="00000000" w:rsidRDefault="00000000" w:rsidRPr="00000000" w14:paraId="0000004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infringe any IPR.</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ICT Services</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Supplier System will be free of all encumbrances;</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Deliverables are fully compatible with any Buyer Software, Buyer System, or otherwise used by the Supplier in connection with this Contract;</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any disruption to the Services and the ICT Environment  and/or the Buyer's operations when providing the Deliverables;</w:t>
      </w:r>
    </w:p>
    <w:p w:rsidR="00000000" w:rsidDel="00000000" w:rsidP="00000000" w:rsidRDefault="00000000" w:rsidRPr="00000000" w14:paraId="0000005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Standards and Quality Requirements</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Quality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approval of the Quality Plans, the Supplier shall provide all Deliverables in accordance with the Quality Plans.</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Supplier Personnel shall at all times during the Call Off Contract Period:</w:t>
      </w:r>
    </w:p>
    <w:p w:rsidR="00000000" w:rsidDel="00000000" w:rsidP="00000000" w:rsidRDefault="00000000" w:rsidRPr="00000000" w14:paraId="0000005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experienced, qualified and trained to supply the Deliverables in accordance with this Contract;</w:t>
      </w:r>
    </w:p>
    <w:p w:rsidR="00000000" w:rsidDel="00000000" w:rsidP="00000000" w:rsidRDefault="00000000" w:rsidRPr="00000000" w14:paraId="000000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5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ICT Audit</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any auditor access to the Supplier premises to:</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ICT Environment and the wider service delivery environment (or any part of them);</w:t>
      </w:r>
    </w:p>
    <w:p w:rsidR="00000000" w:rsidDel="00000000" w:rsidP="00000000" w:rsidRDefault="00000000" w:rsidRPr="00000000" w14:paraId="000000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any records created during the design and development of the Supplier System and pre-operational environment such as information relating to Testing;</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Supplier’s quality management systems including all relevant Quality Plans.</w:t>
      </w:r>
    </w:p>
    <w:p w:rsidR="00000000" w:rsidDel="00000000" w:rsidP="00000000" w:rsidRDefault="00000000" w:rsidRPr="00000000" w14:paraId="0000006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of the ICT Environment</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specified by the Buyer in the Order Form, the Supplier shall create and maintain a rolling schedule of planned maintenance to the ICT Environment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Maintenance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make it available to the Buyer for Approval in accordance with the timetable and instructions specified by the Buyer.</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Maintenance Schedule has been Approved, the Supplier shall only undertake such planned maintenance (which shall be known 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Maintenance Schedule.</w:t>
      </w:r>
    </w:p>
    <w:p w:rsidR="00000000" w:rsidDel="00000000" w:rsidP="00000000" w:rsidRDefault="00000000" w:rsidRPr="00000000" w14:paraId="0000006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as much notice as is reasonably practicable to the Buyer prior to carrying out any Emergency Maintenance.</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6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Intellectual Property Rights in ICT</w:t>
      </w:r>
    </w:p>
    <w:p w:rsidR="00000000" w:rsidDel="00000000" w:rsidP="00000000" w:rsidRDefault="00000000" w:rsidRPr="00000000" w14:paraId="000000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Assignments granted by the Supplier: Specially Written Software </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000000" w:rsidDel="00000000" w:rsidP="00000000" w:rsidRDefault="00000000" w:rsidRPr="00000000" w14:paraId="0000006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Source Code and the Object Code of the Specially Written Software; and</w:t>
      </w:r>
    </w:p>
    <w:p w:rsidR="00000000" w:rsidDel="00000000" w:rsidP="00000000" w:rsidRDefault="00000000" w:rsidRPr="00000000" w14:paraId="0000006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build instructions, test instructions, test scripts, test data, operating instructions and other documents and tools necessary for maintaining and supporting the Specially Written Software and the New IPR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6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Buyer of all Specially Written Software or New IPRs that are a modification, customisation, configuration or enhancement to any COTS Software; </w:t>
      </w:r>
    </w:p>
    <w:p w:rsidR="00000000" w:rsidDel="00000000" w:rsidP="00000000" w:rsidRDefault="00000000" w:rsidRPr="00000000" w14:paraId="0000006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000000" w:rsidDel="00000000" w:rsidP="00000000" w:rsidRDefault="00000000" w:rsidRPr="00000000" w14:paraId="0000006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execute all such assignments as are required to ensure that any rights in the Specially Written Software and New IPRs are properly transferred to the Buyer.</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Licences for non-COTS IPR from the Supplier and third parties to the Buyer</w:t>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gives its Approval the Supplier must not use any:</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its own Existing IPR that is not COTS Software;</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software that is not COTS Software</w:t>
      </w:r>
    </w:p>
    <w:p w:rsidR="00000000" w:rsidDel="00000000" w:rsidP="00000000" w:rsidRDefault="00000000" w:rsidRPr="00000000" w14:paraId="0000007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Call Off Contract Period and after expiry of the Contract to the extent necessary to ensure continuity of service and an effective transition of Services to a Replacement Supplier.</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000000" w:rsidDel="00000000" w:rsidP="00000000" w:rsidRDefault="00000000" w:rsidRPr="00000000" w14:paraId="0000007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in writing giving details of what licence terms can be obtained and whether there are alternative software providers which the Supplier could seek to use; and</w:t>
      </w:r>
    </w:p>
    <w:p w:rsidR="00000000" w:rsidDel="00000000" w:rsidP="00000000" w:rsidRDefault="00000000" w:rsidRPr="00000000" w14:paraId="0000007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use such third party IPR as referred to at paragraph 9.2.3.1 if the Buyer Approves the terms of the licence from the relevant third party.</w:t>
      </w:r>
    </w:p>
    <w:p w:rsidR="00000000" w:rsidDel="00000000" w:rsidP="00000000" w:rsidRDefault="00000000" w:rsidRPr="00000000" w14:paraId="000000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license to the Supplier’s Existing IPR in accordance with Paragraph 9.2.2 above, it must meet the requirement by making use of COTS Software or Specially Written Software.  </w:t>
      </w:r>
    </w:p>
    <w:p w:rsidR="00000000" w:rsidDel="00000000" w:rsidP="00000000" w:rsidRDefault="00000000" w:rsidRPr="00000000" w14:paraId="000000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for COTS Software by the Supplier and third parties to the Buyer</w:t>
      </w:r>
    </w:p>
    <w:p w:rsidR="00000000" w:rsidDel="00000000" w:rsidP="00000000" w:rsidRDefault="00000000" w:rsidRPr="00000000" w14:paraId="0000007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000000" w:rsidDel="00000000" w:rsidP="00000000" w:rsidRDefault="00000000" w:rsidRPr="00000000" w14:paraId="0000007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owns the COTS Software it shall make available the COTS software to a Replacement Supplier at a price and on terms no less favourable than those standard commercial terms on which such software is usually made commercially available.</w:t>
      </w:r>
    </w:p>
    <w:p w:rsidR="00000000" w:rsidDel="00000000" w:rsidP="00000000" w:rsidRDefault="00000000" w:rsidRPr="00000000" w14:paraId="0000007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rsidR="00000000" w:rsidDel="00000000" w:rsidP="00000000" w:rsidRDefault="00000000" w:rsidRPr="00000000" w14:paraId="0000007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within seven (7) days of becoming aware of any COTS Software which in the next thirty-six (36) months:</w:t>
      </w:r>
    </w:p>
    <w:p w:rsidR="00000000" w:rsidDel="00000000" w:rsidP="00000000" w:rsidRDefault="00000000" w:rsidRPr="00000000" w14:paraId="0000008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maintained or supported by the developer; or</w:t>
      </w:r>
    </w:p>
    <w:p w:rsidR="00000000" w:rsidDel="00000000" w:rsidP="00000000" w:rsidRDefault="00000000" w:rsidRPr="00000000" w14:paraId="0000008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 longer be made commercially available</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right to assign/novate licences</w:t>
      </w:r>
    </w:p>
    <w:p w:rsidR="00000000" w:rsidDel="00000000" w:rsidP="00000000" w:rsidRDefault="00000000" w:rsidRPr="00000000" w14:paraId="0000008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assign, novate or otherwise transfer its rights and obligations under the licences granted pursuant to paragraph 9.2 (to:</w:t>
      </w:r>
    </w:p>
    <w:p w:rsidR="00000000" w:rsidDel="00000000" w:rsidP="00000000" w:rsidRDefault="00000000" w:rsidRPr="00000000" w14:paraId="0000008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Central Government Body; or</w:t>
      </w:r>
    </w:p>
    <w:p w:rsidR="00000000" w:rsidDel="00000000" w:rsidP="00000000" w:rsidRDefault="00000000" w:rsidRPr="00000000" w14:paraId="0000008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08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ceases to be a Central Government Body, the successor body to the Buyer shall still be entitled to the benefit of the licences granted in paragraph 9.2.</w:t>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Licence granted by the Buyer</w:t>
      </w:r>
    </w:p>
    <w:p w:rsidR="00000000" w:rsidDel="00000000" w:rsidP="00000000" w:rsidRDefault="00000000" w:rsidRPr="00000000" w14:paraId="0000008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 Source Publication</w:t>
      </w:r>
    </w:p>
    <w:p w:rsidR="00000000" w:rsidDel="00000000" w:rsidP="00000000" w:rsidRDefault="00000000" w:rsidRPr="00000000" w14:paraId="0000008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000000" w:rsidDel="00000000" w:rsidP="00000000" w:rsidRDefault="00000000" w:rsidRPr="00000000" w14:paraId="0000008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for publication by the Buyer as Open Source; and </w:t>
      </w:r>
    </w:p>
    <w:p w:rsidR="00000000" w:rsidDel="00000000" w:rsidP="00000000" w:rsidRDefault="00000000" w:rsidRPr="00000000" w14:paraId="0000008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Open Standards (where applicable),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Buyer may, at its sole discretion, publish the same as Open Source.</w:t>
      </w:r>
    </w:p>
    <w:p w:rsidR="00000000" w:rsidDel="00000000" w:rsidP="00000000" w:rsidRDefault="00000000" w:rsidRPr="00000000" w14:paraId="000000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1134"/>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warrants that the Specially Written Software and the New IPR:</w:t>
      </w:r>
    </w:p>
    <w:p w:rsidR="00000000" w:rsidDel="00000000" w:rsidP="00000000" w:rsidRDefault="00000000" w:rsidRPr="00000000" w14:paraId="0000008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000000" w:rsidDel="00000000" w:rsidP="00000000" w:rsidRDefault="00000000" w:rsidRPr="00000000" w14:paraId="0000009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developed using reasonable endeavours to ensure that their publication by the Buyer shall not cause any harm or damage to any party using them;</w:t>
      </w:r>
    </w:p>
    <w:p w:rsidR="00000000" w:rsidDel="00000000" w:rsidP="00000000" w:rsidRDefault="00000000" w:rsidRPr="00000000" w14:paraId="0000009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material which would bring the Buyer into disrepute;</w:t>
      </w:r>
    </w:p>
    <w:p w:rsidR="00000000" w:rsidDel="00000000" w:rsidP="00000000" w:rsidRDefault="00000000" w:rsidRPr="00000000" w14:paraId="0000009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be published as Open Source without breaching the rights of any third party; </w:t>
      </w:r>
    </w:p>
    <w:p w:rsidR="00000000" w:rsidDel="00000000" w:rsidP="00000000" w:rsidRDefault="00000000" w:rsidRPr="00000000" w14:paraId="0000009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supplied in a format suitable for publication as Open Source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Open Source Publication Material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later than the date notified by the Buyer to the Supplier; and</w:t>
      </w:r>
    </w:p>
    <w:p w:rsidR="00000000" w:rsidDel="00000000" w:rsidP="00000000" w:rsidRDefault="00000000" w:rsidRPr="00000000" w14:paraId="0000009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2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contain any Malicious Software.</w:t>
      </w:r>
    </w:p>
    <w:p w:rsidR="00000000" w:rsidDel="00000000" w:rsidP="00000000" w:rsidRDefault="00000000" w:rsidRPr="00000000" w14:paraId="0000009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000000" w:rsidDel="00000000" w:rsidP="00000000" w:rsidRDefault="00000000" w:rsidRPr="00000000" w14:paraId="0000009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provide written details of the nature of the IPRs and items or Deliverables based on IPRs which are to be excluded from Open Source publication; and </w:t>
      </w:r>
    </w:p>
    <w:p w:rsidR="00000000" w:rsidDel="00000000" w:rsidP="00000000" w:rsidRDefault="00000000" w:rsidRPr="00000000" w14:paraId="0000009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throughout the Contract Period, use the latest versions of anti-virus definitions and software available from an industry accepted anti-virus software vendor to check for, contain the spread of, and minimise the impact of Malicious Software.</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000000" w:rsidDel="00000000" w:rsidP="00000000" w:rsidRDefault="00000000" w:rsidRPr="00000000" w14:paraId="0000009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cost arising out of the actions of the Parties taken in compliance with the provisions of paragraph 9.7.2 shall be borne by the Parties as follows:</w:t>
      </w:r>
    </w:p>
    <w:p w:rsidR="00000000" w:rsidDel="00000000" w:rsidP="00000000" w:rsidRDefault="00000000" w:rsidRPr="00000000" w14:paraId="0000009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000000" w:rsidDel="00000000" w:rsidP="00000000" w:rsidRDefault="00000000" w:rsidRPr="00000000" w14:paraId="0000009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Buyer, if the Malicious Software originates from the Buyer Software or the Buyer Data (whilst the Buyer Data was under the control of the Buyer).</w:t>
      </w:r>
    </w:p>
    <w:p w:rsidR="00000000" w:rsidDel="00000000" w:rsidP="00000000" w:rsidRDefault="00000000" w:rsidRPr="00000000" w14:paraId="0000009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[Supplier-Furnished Terms</w:t>
      </w:r>
    </w:p>
    <w:p w:rsidR="00000000" w:rsidDel="00000000" w:rsidP="00000000" w:rsidRDefault="00000000" w:rsidRPr="00000000" w14:paraId="000000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ab/>
        <w:t xml:space="preserve">Software Licence Terms</w:t>
      </w:r>
    </w:p>
    <w:p w:rsidR="00000000" w:rsidDel="00000000" w:rsidP="00000000" w:rsidRDefault="00000000" w:rsidRPr="00000000" w14:paraId="000000A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non-COTS third party software in accordance with Paragraph 9.2.3 are detailed in [insert reference to relevant Schedule].</w:t>
      </w:r>
    </w:p>
    <w:p w:rsidR="00000000" w:rsidDel="00000000" w:rsidP="00000000" w:rsidRDefault="00000000" w:rsidRPr="00000000" w14:paraId="000000A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Terms for licensing of COTS software in accordance with Paragraph 9.3 are detailed in [insert reference to relevant Schedule].</w:t>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as a Service Terms</w:t>
      </w:r>
    </w:p>
    <w:p w:rsidR="00000000" w:rsidDel="00000000" w:rsidP="00000000" w:rsidRDefault="00000000" w:rsidRPr="00000000" w14:paraId="000000A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a Software as a Service solution are detailed in [insert reference to relevant Schedule].</w:t>
      </w:r>
    </w:p>
    <w:p w:rsidR="00000000" w:rsidDel="00000000" w:rsidP="00000000" w:rsidRDefault="00000000" w:rsidRPr="00000000" w14:paraId="000000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Software Support &amp; Maintenance Terms</w:t>
      </w:r>
    </w:p>
    <w:p w:rsidR="00000000" w:rsidDel="00000000" w:rsidP="00000000" w:rsidRDefault="00000000" w:rsidRPr="00000000" w14:paraId="000000A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92" w:right="0" w:hanging="93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Additional terms for provision of Software Support &amp; Maintenance Services are detailed in [insert reference to relevant Schedule]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ambria"/>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Framework Ref: RM</w:t>
      <w:tab/>
      <w:t xml:space="preserve">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Project Version: v1.0</w:t>
      <w:tab/>
      <w:tab/>
      <w:tab/>
      <w:t xml:space="preserve">1</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Model Version: v2.9</w:t>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6 (ICT Services)</w:t>
    </w:r>
    <w:r w:rsidDel="00000000" w:rsidR="00000000" w:rsidRPr="00000000">
      <w:rPr>
        <w:rtl w:val="0"/>
      </w:rPr>
    </w:r>
  </w:p>
  <w:p w:rsidR="00000000" w:rsidDel="00000000" w:rsidP="00000000" w:rsidRDefault="00000000" w:rsidRPr="00000000" w14:paraId="000000AA">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AB">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2023</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lowerLetter"/>
      <w:lvlText w:val="%1)"/>
      <w:lvlJc w:val="left"/>
      <w:pPr>
        <w:ind w:left="2346" w:hanging="360"/>
      </w:pPr>
      <w:rPr/>
    </w:lvl>
    <w:lvl w:ilvl="1">
      <w:start w:val="1"/>
      <w:numFmt w:val="lowerLetter"/>
      <w:lvlText w:val="%2."/>
      <w:lvlJc w:val="left"/>
      <w:pPr>
        <w:ind w:left="3066" w:hanging="360"/>
      </w:pPr>
      <w:rPr/>
    </w:lvl>
    <w:lvl w:ilvl="2">
      <w:start w:val="1"/>
      <w:numFmt w:val="lowerRoman"/>
      <w:lvlText w:val="%3."/>
      <w:lvlJc w:val="right"/>
      <w:pPr>
        <w:ind w:left="3786" w:hanging="180"/>
      </w:pPr>
      <w:rPr/>
    </w:lvl>
    <w:lvl w:ilvl="3">
      <w:start w:val="1"/>
      <w:numFmt w:val="decimal"/>
      <w:lvlText w:val="%4."/>
      <w:lvlJc w:val="left"/>
      <w:pPr>
        <w:ind w:left="4506" w:hanging="360"/>
      </w:pPr>
      <w:rPr/>
    </w:lvl>
    <w:lvl w:ilvl="4">
      <w:start w:val="1"/>
      <w:numFmt w:val="lowerLetter"/>
      <w:lvlText w:val="%5."/>
      <w:lvlJc w:val="left"/>
      <w:pPr>
        <w:ind w:left="5226" w:hanging="360"/>
      </w:pPr>
      <w:rPr/>
    </w:lvl>
    <w:lvl w:ilvl="5">
      <w:start w:val="1"/>
      <w:numFmt w:val="lowerRoman"/>
      <w:lvlText w:val="%6."/>
      <w:lvlJc w:val="right"/>
      <w:pPr>
        <w:ind w:left="5946" w:hanging="180"/>
      </w:pPr>
      <w:rPr/>
    </w:lvl>
    <w:lvl w:ilvl="6">
      <w:start w:val="1"/>
      <w:numFmt w:val="decimal"/>
      <w:lvlText w:val="%7."/>
      <w:lvlJc w:val="left"/>
      <w:pPr>
        <w:ind w:left="6666" w:hanging="360"/>
      </w:pPr>
      <w:rPr/>
    </w:lvl>
    <w:lvl w:ilvl="7">
      <w:start w:val="1"/>
      <w:numFmt w:val="lowerLetter"/>
      <w:lvlText w:val="%8."/>
      <w:lvlJc w:val="left"/>
      <w:pPr>
        <w:ind w:left="7386" w:hanging="360"/>
      </w:pPr>
      <w:rPr/>
    </w:lvl>
    <w:lvl w:ilvl="8">
      <w:start w:val="1"/>
      <w:numFmt w:val="lowerRoman"/>
      <w:lvlText w:val="%9."/>
      <w:lvlJc w:val="right"/>
      <w:pPr>
        <w:ind w:left="8106"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70" w:right="0" w:hanging="17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36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08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80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36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pageBreakBefore w:val="0"/>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val="1"/>
    <w:pPr>
      <w:numPr>
        <w:numId w:val="2"/>
      </w:numPr>
      <w:outlineLvl w:val="0"/>
    </w:pPr>
  </w:style>
  <w:style w:type="paragraph" w:styleId="Heading2">
    <w:name w:val="heading 2"/>
    <w:basedOn w:val="HouseStyleBase"/>
    <w:link w:val="Heading2Char"/>
    <w:uiPriority w:val="9"/>
    <w:qFormat w:val="1"/>
    <w:pPr>
      <w:numPr>
        <w:ilvl w:val="1"/>
        <w:numId w:val="2"/>
      </w:numPr>
      <w:outlineLvl w:val="1"/>
    </w:pPr>
    <w:rPr>
      <w:rFonts w:ascii="Calibri" w:hAnsi="Calibri"/>
    </w:rPr>
  </w:style>
  <w:style w:type="paragraph" w:styleId="Heading3">
    <w:name w:val="heading 3"/>
    <w:basedOn w:val="HouseStyleBase"/>
    <w:link w:val="Heading3Char"/>
    <w:uiPriority w:val="9"/>
    <w:qFormat w:val="1"/>
    <w:pPr>
      <w:numPr>
        <w:ilvl w:val="2"/>
        <w:numId w:val="2"/>
      </w:numPr>
      <w:outlineLvl w:val="2"/>
    </w:pPr>
  </w:style>
  <w:style w:type="paragraph" w:styleId="Heading4">
    <w:name w:val="heading 4"/>
    <w:basedOn w:val="HouseStyleBase"/>
    <w:link w:val="Heading4Char"/>
    <w:uiPriority w:val="9"/>
    <w:qFormat w:val="1"/>
    <w:pPr>
      <w:numPr>
        <w:ilvl w:val="3"/>
        <w:numId w:val="2"/>
      </w:numPr>
      <w:outlineLvl w:val="3"/>
    </w:pPr>
  </w:style>
  <w:style w:type="paragraph" w:styleId="Heading5">
    <w:name w:val="heading 5"/>
    <w:basedOn w:val="HouseStyleBase"/>
    <w:link w:val="Heading5Char"/>
    <w:uiPriority w:val="9"/>
    <w:qFormat w:val="1"/>
    <w:pPr>
      <w:numPr>
        <w:ilvl w:val="4"/>
        <w:numId w:val="2"/>
      </w:numPr>
      <w:outlineLvl w:val="4"/>
    </w:pPr>
  </w:style>
  <w:style w:type="paragraph" w:styleId="Heading6">
    <w:name w:val="heading 6"/>
    <w:basedOn w:val="HouseStyleBase"/>
    <w:qFormat w:val="1"/>
    <w:pPr>
      <w:numPr>
        <w:ilvl w:val="5"/>
        <w:numId w:val="2"/>
      </w:numPr>
      <w:outlineLvl w:val="5"/>
    </w:pPr>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numPr>
        <w:numId w:val="5"/>
      </w:numPr>
      <w:jc w:val="center"/>
      <w:outlineLvl w:val="0"/>
    </w:pPr>
    <w:rPr>
      <w:b w:val="1"/>
      <w:caps w:val="1"/>
    </w:rPr>
  </w:style>
  <w:style w:type="paragraph" w:styleId="ScheduleL1" w:customStyle="1">
    <w:name w:val="Schedule L1"/>
    <w:basedOn w:val="HouseStyleBase"/>
    <w:pPr>
      <w:keepNext w:val="1"/>
      <w:numPr>
        <w:numId w:val="14"/>
      </w:numPr>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Title">
    <w:name w:val="Title"/>
    <w:basedOn w:val="Normal"/>
    <w:qFormat w:val="1"/>
    <w:pPr>
      <w:spacing w:after="60" w:before="240"/>
      <w:jc w:val="center"/>
    </w:pPr>
    <w:rPr>
      <w:rFonts w:ascii="Arial" w:hAnsi="Arial"/>
      <w:b w:val="1"/>
      <w:kern w:val="28"/>
      <w:sz w:val="32"/>
    </w:rPr>
  </w:style>
  <w:style w:type="paragraph" w:styleId="ListBullet2">
    <w:name w:val="List Bullet 2"/>
    <w:basedOn w:val="HouseStyleBase"/>
    <w:pPr>
      <w:numPr>
        <w:ilvl w:val="1"/>
        <w:numId w:val="6"/>
      </w:numPr>
    </w:pPr>
  </w:style>
  <w:style w:type="paragraph" w:styleId="HouseStyleBase" w:customStyle="1">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val="1"/>
    <w:pPr>
      <w:tabs>
        <w:tab w:val="left" w:pos="720"/>
        <w:tab w:val="right" w:leader="dot" w:pos="9029"/>
      </w:tabs>
      <w:adjustRightInd w:val="0"/>
      <w:spacing w:after="120"/>
      <w:ind w:left="720" w:hanging="720"/>
    </w:pPr>
    <w:rPr>
      <w:rFonts w:eastAsia="STZhongsong"/>
      <w:caps w:val="1"/>
      <w:sz w:val="22"/>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val="1"/>
    <w:pPr>
      <w:tabs>
        <w:tab w:val="right" w:leader="dot" w:pos="9029"/>
      </w:tabs>
      <w:adjustRightInd w:val="0"/>
      <w:spacing w:after="120"/>
    </w:pPr>
    <w:rPr>
      <w:rFonts w:eastAsia="STZhongsong"/>
      <w:caps w:val="1"/>
      <w:sz w:val="22"/>
      <w:lang w:eastAsia="zh-CN"/>
    </w:rPr>
  </w:style>
  <w:style w:type="paragraph" w:styleId="TOC9">
    <w:name w:val="toc 9"/>
    <w:semiHidden w:val="1"/>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numPr>
        <w:numId w:val="7"/>
      </w:numPr>
      <w:outlineLvl w:val="0"/>
    </w:pPr>
  </w:style>
  <w:style w:type="paragraph" w:styleId="DefinitionNumbering1" w:customStyle="1">
    <w:name w:val="Definition Numbering 1"/>
    <w:basedOn w:val="HouseStyleBase"/>
    <w:pPr>
      <w:numPr>
        <w:ilvl w:val="2"/>
        <w:numId w:val="37"/>
      </w:numPr>
      <w:spacing w:after="120"/>
      <w:outlineLvl w:val="0"/>
    </w:pPr>
    <w:rPr>
      <w:rFonts w:ascii="Calibri" w:hAnsi="Calibri"/>
    </w:rPr>
  </w:style>
  <w:style w:type="paragraph" w:styleId="DefinitionNumbering2" w:customStyle="1">
    <w:name w:val="Definition Numbering 2"/>
    <w:basedOn w:val="HouseStyleBase"/>
    <w:pPr>
      <w:numPr>
        <w:ilvl w:val="3"/>
        <w:numId w:val="37"/>
      </w:numPr>
      <w:outlineLvl w:val="1"/>
    </w:pPr>
  </w:style>
  <w:style w:type="paragraph" w:styleId="DefinitionNumbering3" w:customStyle="1">
    <w:name w:val="Definition Numbering 3"/>
    <w:basedOn w:val="HouseStyleBase"/>
    <w:pPr>
      <w:numPr>
        <w:ilvl w:val="4"/>
        <w:numId w:val="37"/>
      </w:numPr>
      <w:outlineLvl w:val="2"/>
    </w:pPr>
  </w:style>
  <w:style w:type="paragraph" w:styleId="DefinitionNumbering4" w:customStyle="1">
    <w:name w:val="Definition Numbering 4"/>
    <w:basedOn w:val="HouseStyleBase"/>
    <w:pPr>
      <w:numPr>
        <w:ilvl w:val="5"/>
        <w:numId w:val="37"/>
      </w:numPr>
      <w:outlineLvl w:val="3"/>
    </w:pPr>
  </w:style>
  <w:style w:type="paragraph" w:styleId="DefinitionNumbering5" w:customStyle="1">
    <w:name w:val="Definition Numbering 5"/>
    <w:basedOn w:val="HouseStyleBase"/>
    <w:pPr>
      <w:numPr>
        <w:ilvl w:val="6"/>
        <w:numId w:val="37"/>
      </w:numPr>
      <w:outlineLvl w:val="4"/>
    </w:pPr>
  </w:style>
  <w:style w:type="paragraph" w:styleId="DefinitionNumbering6" w:customStyle="1">
    <w:name w:val="Definition Numbering 6"/>
    <w:basedOn w:val="HouseStyleBase"/>
    <w:pPr>
      <w:numPr>
        <w:ilvl w:val="7"/>
        <w:numId w:val="37"/>
      </w:numPr>
      <w:outlineLvl w:val="5"/>
    </w:pPr>
  </w:style>
  <w:style w:type="paragraph" w:styleId="DefinitionNumbering7" w:customStyle="1">
    <w:name w:val="Definition Numbering 7"/>
    <w:basedOn w:val="HouseStyleBase"/>
    <w:pPr>
      <w:numPr>
        <w:ilvl w:val="8"/>
        <w:numId w:val="37"/>
      </w:num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ListBullet1" w:customStyle="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styleId="ListBullet6" w:customStyle="1">
    <w:name w:val="List Bullet 6"/>
    <w:basedOn w:val="HouseStyleBase"/>
    <w:pPr>
      <w:numPr>
        <w:ilvl w:val="5"/>
        <w:numId w:val="6"/>
      </w:numPr>
    </w:pPr>
  </w:style>
  <w:style w:type="paragraph" w:styleId="ListBullet7" w:customStyle="1">
    <w:name w:val="List Bullet 7"/>
    <w:basedOn w:val="HouseStyleBase"/>
    <w:pPr>
      <w:numPr>
        <w:ilvl w:val="6"/>
        <w:numId w:val="6"/>
      </w:numPr>
    </w:pPr>
  </w:style>
  <w:style w:type="paragraph" w:styleId="ListBullet8" w:customStyle="1">
    <w:name w:val="List Bullet 8"/>
    <w:basedOn w:val="HouseStyleBase"/>
    <w:pPr>
      <w:numPr>
        <w:ilvl w:val="7"/>
        <w:numId w:val="6"/>
      </w:numPr>
    </w:pPr>
  </w:style>
  <w:style w:type="paragraph" w:styleId="ListBullet9" w:customStyle="1">
    <w:name w:val="List Bullet 9"/>
    <w:basedOn w:val="HouseStyleBase"/>
    <w:pPr>
      <w:numPr>
        <w:ilvl w:val="8"/>
        <w:numId w:val="6"/>
      </w:numPr>
    </w:pPr>
  </w:style>
  <w:style w:type="paragraph" w:styleId="SchPart" w:customStyle="1">
    <w:name w:val="SchPart"/>
    <w:basedOn w:val="HouseStyleBaseCentred"/>
    <w:next w:val="MarginText"/>
    <w:pPr>
      <w:keepNext w:val="1"/>
      <w:numPr>
        <w:ilvl w:val="1"/>
        <w:numId w:val="5"/>
      </w:numPr>
      <w:jc w:val="center"/>
      <w:outlineLvl w:val="1"/>
    </w:pPr>
    <w:rPr>
      <w:b w:val="1"/>
    </w:rPr>
  </w:style>
  <w:style w:type="paragraph" w:styleId="ScheduleL2" w:customStyle="1">
    <w:name w:val="Schedule L2"/>
    <w:basedOn w:val="HouseStyleBase"/>
    <w:pPr>
      <w:numPr>
        <w:ilvl w:val="1"/>
        <w:numId w:val="14"/>
      </w:numPr>
      <w:outlineLvl w:val="1"/>
    </w:pPr>
    <w:rPr>
      <w:rFonts w:ascii="Calibri" w:hAnsi="Calibri"/>
    </w:rPr>
  </w:style>
  <w:style w:type="paragraph" w:styleId="ScheduleL3" w:customStyle="1">
    <w:name w:val="Schedule L3"/>
    <w:basedOn w:val="HouseStyleBase"/>
    <w:pPr>
      <w:numPr>
        <w:ilvl w:val="2"/>
        <w:numId w:val="14"/>
      </w:numPr>
      <w:outlineLvl w:val="2"/>
    </w:pPr>
    <w:rPr>
      <w:rFonts w:ascii="Calibri" w:hAnsi="Calibri"/>
    </w:rPr>
  </w:style>
  <w:style w:type="paragraph" w:styleId="ScheduleL4" w:customStyle="1">
    <w:name w:val="Schedule L4"/>
    <w:basedOn w:val="HouseStyleBase"/>
    <w:pPr>
      <w:numPr>
        <w:ilvl w:val="3"/>
        <w:numId w:val="14"/>
      </w:numPr>
      <w:outlineLvl w:val="3"/>
    </w:pPr>
  </w:style>
  <w:style w:type="paragraph" w:styleId="ScheduleL5" w:customStyle="1">
    <w:name w:val="Schedule L5"/>
    <w:basedOn w:val="HouseStyleBase"/>
    <w:pPr>
      <w:numPr>
        <w:ilvl w:val="4"/>
        <w:numId w:val="14"/>
      </w:numPr>
      <w:outlineLvl w:val="4"/>
    </w:pPr>
  </w:style>
  <w:style w:type="paragraph" w:styleId="ScheduleL6" w:customStyle="1">
    <w:name w:val="Schedule L6"/>
    <w:basedOn w:val="HouseStyleBase"/>
    <w:pPr>
      <w:numPr>
        <w:ilvl w:val="5"/>
        <w:numId w:val="14"/>
      </w:numPr>
      <w:outlineLvl w:val="5"/>
    </w:pPr>
  </w:style>
  <w:style w:type="paragraph" w:styleId="ScheduleL7" w:customStyle="1">
    <w:name w:val="Schedule L7"/>
    <w:basedOn w:val="HouseStyleBase"/>
    <w:pPr>
      <w:numPr>
        <w:ilvl w:val="6"/>
        <w:numId w:val="14"/>
      </w:numPr>
      <w:outlineLvl w:val="6"/>
    </w:pPr>
  </w:style>
  <w:style w:type="paragraph" w:styleId="ScheduleL8" w:customStyle="1">
    <w:name w:val="Schedule L8"/>
    <w:basedOn w:val="HouseStyleBase"/>
    <w:pPr>
      <w:numPr>
        <w:ilvl w:val="7"/>
        <w:numId w:val="14"/>
      </w:numPr>
      <w:outlineLvl w:val="7"/>
    </w:pPr>
  </w:style>
  <w:style w:type="paragraph" w:styleId="ScheduleL9" w:customStyle="1">
    <w:name w:val="Schedule L9"/>
    <w:basedOn w:val="HouseStyleBase"/>
    <w:pPr>
      <w:numPr>
        <w:ilvl w:val="8"/>
        <w:numId w:val="14"/>
      </w:numPr>
      <w:outlineLvl w:val="8"/>
    </w:pPr>
  </w:style>
  <w:style w:type="paragraph" w:styleId="SchSection" w:customStyle="1">
    <w:name w:val="SchSection"/>
    <w:basedOn w:val="HouseStyleBaseCentred"/>
    <w:next w:val="MarginText"/>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numPr>
        <w:ilvl w:val="1"/>
        <w:numId w:val="7"/>
      </w:numPr>
      <w:overflowPunct w:val="0"/>
      <w:autoSpaceDE w:val="0"/>
      <w:autoSpaceDN w:val="0"/>
      <w:textAlignment w:val="baseline"/>
    </w:pPr>
  </w:style>
  <w:style w:type="paragraph" w:styleId="RecitalNumbering3" w:customStyle="1">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numPr>
        <w:numId w:val="9"/>
      </w:numPr>
      <w:contextualSpacing w:val="1"/>
    </w:pPr>
  </w:style>
  <w:style w:type="paragraph" w:styleId="ListNumber2">
    <w:name w:val="List Number 2"/>
    <w:basedOn w:val="Normal"/>
    <w:pPr>
      <w:numPr>
        <w:numId w:val="10"/>
      </w:numPr>
      <w:contextualSpacing w:val="1"/>
    </w:pPr>
  </w:style>
  <w:style w:type="paragraph" w:styleId="ListNumber3">
    <w:name w:val="List Number 3"/>
    <w:basedOn w:val="Normal"/>
    <w:pPr>
      <w:numPr>
        <w:numId w:val="11"/>
      </w:numPr>
      <w:contextualSpacing w:val="1"/>
    </w:pPr>
  </w:style>
  <w:style w:type="paragraph" w:styleId="ListNumber4">
    <w:name w:val="List Number 4"/>
    <w:basedOn w:val="Normal"/>
    <w:pPr>
      <w:numPr>
        <w:numId w:val="12"/>
      </w:numPr>
      <w:contextualSpacing w:val="1"/>
    </w:pPr>
  </w:style>
  <w:style w:type="paragraph" w:styleId="ListNumber5">
    <w:name w:val="List Number 5"/>
    <w:basedOn w:val="Normal"/>
    <w:pPr>
      <w:numPr>
        <w:numId w:val="13"/>
      </w:numPr>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qFormat w:val="1"/>
    <w:pPr>
      <w:spacing w:after="60"/>
      <w:jc w:val="center"/>
      <w:outlineLvl w:val="1"/>
    </w:pPr>
    <w:rPr>
      <w:rFonts w:ascii="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line="360" w:lineRule="auto"/>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szCs w:val="22"/>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szCs w:val="22"/>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szCs w:val="22"/>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szCs w:val="22"/>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cs="Arial" w:hAnsi="Calibri"/>
      <w:b w:val="1"/>
      <w:szCs w:val="22"/>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numPr>
        <w:numId w:val="18"/>
      </w:numPr>
      <w:tabs>
        <w:tab w:val="left" w:pos="-9"/>
      </w:tabs>
      <w:spacing w:after="120" w:line="240" w:lineRule="auto"/>
    </w:pPr>
    <w:rPr>
      <w:rFonts w:ascii="Arial" w:cs="Arial" w:hAnsi="Arial"/>
      <w:szCs w:val="22"/>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line="240" w:lineRule="auto"/>
      <w:ind w:left="-108"/>
      <w:jc w:val="left"/>
    </w:pPr>
    <w:rPr>
      <w:rFonts w:ascii="Arial" w:cs="Arial" w:hAnsi="Arial"/>
      <w:b w:val="1"/>
      <w:szCs w:val="22"/>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numPr>
        <w:numId w:val="86"/>
      </w:numPr>
      <w:tabs>
        <w:tab w:val="left" w:pos="851"/>
      </w:tabs>
      <w:spacing w:line="240" w:lineRule="auto"/>
    </w:pPr>
    <w:rPr>
      <w:rFonts w:ascii="Calibri" w:cs="Arial" w:hAnsi="Calibri"/>
      <w:szCs w:val="22"/>
    </w:rPr>
  </w:style>
  <w:style w:type="character" w:styleId="GPSL1SchedulenumberedChar1" w:customStyle="1">
    <w:name w:val="GPS L1 Schedule numbered Char1"/>
    <w:link w:val="GPSL1Schedulenumbered"/>
    <w:locked w:val="1"/>
    <w:rsid w:val="00014AD9"/>
    <w:rPr>
      <w:rFonts w:ascii="Calibri" w:cs="Arial" w:hAnsi="Calibri"/>
      <w:sz w:val="22"/>
      <w:szCs w:val="22"/>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cs="Arial" w:hAnsi="Calibri"/>
      <w:szCs w:val="22"/>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sz w:val="22"/>
      <w:lang w:eastAsia="en-US"/>
    </w:r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67uOeGxhTus41lcuSiqV4LQK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4AHIhMWZtT2xWODE5WW9WeEFpNXJ5bks5aVBSVlFlenRQTT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2018-12-13T13:54:00Z</dcterms:created>
  <dc:creator>Duncan Shinn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