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8 (Business Continuity and Disaster Recovery)</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0"/>
      <w:bookmarkEnd w:id="0"/>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rFonts w:ascii="Arial" w:cs="Arial" w:eastAsia="Arial" w:hAnsi="Arial"/>
                <w:b w:val="1"/>
                <w:sz w:val="24"/>
                <w:szCs w:val="24"/>
                <w:rtl w:val="0"/>
              </w:rPr>
              <w:t xml:space="preserve">"Accounting Reference Date"</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color w:val="000000"/>
                <w:sz w:val="24"/>
                <w:szCs w:val="24"/>
              </w:rPr>
            </w:pPr>
            <w:r w:rsidDel="00000000" w:rsidR="00000000" w:rsidRPr="00000000">
              <w:rPr>
                <w:rFonts w:ascii="Arial" w:cs="Arial" w:eastAsia="Arial" w:hAnsi="Arial"/>
                <w:sz w:val="24"/>
                <w:szCs w:val="24"/>
                <w:rtl w:val="0"/>
              </w:rPr>
              <w:t xml:space="preserve">means in each year the date to which the Supplier prepares its annual audited financial statements;</w:t>
            </w: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"BCDR Plan"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1.2 of this Schedule;</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w:t>
            </w: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bookmarkStart w:colFirst="0" w:colLast="0" w:name="_heading=h.30j0zll" w:id="1"/>
            <w:bookmarkEnd w:id="1"/>
            <w:r w:rsidDel="00000000" w:rsidR="00000000" w:rsidRPr="00000000">
              <w:rPr>
                <w:sz w:val="24"/>
                <w:szCs w:val="24"/>
                <w:rtl w:val="0"/>
              </w:rPr>
              <w:t xml:space="preserve">the occurrence of one or more events which, either separately or cumulatively, mean that the Deliverables, or a material part thereof will be unavailable (or could reasonably be anticipated to be unavailable);</w:t>
            </w:r>
            <w:r w:rsidDel="00000000" w:rsidR="00000000" w:rsidRPr="00000000">
              <w:rPr>
                <w:rtl w:val="0"/>
              </w:rPr>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Deliverables"</w:t>
            </w:r>
            <w:r w:rsidDel="00000000" w:rsidR="00000000" w:rsidRPr="00000000">
              <w:rPr>
                <w:rtl w:val="0"/>
              </w:rPr>
            </w:r>
          </w:p>
        </w:tc>
        <w:tc>
          <w:tcPr/>
          <w:p w:rsidR="00000000" w:rsidDel="00000000" w:rsidP="00000000" w:rsidRDefault="00000000" w:rsidRPr="00000000" w14:paraId="0000000C">
            <w:pPr>
              <w:ind w:left="0" w:firstLine="0"/>
              <w:rPr>
                <w:rFonts w:ascii="Arial" w:cs="Arial" w:eastAsia="Arial" w:hAnsi="Arial"/>
                <w:sz w:val="24"/>
                <w:szCs w:val="24"/>
              </w:rPr>
            </w:pPr>
            <w:r w:rsidDel="00000000" w:rsidR="00000000" w:rsidRPr="00000000">
              <w:rPr>
                <w:sz w:val="24"/>
                <w:szCs w:val="24"/>
                <w:rtl w:val="0"/>
              </w:rPr>
              <w:t xml:space="preserve">the Deliverables embodied in the processes and procedures for restoring the provision of Deliverables following the occurrence of a Disaster;</w:t>
            </w:r>
            <w:r w:rsidDel="00000000" w:rsidR="00000000" w:rsidRPr="00000000">
              <w:rPr>
                <w:rtl w:val="0"/>
              </w:rPr>
            </w:r>
          </w:p>
          <w:p w:rsidR="00000000" w:rsidDel="00000000" w:rsidP="00000000" w:rsidRDefault="00000000" w:rsidRPr="00000000" w14:paraId="0000000D">
            <w:pPr>
              <w:ind w:firstLine="1418"/>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Plan"</w:t>
            </w: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has the meaning given to it in Paragraph 1.3.3 of this Schedule;</w:t>
            </w:r>
            <w:r w:rsidDel="00000000" w:rsidR="00000000" w:rsidRPr="00000000">
              <w:rPr>
                <w:rtl w:val="0"/>
              </w:rPr>
            </w:r>
          </w:p>
        </w:tc>
      </w:tr>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"Disaster Recovery System"</w:t>
            </w:r>
            <w:r w:rsidDel="00000000" w:rsidR="00000000" w:rsidRPr="00000000">
              <w:rPr>
                <w:rtl w:val="0"/>
              </w:rPr>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the system embodied in the processes and procedures for restoring the provision of Deliverables following the occurrence of a Disaster;</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"Related Supplier"</w:t>
            </w: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color w:val="000000"/>
                <w:sz w:val="24"/>
                <w:szCs w:val="24"/>
                <w:rtl w:val="0"/>
              </w:rPr>
              <w:t xml:space="preserve">any person who provides Deliverables to the Buyer which are related to the Deliverables from time to time;</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color w:val="000000"/>
                <w:sz w:val="24"/>
                <w:szCs w:val="24"/>
                <w:rtl w:val="0"/>
              </w:rPr>
              <w:t xml:space="preserve">"Review Report"</w:t>
            </w: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color w:val="000000"/>
                <w:sz w:val="24"/>
                <w:szCs w:val="24"/>
                <w:rtl w:val="0"/>
              </w:rPr>
              <w:t xml:space="preserve">has the meaning given to it in Paragraph 5.3 of this Schedule; and</w:t>
            </w: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b w:val="1"/>
                <w:sz w:val="24"/>
                <w:szCs w:val="24"/>
                <w:rtl w:val="0"/>
              </w:rPr>
              <w:t xml:space="preserve">"Supplier's Proposals"</w:t>
            </w: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color w:val="000000"/>
                <w:sz w:val="24"/>
                <w:szCs w:val="24"/>
              </w:rPr>
            </w:pPr>
            <w:r w:rsidDel="00000000" w:rsidR="00000000" w:rsidRPr="00000000">
              <w:rPr>
                <w:sz w:val="24"/>
                <w:szCs w:val="24"/>
                <w:rtl w:val="0"/>
              </w:rPr>
              <w:t xml:space="preserve">has the meaning given to it in Paragraph 5.3 of this Schedule</w:t>
            </w:r>
            <w:r w:rsidDel="00000000" w:rsidR="00000000" w:rsidRPr="00000000">
              <w:rPr>
                <w:rFonts w:ascii="Arial" w:cs="Arial" w:eastAsia="Arial" w:hAnsi="Arial"/>
                <w:sz w:val="24"/>
                <w:szCs w:val="24"/>
                <w:rtl w:val="0"/>
              </w:rPr>
              <w:t xml:space="preserve">.</w:t>
            </w:r>
            <w:r w:rsidDel="00000000" w:rsidR="00000000" w:rsidRPr="00000000">
              <w:rPr>
                <w:rtl w:val="0"/>
              </w:rPr>
            </w:r>
          </w:p>
        </w:tc>
      </w:tr>
    </w:tbl>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Bold" w:cs="Arial Bold" w:eastAsia="Arial Bold" w:hAnsi="Arial Bold"/>
          <w:b w:val="1"/>
          <w:color w:val="000000"/>
          <w:sz w:val="24"/>
          <w:szCs w:val="24"/>
        </w:rPr>
      </w:pPr>
      <w:r w:rsidDel="00000000" w:rsidR="00000000" w:rsidRPr="00000000">
        <w:rPr>
          <w:rtl w:val="0"/>
        </w:rPr>
      </w:r>
    </w:p>
    <w:p w:rsidR="00000000" w:rsidDel="00000000" w:rsidP="00000000" w:rsidRDefault="00000000" w:rsidRPr="00000000" w14:paraId="00000019">
      <w:pPr>
        <w:ind w:firstLine="1418"/>
        <w:rPr>
          <w:rFonts w:ascii="Arial Bold" w:cs="Arial Bold" w:eastAsia="Arial Bold" w:hAnsi="Arial Bold"/>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0" w:firstLine="0"/>
        <w:jc w:val="left"/>
        <w:rPr>
          <w:b w:val="1"/>
          <w:color w:val="000000"/>
          <w:sz w:val="32"/>
          <w:szCs w:val="32"/>
        </w:rPr>
      </w:pPr>
      <w:r w:rsidDel="00000000" w:rsidR="00000000" w:rsidRPr="00000000">
        <w:rPr>
          <w:b w:val="1"/>
          <w:color w:val="000000"/>
          <w:sz w:val="32"/>
          <w:szCs w:val="32"/>
          <w:rtl w:val="0"/>
        </w:rPr>
        <w:t xml:space="preserve">BCDR Plan</w:t>
      </w:r>
    </w:p>
    <w:p w:rsidR="00000000" w:rsidDel="00000000" w:rsidP="00000000" w:rsidRDefault="00000000" w:rsidRPr="00000000" w14:paraId="0000001B">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BCDR Plan</w:t>
      </w:r>
      <w:r w:rsidDel="00000000" w:rsidR="00000000" w:rsidRPr="00000000">
        <w:rPr>
          <w:rtl w:val="0"/>
        </w:rPr>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fob9te" w:id="2"/>
      <w:bookmarkEnd w:id="2"/>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At least ninety (90) Working Days prior to the Start Date the Supplier shall prepare and deliver to the Buyer for the Buyer’s written approval a plan (a </w:t>
      </w:r>
      <w:r w:rsidDel="00000000" w:rsidR="00000000" w:rsidRPr="00000000">
        <w:rPr>
          <w:b w:val="1"/>
          <w:color w:val="000000"/>
          <w:sz w:val="24"/>
          <w:szCs w:val="24"/>
          <w:rtl w:val="0"/>
        </w:rPr>
        <w:t xml:space="preserve">“BCDR Plan”</w:t>
      </w:r>
      <w:r w:rsidDel="00000000" w:rsidR="00000000" w:rsidRPr="00000000">
        <w:rPr>
          <w:color w:val="000000"/>
          <w:sz w:val="24"/>
          <w:szCs w:val="24"/>
          <w:rtl w:val="0"/>
        </w:rPr>
        <w:t xml:space="preserve">), which shall detail the processes and arrangements that the Supplier shall follow to:</w:t>
      </w:r>
    </w:p>
    <w:p w:rsidR="00000000" w:rsidDel="00000000" w:rsidP="00000000" w:rsidRDefault="00000000" w:rsidRPr="00000000" w14:paraId="0000001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ensure continuity of the business processes and operations supported by the Services following any failure or disruption of any element of the Deliverables; and</w:t>
      </w:r>
    </w:p>
    <w:p w:rsidR="00000000" w:rsidDel="00000000" w:rsidP="00000000" w:rsidRDefault="00000000" w:rsidRPr="00000000" w14:paraId="0000001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recovery of the Deliverables in the event of a Disaster. </w:t>
      </w:r>
    </w:p>
    <w:p w:rsidR="00000000" w:rsidDel="00000000" w:rsidP="00000000" w:rsidRDefault="00000000" w:rsidRPr="00000000" w14:paraId="00000020">
      <w:pPr>
        <w:keepNext w:val="1"/>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divided into four sections:</w:t>
      </w:r>
    </w:p>
    <w:p w:rsidR="00000000" w:rsidDel="00000000" w:rsidP="00000000" w:rsidRDefault="00000000" w:rsidRPr="00000000" w14:paraId="00000021">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znysh7" w:id="3"/>
      <w:bookmarkEnd w:id="3"/>
      <w:r w:rsidDel="00000000" w:rsidR="00000000" w:rsidRPr="00000000">
        <w:rPr>
          <w:color w:val="000000"/>
          <w:sz w:val="24"/>
          <w:szCs w:val="24"/>
          <w:rtl w:val="0"/>
        </w:rPr>
        <w:t xml:space="preserve">Section 1 which shall set out general principles applicable to the BCDR Plan; </w:t>
      </w:r>
    </w:p>
    <w:p w:rsidR="00000000" w:rsidDel="00000000" w:rsidP="00000000" w:rsidRDefault="00000000" w:rsidRPr="00000000" w14:paraId="00000022">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et92p0" w:id="4"/>
      <w:bookmarkEnd w:id="4"/>
      <w:r w:rsidDel="00000000" w:rsidR="00000000" w:rsidRPr="00000000">
        <w:rPr>
          <w:color w:val="000000"/>
          <w:sz w:val="24"/>
          <w:szCs w:val="24"/>
          <w:rtl w:val="0"/>
        </w:rPr>
        <w:t xml:space="preserve">Section 2 which shall relate to business continuity (the </w:t>
      </w:r>
      <w:r w:rsidDel="00000000" w:rsidR="00000000" w:rsidRPr="00000000">
        <w:rPr>
          <w:b w:val="1"/>
          <w:color w:val="000000"/>
          <w:sz w:val="24"/>
          <w:szCs w:val="24"/>
          <w:rtl w:val="0"/>
        </w:rPr>
        <w:t xml:space="preserve">"Business Continuity Plan"</w:t>
      </w:r>
      <w:r w:rsidDel="00000000" w:rsidR="00000000" w:rsidRPr="00000000">
        <w:rPr>
          <w:color w:val="000000"/>
          <w:sz w:val="24"/>
          <w:szCs w:val="24"/>
          <w:rtl w:val="0"/>
        </w:rPr>
        <w:t xml:space="preserve">); and</w:t>
      </w:r>
    </w:p>
    <w:p w:rsidR="00000000" w:rsidDel="00000000" w:rsidP="00000000" w:rsidRDefault="00000000" w:rsidRPr="00000000" w14:paraId="00000023">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highlight w:val="yellow"/>
        </w:rPr>
      </w:pPr>
      <w:bookmarkStart w:colFirst="0" w:colLast="0" w:name="_heading=h.tyjcwt" w:id="5"/>
      <w:bookmarkEnd w:id="5"/>
      <w:r w:rsidDel="00000000" w:rsidR="00000000" w:rsidRPr="00000000">
        <w:rPr>
          <w:color w:val="000000"/>
          <w:sz w:val="24"/>
          <w:szCs w:val="24"/>
          <w:rtl w:val="0"/>
        </w:rPr>
        <w:t xml:space="preserve">Section 3 which shall relate to disaster recovery (the </w:t>
      </w:r>
      <w:r w:rsidDel="00000000" w:rsidR="00000000" w:rsidRPr="00000000">
        <w:rPr>
          <w:b w:val="1"/>
          <w:color w:val="000000"/>
          <w:sz w:val="24"/>
          <w:szCs w:val="24"/>
          <w:rtl w:val="0"/>
        </w:rPr>
        <w:t xml:space="preserve">"Disaster Recovery Plan"</w:t>
      </w: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[and.</w:t>
      </w:r>
    </w:p>
    <w:p w:rsidR="00000000" w:rsidDel="00000000" w:rsidP="00000000" w:rsidRDefault="00000000" w:rsidRPr="00000000" w14:paraId="00000024">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highlight w:val="yellow"/>
          <w:rtl w:val="0"/>
        </w:rPr>
        <w:t xml:space="preserve">Section 4 which shall relate to an Insolvency Event of the Supplier, and Key-Subcontractors and/or any Supplier Group member (the “</w:t>
      </w:r>
      <w:r w:rsidDel="00000000" w:rsidR="00000000" w:rsidRPr="00000000">
        <w:rPr>
          <w:b w:val="1"/>
          <w:color w:val="000000"/>
          <w:sz w:val="24"/>
          <w:szCs w:val="24"/>
          <w:highlight w:val="yellow"/>
          <w:rtl w:val="0"/>
        </w:rPr>
        <w:t xml:space="preserve">Insolvency Continuity Plan</w:t>
      </w:r>
      <w:r w:rsidDel="00000000" w:rsidR="00000000" w:rsidRPr="00000000">
        <w:rPr>
          <w:color w:val="000000"/>
          <w:sz w:val="24"/>
          <w:szCs w:val="24"/>
          <w:highlight w:val="yellow"/>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dy6vkm" w:id="6"/>
      <w:bookmarkEnd w:id="6"/>
      <w:r w:rsidDel="00000000" w:rsidR="00000000" w:rsidRPr="00000000">
        <w:rPr>
          <w:color w:val="000000"/>
          <w:sz w:val="24"/>
          <w:szCs w:val="24"/>
          <w:rtl w:val="0"/>
        </w:rPr>
        <w:t xml:space="preserve">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000000" w:rsidDel="00000000" w:rsidP="00000000" w:rsidRDefault="00000000" w:rsidRPr="00000000" w14:paraId="00000026">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1t3h5sf" w:id="7"/>
      <w:bookmarkEnd w:id="7"/>
      <w:r w:rsidDel="00000000" w:rsidR="00000000" w:rsidRPr="00000000">
        <w:rPr>
          <w:rFonts w:ascii="Arial Bold" w:cs="Arial Bold" w:eastAsia="Arial Bold" w:hAnsi="Arial Bold"/>
          <w:b w:val="1"/>
          <w:color w:val="000000"/>
          <w:sz w:val="24"/>
          <w:szCs w:val="24"/>
          <w:rtl w:val="0"/>
        </w:rPr>
        <w:t xml:space="preserve">General Principles of the BCDR Plan (Section 1)</w:t>
      </w:r>
      <w:r w:rsidDel="00000000" w:rsidR="00000000" w:rsidRPr="00000000">
        <w:rPr>
          <w:rtl w:val="0"/>
        </w:rPr>
      </w:r>
    </w:p>
    <w:p w:rsidR="00000000" w:rsidDel="00000000" w:rsidP="00000000" w:rsidRDefault="00000000" w:rsidRPr="00000000" w14:paraId="00000027">
      <w:pPr>
        <w:keepNext w:val="1"/>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ihv636" w:id="8"/>
      <w:bookmarkEnd w:id="8"/>
      <w:r w:rsidDel="00000000" w:rsidR="00000000" w:rsidRPr="00000000">
        <w:rPr>
          <w:color w:val="000000"/>
          <w:sz w:val="24"/>
          <w:szCs w:val="24"/>
          <w:rtl w:val="0"/>
        </w:rPr>
        <w:t xml:space="preserve">Section 1 of the BCDR Plan shall:</w:t>
      </w:r>
    </w:p>
    <w:p w:rsidR="00000000" w:rsidDel="00000000" w:rsidP="00000000" w:rsidRDefault="00000000" w:rsidRPr="00000000" w14:paraId="00000028">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1ci93xb" w:id="9"/>
      <w:bookmarkEnd w:id="9"/>
      <w:r w:rsidDel="00000000" w:rsidR="00000000" w:rsidRPr="00000000">
        <w:rPr>
          <w:color w:val="000000"/>
          <w:sz w:val="24"/>
          <w:szCs w:val="24"/>
          <w:rtl w:val="0"/>
        </w:rPr>
        <w:t xml:space="preserve">set out how the business continuity and disaster recovery elements of the BCDR Plan link to each other;</w:t>
      </w:r>
    </w:p>
    <w:p w:rsidR="00000000" w:rsidDel="00000000" w:rsidP="00000000" w:rsidRDefault="00000000" w:rsidRPr="00000000" w14:paraId="00000029">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details of how the invocation of any element of the BCDR Plan may impact upon the provision of the Deliverables and any goods and/or services provided to the Buyer by a Related Supplier;</w:t>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an obligation upon the Supplier to liaise with the Buyer and any Related Suppliers with respect to business continuity and disaster recovery;</w:t>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 how the BCDR Plan interoperates with any overarching disaster recovery or business continuity plan of the Buyer and any of its other Related Suppliers in each case as notified to the Supplier by the Buyer from time to time;</w:t>
      </w:r>
    </w:p>
    <w:p w:rsidR="00000000" w:rsidDel="00000000" w:rsidP="00000000" w:rsidRDefault="00000000" w:rsidRPr="00000000" w14:paraId="0000002C">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 communication strategy including details of an incident and problem management service and advice and help desk facility which can be accessed via multiple channels;</w:t>
      </w:r>
    </w:p>
    <w:p w:rsidR="00000000" w:rsidDel="00000000" w:rsidP="00000000" w:rsidRDefault="00000000" w:rsidRPr="00000000" w14:paraId="0000002D">
      <w:pPr>
        <w:keepNext w:val="1"/>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 risk analysis, including:</w:t>
      </w:r>
    </w:p>
    <w:p w:rsidR="00000000" w:rsidDel="00000000" w:rsidP="00000000" w:rsidRDefault="00000000" w:rsidRPr="00000000" w14:paraId="0000002E">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failure or disruption scenarios and assessments of likely frequency of occurrence;</w:t>
      </w:r>
    </w:p>
    <w:p w:rsidR="00000000" w:rsidDel="00000000" w:rsidP="00000000" w:rsidRDefault="00000000" w:rsidRPr="00000000" w14:paraId="0000002F">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any single points of failure within the provision of Deliverables and processes for managing those risks;</w:t>
      </w:r>
    </w:p>
    <w:p w:rsidR="00000000" w:rsidDel="00000000" w:rsidP="00000000" w:rsidRDefault="00000000" w:rsidRPr="00000000" w14:paraId="00000030">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risks arising from an Insolvency Event of the Supplier, any Key Subcontractors and/or Supplier Group member;</w:t>
      </w:r>
    </w:p>
    <w:p w:rsidR="00000000" w:rsidDel="00000000" w:rsidP="00000000" w:rsidRDefault="00000000" w:rsidRPr="00000000" w14:paraId="00000031">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identification of risks arising from the interaction of the provision of Deliverables with the goods and/or services provided by a Related Supplier; and</w:t>
      </w:r>
    </w:p>
    <w:p w:rsidR="00000000" w:rsidDel="00000000" w:rsidP="00000000" w:rsidRDefault="00000000" w:rsidRPr="00000000" w14:paraId="00000032">
      <w:pPr>
        <w:numPr>
          <w:ilvl w:val="3"/>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 business impact analysis of different anticipated failures or disruptions;</w:t>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for documentation of processes, including business processes, and procedures;</w:t>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key contact details for the Supplier (and any Subcontractors) and for the Buyer;</w:t>
      </w:r>
    </w:p>
    <w:p w:rsidR="00000000" w:rsidDel="00000000" w:rsidP="00000000" w:rsidRDefault="00000000" w:rsidRPr="00000000" w14:paraId="00000035">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identify the procedures for reverting to "normal service";</w:t>
      </w:r>
    </w:p>
    <w:p w:rsidR="00000000" w:rsidDel="00000000" w:rsidP="00000000" w:rsidRDefault="00000000" w:rsidRPr="00000000" w14:paraId="00000036">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method(s) of recovering or updating data collected (or which ought to have been collected) during a failure or disruption to minimise data loss;</w:t>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identify the responsibilities (if any) that the Buyer has agreed it will assume in the event of the invocation of the BCDR Plan;</w:t>
      </w:r>
    </w:p>
    <w:p w:rsidR="00000000" w:rsidDel="00000000" w:rsidP="00000000" w:rsidRDefault="00000000" w:rsidRPr="00000000" w14:paraId="00000038">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provide for the provision of technical assistance to key contacts at the Buyer as required by the Buyer to inform decisions in support of the Buyer’s business continuity plans;</w:t>
      </w:r>
    </w:p>
    <w:p w:rsidR="00000000" w:rsidDel="00000000" w:rsidP="00000000" w:rsidRDefault="00000000" w:rsidRPr="00000000" w14:paraId="00000039">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contain an obligation upon the Supplier to liaise with the Buyer and (at the Buyer’s request) any Related Supplier with respect to issues concerning insolvency continuity where applicable; and</w:t>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2hioqz" w:id="10"/>
      <w:bookmarkEnd w:id="10"/>
      <w:r w:rsidDel="00000000" w:rsidR="00000000" w:rsidRPr="00000000">
        <w:rPr>
          <w:color w:val="000000"/>
          <w:sz w:val="24"/>
          <w:szCs w:val="24"/>
          <w:rtl w:val="0"/>
        </w:rPr>
        <w:t xml:space="preserve">detail how the BCDR Plan links and interoperates with any overarching and/or connected insolvency continuity plan of the Buyer and any of its other Related Suppliers in each case as notified to the Supplier by the Buyer from time to time.</w:t>
      </w:r>
    </w:p>
    <w:p w:rsidR="00000000" w:rsidDel="00000000" w:rsidP="00000000" w:rsidRDefault="00000000" w:rsidRPr="00000000" w14:paraId="0000003B">
      <w:pPr>
        <w:keepNext w:val="1"/>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designed so as to ensure that:</w:t>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Deliverables are provided in accordance with this Contract at all times during and after the invocation of the BCDR Plan;</w:t>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adverse impact of any Disaster is minimised as far as reasonably possible; </w:t>
      </w:r>
    </w:p>
    <w:p w:rsidR="00000000" w:rsidDel="00000000" w:rsidP="00000000" w:rsidRDefault="00000000" w:rsidRPr="00000000" w14:paraId="0000003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it complies with the relevant provisions of ISO/IEC 27002; ISO22301/ISO22313 and all other industry standards from time to time in force; and</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it details a process for the management of disaster recovery testing.</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BCDR Plan shall be upgradeable and sufficiently flexible to support any changes to the Deliverables and the business operations supported by the provision of Deliverables.</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 be entitled to any relief from its obligations under the Performance Indicators (PI’s) or Service Levels, or to any increase in the Charges to the extent that a Disaster occurs as a consequence of any breach by the Supplier of this Contract.</w:t>
      </w:r>
    </w:p>
    <w:p w:rsidR="00000000" w:rsidDel="00000000" w:rsidP="00000000" w:rsidRDefault="00000000" w:rsidRPr="00000000" w14:paraId="00000042">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Business Continuity (Section 2)</w:t>
      </w:r>
      <w:r w:rsidDel="00000000" w:rsidR="00000000" w:rsidRPr="00000000">
        <w:rPr>
          <w:rtl w:val="0"/>
        </w:rPr>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d34og8" w:id="11"/>
      <w:bookmarkEnd w:id="11"/>
      <w:r w:rsidDel="00000000" w:rsidR="00000000" w:rsidRPr="00000000">
        <w:rPr>
          <w:color w:val="000000"/>
          <w:sz w:val="24"/>
          <w:szCs w:val="24"/>
          <w:rtl w:val="0"/>
        </w:rPr>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000000" w:rsidDel="00000000" w:rsidP="00000000" w:rsidRDefault="00000000" w:rsidRPr="00000000" w14:paraId="00000044">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alternative processes, options and responsibilities that may be adopted in the event of a failure in or disruption to the provision of Deliverables; and</w:t>
      </w:r>
    </w:p>
    <w:p w:rsidR="00000000" w:rsidDel="00000000" w:rsidP="00000000" w:rsidRDefault="00000000" w:rsidRPr="00000000" w14:paraId="00000045">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steps to be taken by the Supplier upon resumption of the provision of Deliverables in order to address the effect of the failure or disruption.</w:t>
      </w:r>
    </w:p>
    <w:p w:rsidR="00000000" w:rsidDel="00000000" w:rsidP="00000000" w:rsidRDefault="00000000" w:rsidRPr="00000000" w14:paraId="00000046">
      <w:pPr>
        <w:keepNext w:val="1"/>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Business Continuity Plan shall:</w:t>
      </w:r>
    </w:p>
    <w:p w:rsidR="00000000" w:rsidDel="00000000" w:rsidP="00000000" w:rsidRDefault="00000000" w:rsidRPr="00000000" w14:paraId="00000047">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address the various possible levels of failures of or disruptions to the provision of Deliverables;</w:t>
      </w:r>
    </w:p>
    <w:p w:rsidR="00000000" w:rsidDel="00000000" w:rsidP="00000000" w:rsidRDefault="00000000" w:rsidRPr="00000000" w14:paraId="00000048">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s8eyo1" w:id="12"/>
      <w:bookmarkEnd w:id="12"/>
      <w:r w:rsidDel="00000000" w:rsidR="00000000" w:rsidRPr="00000000">
        <w:rPr>
          <w:color w:val="000000"/>
          <w:sz w:val="24"/>
          <w:szCs w:val="24"/>
          <w:rtl w:val="0"/>
        </w:rPr>
        <w:t xml:space="preserve">set out the goods and/or services to be provided and the steps to be taken to remedy the different levels of failures of and disruption to the Deliverables;</w:t>
      </w:r>
    </w:p>
    <w:p w:rsidR="00000000" w:rsidDel="00000000" w:rsidP="00000000" w:rsidRDefault="00000000" w:rsidRPr="00000000" w14:paraId="00000049">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000000" w:rsidDel="00000000" w:rsidP="00000000" w:rsidRDefault="00000000" w:rsidRPr="00000000" w14:paraId="0000004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set out the circumstances in which the Business Continuity Plan is invoked.</w:t>
      </w:r>
    </w:p>
    <w:p w:rsidR="00000000" w:rsidDel="00000000" w:rsidP="00000000" w:rsidRDefault="00000000" w:rsidRPr="00000000" w14:paraId="0000004B">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Disaster Recovery (Section 3)</w:t>
      </w:r>
      <w:r w:rsidDel="00000000" w:rsidR="00000000" w:rsidRPr="00000000">
        <w:rPr>
          <w:rtl w:val="0"/>
        </w:rPr>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7dp8vu" w:id="13"/>
      <w:bookmarkEnd w:id="13"/>
      <w:r w:rsidDel="00000000" w:rsidR="00000000" w:rsidRPr="00000000">
        <w:rPr>
          <w:color w:val="000000"/>
          <w:sz w:val="24"/>
          <w:szCs w:val="24"/>
          <w:rtl w:val="0"/>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000000" w:rsidDel="00000000" w:rsidP="00000000" w:rsidRDefault="00000000" w:rsidRPr="00000000" w14:paraId="0000004D">
      <w:pPr>
        <w:keepNext w:val="1"/>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Supplier's BCDR Plan shall include an approach to business continuity and disaster recovery that addresses the following:</w:t>
      </w:r>
    </w:p>
    <w:p w:rsidR="00000000" w:rsidDel="00000000" w:rsidP="00000000" w:rsidRDefault="00000000" w:rsidRPr="00000000" w14:paraId="0000004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access to the Buyer Premises;</w:t>
      </w:r>
    </w:p>
    <w:p w:rsidR="00000000" w:rsidDel="00000000" w:rsidP="00000000" w:rsidRDefault="00000000" w:rsidRPr="00000000" w14:paraId="0000004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utilities to the Buyer Premises;</w:t>
      </w:r>
    </w:p>
    <w:p w:rsidR="00000000" w:rsidDel="00000000" w:rsidP="00000000" w:rsidRDefault="00000000" w:rsidRPr="00000000" w14:paraId="00000050">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the Supplier's helpdesk or CAFM system;</w:t>
      </w:r>
    </w:p>
    <w:p w:rsidR="00000000" w:rsidDel="00000000" w:rsidP="00000000" w:rsidRDefault="00000000" w:rsidRPr="00000000" w14:paraId="00000051">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loss of a Subcontractor;</w:t>
      </w:r>
    </w:p>
    <w:p w:rsidR="00000000" w:rsidDel="00000000" w:rsidP="00000000" w:rsidRDefault="00000000" w:rsidRPr="00000000" w14:paraId="00000052">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emergency notification and escalation process;</w:t>
      </w:r>
    </w:p>
    <w:p w:rsidR="00000000" w:rsidDel="00000000" w:rsidP="00000000" w:rsidRDefault="00000000" w:rsidRPr="00000000" w14:paraId="00000053">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contact lists;</w:t>
      </w:r>
    </w:p>
    <w:p w:rsidR="00000000" w:rsidDel="00000000" w:rsidP="00000000" w:rsidRDefault="00000000" w:rsidRPr="00000000" w14:paraId="00000054">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staff training and awareness;</w:t>
      </w:r>
    </w:p>
    <w:p w:rsidR="00000000" w:rsidDel="00000000" w:rsidP="00000000" w:rsidRDefault="00000000" w:rsidRPr="00000000" w14:paraId="00000055">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BCDR Plan testing; </w:t>
      </w:r>
    </w:p>
    <w:p w:rsidR="00000000" w:rsidDel="00000000" w:rsidP="00000000" w:rsidRDefault="00000000" w:rsidRPr="00000000" w14:paraId="00000056">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post implementation review process; </w:t>
      </w:r>
    </w:p>
    <w:p w:rsidR="00000000" w:rsidDel="00000000" w:rsidP="00000000" w:rsidRDefault="00000000" w:rsidRPr="00000000" w14:paraId="00000057">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000000" w:rsidDel="00000000" w:rsidP="00000000" w:rsidRDefault="00000000" w:rsidRPr="00000000" w14:paraId="00000058">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details of how the Supplier shall ensure compliance with security standards ensuring that compliance is maintained for any period during which the Disaster Recovery Plan is invoked;</w:t>
      </w:r>
    </w:p>
    <w:p w:rsidR="00000000" w:rsidDel="00000000" w:rsidP="00000000" w:rsidRDefault="00000000" w:rsidRPr="00000000" w14:paraId="00000059">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access controls to any disaster recovery sites used by the Supplier in relation to its obligations pursuant to this Schedule; and</w:t>
      </w:r>
    </w:p>
    <w:p w:rsidR="00000000" w:rsidDel="00000000" w:rsidP="00000000" w:rsidRDefault="00000000" w:rsidRPr="00000000" w14:paraId="0000005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testing and management arrangements.</w:t>
      </w:r>
    </w:p>
    <w:p w:rsidR="00000000" w:rsidDel="00000000" w:rsidP="00000000" w:rsidRDefault="00000000" w:rsidRPr="00000000" w14:paraId="0000005B">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Review and changing the BCDR Plan</w:t>
      </w:r>
      <w:r w:rsidDel="00000000" w:rsidR="00000000" w:rsidRPr="00000000">
        <w:rPr>
          <w:rtl w:val="0"/>
        </w:rPr>
      </w:r>
    </w:p>
    <w:p w:rsidR="00000000" w:rsidDel="00000000" w:rsidP="00000000" w:rsidRDefault="00000000" w:rsidRPr="00000000" w14:paraId="0000005C">
      <w:pPr>
        <w:keepNext w:val="1"/>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rdcrjn" w:id="14"/>
      <w:bookmarkEnd w:id="14"/>
      <w:r w:rsidDel="00000000" w:rsidR="00000000" w:rsidRPr="00000000">
        <w:rPr>
          <w:color w:val="000000"/>
          <w:sz w:val="24"/>
          <w:szCs w:val="24"/>
          <w:rtl w:val="0"/>
        </w:rPr>
        <w:t xml:space="preserve">The Supplier shall review the BCDR Plan:</w:t>
      </w:r>
    </w:p>
    <w:p w:rsidR="00000000" w:rsidDel="00000000" w:rsidP="00000000" w:rsidRDefault="00000000" w:rsidRPr="00000000" w14:paraId="0000005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6in1rg" w:id="15"/>
      <w:bookmarkEnd w:id="15"/>
      <w:r w:rsidDel="00000000" w:rsidR="00000000" w:rsidRPr="00000000">
        <w:rPr>
          <w:color w:val="000000"/>
          <w:sz w:val="24"/>
          <w:szCs w:val="24"/>
          <w:rtl w:val="0"/>
        </w:rPr>
        <w:t xml:space="preserve">on a regular basis and as a minimum once every six (6) Months;</w:t>
      </w:r>
    </w:p>
    <w:p w:rsidR="00000000" w:rsidDel="00000000" w:rsidP="00000000" w:rsidRDefault="00000000" w:rsidRPr="00000000" w14:paraId="0000005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lnxbz9" w:id="16"/>
      <w:bookmarkEnd w:id="16"/>
      <w:r w:rsidDel="00000000" w:rsidR="00000000" w:rsidRPr="00000000">
        <w:rPr>
          <w:color w:val="000000"/>
          <w:sz w:val="24"/>
          <w:szCs w:val="24"/>
          <w:rtl w:val="0"/>
        </w:rPr>
        <w:t xml:space="preserve">within three (3) calendar Months of the BCDR Plan (or any part) having been invoked pursuant to Paragraph 7; and</w:t>
      </w:r>
    </w:p>
    <w:p w:rsidR="00000000" w:rsidDel="00000000" w:rsidP="00000000" w:rsidRDefault="00000000" w:rsidRPr="00000000" w14:paraId="0000005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5nkun2" w:id="17"/>
      <w:bookmarkEnd w:id="17"/>
      <w:r w:rsidDel="00000000" w:rsidR="00000000" w:rsidRPr="00000000">
        <w:rPr>
          <w:color w:val="000000"/>
          <w:sz w:val="24"/>
          <w:szCs w:val="24"/>
          <w:rtl w:val="0"/>
        </w:rPr>
        <w:t xml:space="preserve">where the Buyer requests in writing any additional reviews (over and above those provided for in Paragraphs 5.1.1 and 5.1.2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ksv4uv" w:id="18"/>
      <w:bookmarkEnd w:id="18"/>
      <w:r w:rsidDel="00000000" w:rsidR="00000000" w:rsidRPr="00000000">
        <w:rPr>
          <w:color w:val="000000"/>
          <w:sz w:val="24"/>
          <w:szCs w:val="24"/>
          <w:rtl w:val="0"/>
        </w:rPr>
        <w:t xml:space="preserve">Each review of the BCDR Plan pursuant to Paragraph 5.1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4sinio" w:id="19"/>
      <w:bookmarkEnd w:id="19"/>
      <w:r w:rsidDel="00000000" w:rsidR="00000000" w:rsidRPr="00000000">
        <w:rPr>
          <w:color w:val="000000"/>
          <w:sz w:val="24"/>
          <w:szCs w:val="24"/>
          <w:rtl w:val="0"/>
        </w:rPr>
        <w:t xml:space="preserve">The Supplier shall, within twenty (20) Working Days of the conclusion of each such review of the BCDR Plan, provide to the Buyer a report (a </w:t>
      </w:r>
      <w:r w:rsidDel="00000000" w:rsidR="00000000" w:rsidRPr="00000000">
        <w:rPr>
          <w:b w:val="1"/>
          <w:color w:val="000000"/>
          <w:sz w:val="24"/>
          <w:szCs w:val="24"/>
          <w:rtl w:val="0"/>
        </w:rPr>
        <w:t xml:space="preserve">"Review Report"</w:t>
      </w:r>
      <w:r w:rsidDel="00000000" w:rsidR="00000000" w:rsidRPr="00000000">
        <w:rPr>
          <w:color w:val="000000"/>
          <w:sz w:val="24"/>
          <w:szCs w:val="24"/>
          <w:rtl w:val="0"/>
        </w:rPr>
        <w:t xml:space="preserve">) setting out the Supplier's proposals (the </w:t>
      </w:r>
      <w:r w:rsidDel="00000000" w:rsidR="00000000" w:rsidRPr="00000000">
        <w:rPr>
          <w:b w:val="1"/>
          <w:color w:val="000000"/>
          <w:sz w:val="24"/>
          <w:szCs w:val="24"/>
          <w:rtl w:val="0"/>
        </w:rPr>
        <w:t xml:space="preserve">"Supplier's Proposals"</w:t>
      </w:r>
      <w:r w:rsidDel="00000000" w:rsidR="00000000" w:rsidRPr="00000000">
        <w:rPr>
          <w:color w:val="000000"/>
          <w:sz w:val="24"/>
          <w:szCs w:val="24"/>
          <w:rtl w:val="0"/>
        </w:rPr>
        <w:t xml:space="preserve">) for addressing any changes in the risk profile and its proposals for amendments to the BCDR Plan.</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2jxsxqh" w:id="20"/>
      <w:bookmarkEnd w:id="20"/>
      <w:r w:rsidDel="00000000" w:rsidR="00000000" w:rsidRPr="00000000">
        <w:rPr>
          <w:color w:val="000000"/>
          <w:sz w:val="24"/>
          <w:szCs w:val="24"/>
          <w:rtl w:val="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000000" w:rsidDel="00000000" w:rsidP="00000000" w:rsidRDefault="00000000" w:rsidRPr="00000000" w14:paraId="00000064">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504" w:hanging="720"/>
        <w:jc w:val="left"/>
        <w:rPr>
          <w:rFonts w:ascii="Arial Bold" w:cs="Arial Bold" w:eastAsia="Arial Bold" w:hAnsi="Arial Bold"/>
          <w:b w:val="1"/>
          <w:color w:val="000000"/>
          <w:sz w:val="24"/>
          <w:szCs w:val="24"/>
        </w:rPr>
      </w:pPr>
      <w:bookmarkStart w:colFirst="0" w:colLast="0" w:name="_heading=h.z337ya" w:id="21"/>
      <w:bookmarkEnd w:id="21"/>
      <w:r w:rsidDel="00000000" w:rsidR="00000000" w:rsidRPr="00000000">
        <w:rPr>
          <w:rFonts w:ascii="Arial Bold" w:cs="Arial Bold" w:eastAsia="Arial Bold" w:hAnsi="Arial Bold"/>
          <w:b w:val="1"/>
          <w:color w:val="000000"/>
          <w:sz w:val="24"/>
          <w:szCs w:val="24"/>
          <w:rtl w:val="0"/>
        </w:rPr>
        <w:t xml:space="preserve">Testing the BCDR Plan</w:t>
      </w:r>
    </w:p>
    <w:p w:rsidR="00000000" w:rsidDel="00000000" w:rsidP="00000000" w:rsidRDefault="00000000" w:rsidRPr="00000000" w14:paraId="00000065">
      <w:pPr>
        <w:keepNext w:val="1"/>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j2qqm3" w:id="22"/>
      <w:bookmarkEnd w:id="22"/>
      <w:r w:rsidDel="00000000" w:rsidR="00000000" w:rsidRPr="00000000">
        <w:rPr>
          <w:color w:val="000000"/>
          <w:sz w:val="24"/>
          <w:szCs w:val="24"/>
          <w:rtl w:val="0"/>
        </w:rPr>
        <w:t xml:space="preserve">The Supplier shall test the BCDR Plan: </w:t>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regularly and in any event not less than once in every Contract Year;</w:t>
      </w:r>
    </w:p>
    <w:p w:rsidR="00000000" w:rsidDel="00000000" w:rsidP="00000000" w:rsidRDefault="00000000" w:rsidRPr="00000000" w14:paraId="00000067">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in the event of any major reconfiguration of the Deliverables</w:t>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at any time where the Buyer considers it necessary (acting in its sole discretion).  </w:t>
      </w:r>
    </w:p>
    <w:p w:rsidR="00000000" w:rsidDel="00000000" w:rsidP="00000000" w:rsidRDefault="00000000" w:rsidRPr="00000000" w14:paraId="00000069">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y810tw" w:id="23"/>
      <w:bookmarkEnd w:id="23"/>
      <w:r w:rsidDel="00000000" w:rsidR="00000000" w:rsidRPr="00000000">
        <w:rPr>
          <w:color w:val="000000"/>
          <w:sz w:val="24"/>
          <w:szCs w:val="24"/>
          <w:rtl w:val="0"/>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000000" w:rsidDel="00000000" w:rsidP="00000000" w:rsidRDefault="00000000" w:rsidRPr="00000000" w14:paraId="0000006B">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000000" w:rsidDel="00000000" w:rsidP="00000000" w:rsidRDefault="00000000" w:rsidRPr="00000000" w14:paraId="0000006C">
      <w:pPr>
        <w:keepNext w:val="1"/>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within twenty (20) Working Days of the conclusion of each test, provide to the Buyer a report setting out:</w:t>
      </w:r>
    </w:p>
    <w:p w:rsidR="00000000" w:rsidDel="00000000" w:rsidP="00000000" w:rsidRDefault="00000000" w:rsidRPr="00000000" w14:paraId="0000006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outcome of the test;</w:t>
      </w:r>
    </w:p>
    <w:p w:rsidR="00000000" w:rsidDel="00000000" w:rsidP="00000000" w:rsidRDefault="00000000" w:rsidRPr="00000000" w14:paraId="0000006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failures in the BCDR Plan (including the BCDR Plan's procedures) revealed by the test; and</w:t>
      </w:r>
    </w:p>
    <w:p w:rsidR="00000000" w:rsidDel="00000000" w:rsidP="00000000" w:rsidRDefault="00000000" w:rsidRPr="00000000" w14:paraId="0000006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proposals for remedying any such failures.</w:t>
      </w:r>
    </w:p>
    <w:p w:rsidR="00000000" w:rsidDel="00000000" w:rsidP="00000000" w:rsidRDefault="00000000" w:rsidRPr="00000000" w14:paraId="00000070">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4i7ojhp" w:id="24"/>
      <w:bookmarkEnd w:id="24"/>
      <w:r w:rsidDel="00000000" w:rsidR="00000000" w:rsidRPr="00000000">
        <w:rPr>
          <w:color w:val="000000"/>
          <w:sz w:val="24"/>
          <w:szCs w:val="24"/>
          <w:rtl w:val="0"/>
        </w:rPr>
        <w:t xml:space="preserve">Following each test, the Supplier shall take all measures requested by the Buyer to remedy any failures in the BCDR Plan and such remedial activity and re-testing shall be completed by the Supplier, at its own cost, by the date reasonably required by the Buyer.</w:t>
      </w:r>
    </w:p>
    <w:p w:rsidR="00000000" w:rsidDel="00000000" w:rsidP="00000000" w:rsidRDefault="00000000" w:rsidRPr="00000000" w14:paraId="00000071">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Bold" w:cs="Arial Bold" w:eastAsia="Arial Bold" w:hAnsi="Arial Bold"/>
          <w:b w:val="1"/>
          <w:color w:val="000000"/>
          <w:sz w:val="24"/>
          <w:szCs w:val="24"/>
        </w:rPr>
      </w:pPr>
      <w:bookmarkStart w:colFirst="0" w:colLast="0" w:name="_heading=h.2xcytpi" w:id="25"/>
      <w:bookmarkEnd w:id="25"/>
      <w:r w:rsidDel="00000000" w:rsidR="00000000" w:rsidRPr="00000000">
        <w:rPr>
          <w:rFonts w:ascii="Arial Bold" w:cs="Arial Bold" w:eastAsia="Arial Bold" w:hAnsi="Arial Bold"/>
          <w:b w:val="1"/>
          <w:color w:val="000000"/>
          <w:sz w:val="24"/>
          <w:szCs w:val="24"/>
          <w:rtl w:val="0"/>
        </w:rPr>
        <w:t xml:space="preserve">Invoking the BCDR Plan</w:t>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000000" w:rsidDel="00000000" w:rsidP="00000000" w:rsidRDefault="00000000" w:rsidRPr="00000000" w14:paraId="00000073">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Circumstances beyond your control</w:t>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Supplier shall not be entitled to relief under Clause 20 (Circumstances beyond your control) if it would not have been impacted by the Force Majeure Event had it not failed to comply with its obligations under this Schedule.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ind w:firstLine="1418"/>
        <w:jc w:val="left"/>
        <w:rPr>
          <w:color w:val="000000"/>
          <w:sz w:val="24"/>
          <w:szCs w:val="24"/>
        </w:rPr>
      </w:pPr>
      <w:r w:rsidDel="00000000" w:rsidR="00000000" w:rsidRPr="00000000">
        <w:rPr>
          <w:rtl w:val="0"/>
        </w:rPr>
      </w:r>
    </w:p>
    <w:p w:rsidR="00000000" w:rsidDel="00000000" w:rsidP="00000000" w:rsidRDefault="00000000" w:rsidRPr="00000000" w14:paraId="00000076">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rFonts w:ascii="Arial Bold" w:cs="Arial Bold" w:eastAsia="Arial Bold" w:hAnsi="Arial Bold"/>
          <w:b w:val="1"/>
          <w:color w:val="000000"/>
          <w:sz w:val="24"/>
          <w:szCs w:val="24"/>
          <w:highlight w:val="yellow"/>
        </w:rPr>
      </w:pPr>
      <w:bookmarkStart w:colFirst="0" w:colLast="0" w:name="_heading=h.1hmsyys" w:id="26"/>
      <w:bookmarkEnd w:id="26"/>
      <w:r w:rsidDel="00000000" w:rsidR="00000000" w:rsidRPr="00000000">
        <w:rPr>
          <w:rFonts w:ascii="Arial Bold" w:cs="Arial Bold" w:eastAsia="Arial Bold" w:hAnsi="Arial Bold"/>
          <w:b w:val="1"/>
          <w:color w:val="000000"/>
          <w:sz w:val="24"/>
          <w:szCs w:val="24"/>
          <w:highlight w:val="yellow"/>
          <w:rtl w:val="0"/>
        </w:rPr>
        <w:t xml:space="preserve">[Insolvency Continuity Plan (Section 4)</w:t>
      </w:r>
    </w:p>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spacing w:after="120" w:before="120" w:lineRule="auto"/>
        <w:ind w:left="720" w:hanging="720"/>
        <w:rPr>
          <w:color w:val="000000"/>
          <w:sz w:val="24"/>
          <w:szCs w:val="24"/>
          <w:highlight w:val="yellow"/>
        </w:rPr>
      </w:pPr>
      <w:r w:rsidDel="00000000" w:rsidR="00000000" w:rsidRPr="00000000">
        <w:rPr>
          <w:color w:val="000000"/>
          <w:sz w:val="24"/>
          <w:szCs w:val="24"/>
          <w:highlight w:val="yellow"/>
          <w:rtl w:val="0"/>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rsidR="00000000" w:rsidDel="00000000" w:rsidP="00000000" w:rsidRDefault="00000000" w:rsidRPr="00000000" w14:paraId="00000078">
      <w:pPr>
        <w:numPr>
          <w:ilvl w:val="1"/>
          <w:numId w:val="2"/>
        </w:numPr>
        <w:pBdr>
          <w:top w:space="0" w:sz="0" w:val="nil"/>
          <w:left w:space="0" w:sz="0" w:val="nil"/>
          <w:bottom w:space="0" w:sz="0" w:val="nil"/>
          <w:right w:space="0" w:sz="0" w:val="nil"/>
          <w:between w:space="0" w:sz="0" w:val="nil"/>
        </w:pBdr>
        <w:spacing w:after="120" w:before="120" w:lineRule="auto"/>
        <w:ind w:left="720" w:hanging="720"/>
        <w:rPr>
          <w:color w:val="000000"/>
          <w:sz w:val="24"/>
          <w:szCs w:val="24"/>
          <w:highlight w:val="yellow"/>
        </w:rPr>
      </w:pPr>
      <w:r w:rsidDel="00000000" w:rsidR="00000000" w:rsidRPr="00000000">
        <w:rPr>
          <w:color w:val="000000"/>
          <w:sz w:val="24"/>
          <w:szCs w:val="24"/>
          <w:highlight w:val="yellow"/>
          <w:rtl w:val="0"/>
        </w:rPr>
        <w:t xml:space="preserve">The Insolvency Continuity Plan shall include the following:</w:t>
      </w:r>
    </w:p>
    <w:p w:rsidR="00000000" w:rsidDel="00000000" w:rsidP="00000000" w:rsidRDefault="00000000" w:rsidRPr="00000000" w14:paraId="00000079">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rsidR="00000000" w:rsidDel="00000000" w:rsidP="00000000" w:rsidRDefault="00000000" w:rsidRPr="00000000" w14:paraId="0000007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identification, explanation, assessment and an impact analysis of risks in respect of dependencies between the Supplier, Key Subcontractors and Supplier Group members where failure of those dependencies could reasonably have an adverse impact on the Deliverables;</w:t>
      </w:r>
    </w:p>
    <w:p w:rsidR="00000000" w:rsidDel="00000000" w:rsidP="00000000" w:rsidRDefault="00000000" w:rsidRPr="00000000" w14:paraId="0000007B">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plans to manage and mitigate identified risks;</w:t>
      </w:r>
    </w:p>
    <w:p w:rsidR="00000000" w:rsidDel="00000000" w:rsidP="00000000" w:rsidRDefault="00000000" w:rsidRPr="00000000" w14:paraId="0000007C">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details of the roles and responsibilities of the Supplier, Key Subcontractors and/or Supplier Group members to minimise and mitigate the effects of an Insolvency Event of such persons on the Deliverables;</w:t>
      </w:r>
    </w:p>
    <w:p w:rsidR="00000000" w:rsidDel="00000000" w:rsidP="00000000" w:rsidRDefault="00000000" w:rsidRPr="00000000" w14:paraId="0000007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details of the recovery team to be put in place by the Supplier (which may include representatives of the Supplier, Key Subcontractors and Supplier Group members); and</w:t>
      </w:r>
    </w:p>
    <w:p w:rsidR="00000000" w:rsidDel="00000000" w:rsidP="00000000" w:rsidRDefault="00000000" w:rsidRPr="00000000" w14:paraId="0000007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rPr>
          <w:color w:val="000000"/>
          <w:sz w:val="24"/>
          <w:szCs w:val="24"/>
          <w:highlight w:val="yellow"/>
        </w:rPr>
      </w:pPr>
      <w:r w:rsidDel="00000000" w:rsidR="00000000" w:rsidRPr="00000000">
        <w:rPr>
          <w:color w:val="000000"/>
          <w:sz w:val="24"/>
          <w:szCs w:val="24"/>
          <w:highlight w:val="yellow"/>
          <w:rtl w:val="0"/>
        </w:rPr>
        <w:t xml:space="preserve">sufficient detail to enable an appointed insolvency practitioner to invoke the plan in the event of an Insolvency Event of the Supplier.</w:t>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rPr>
          <w:color w:val="000000"/>
          <w:sz w:val="24"/>
          <w:szCs w:val="24"/>
          <w:highlight w:val="yellow"/>
        </w:rPr>
      </w:pPr>
      <w:r w:rsidDel="00000000" w:rsidR="00000000" w:rsidRPr="00000000">
        <w:rPr>
          <w:color w:val="000000"/>
          <w:sz w:val="24"/>
          <w:szCs w:val="24"/>
          <w:highlight w:val="yellow"/>
          <w:rtl w:val="0"/>
        </w:rPr>
        <w:t xml:space="preserve">Paragraph 2.1.6(c) is amended with the addition of the words:</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firstLine="0"/>
        <w:rPr>
          <w:color w:val="000000"/>
          <w:sz w:val="24"/>
          <w:szCs w:val="24"/>
          <w:highlight w:val="yellow"/>
        </w:rPr>
      </w:pPr>
      <w:r w:rsidDel="00000000" w:rsidR="00000000" w:rsidRPr="00000000">
        <w:rPr>
          <w:color w:val="000000"/>
          <w:sz w:val="24"/>
          <w:szCs w:val="24"/>
          <w:highlight w:val="yellow"/>
          <w:rtl w:val="0"/>
        </w:rPr>
        <w:t xml:space="preserve">as may be more fully described in the Insolvency Continuity Plan</w:t>
      </w:r>
    </w:p>
    <w:p w:rsidR="00000000" w:rsidDel="00000000" w:rsidP="00000000" w:rsidRDefault="00000000" w:rsidRPr="00000000" w14:paraId="00000081">
      <w:pPr>
        <w:numPr>
          <w:ilvl w:val="1"/>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rPr>
          <w:color w:val="000000"/>
          <w:sz w:val="24"/>
          <w:szCs w:val="24"/>
          <w:highlight w:val="yellow"/>
        </w:rPr>
      </w:pPr>
      <w:r w:rsidDel="00000000" w:rsidR="00000000" w:rsidRPr="00000000">
        <w:rPr>
          <w:color w:val="000000"/>
          <w:sz w:val="24"/>
          <w:szCs w:val="24"/>
          <w:highlight w:val="yellow"/>
          <w:rtl w:val="0"/>
        </w:rPr>
        <w:t xml:space="preserve">Add new paragraph 2.1.15:</w:t>
      </w:r>
    </w:p>
    <w:p w:rsidR="00000000" w:rsidDel="00000000" w:rsidP="00000000" w:rsidRDefault="00000000" w:rsidRPr="00000000" w14:paraId="0000008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160"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set out how the business continuity and disaster recovery elements of the BCDR Plan link to the Insolvency Continuity Plan, and how the Insolvency Continuity Plan links to the business continuity and disaster recovery elements of the BCDR Plan;</w:t>
      </w:r>
    </w:p>
    <w:p w:rsidR="00000000" w:rsidDel="00000000" w:rsidP="00000000" w:rsidRDefault="00000000" w:rsidRPr="00000000" w14:paraId="00000083">
      <w:pPr>
        <w:numPr>
          <w:ilvl w:val="1"/>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hanging="720"/>
        <w:rPr>
          <w:color w:val="000000"/>
          <w:sz w:val="24"/>
          <w:szCs w:val="24"/>
          <w:highlight w:val="yellow"/>
        </w:rPr>
      </w:pPr>
      <w:r w:rsidDel="00000000" w:rsidR="00000000" w:rsidRPr="00000000">
        <w:rPr>
          <w:color w:val="000000"/>
          <w:sz w:val="24"/>
          <w:szCs w:val="24"/>
          <w:highlight w:val="yellow"/>
          <w:rtl w:val="0"/>
        </w:rPr>
        <w:t xml:space="preserve">Add new paragraph 7.2:</w:t>
      </w:r>
    </w:p>
    <w:p w:rsidR="00000000" w:rsidDel="00000000" w:rsidP="00000000" w:rsidRDefault="00000000" w:rsidRPr="00000000" w14:paraId="0000008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The Insolvency Continuity Plan element of the BCDR Plan, including any linked elements in other parts of the BCDR Plan, shall be invoked by the Supplier:</w:t>
      </w:r>
    </w:p>
    <w:p w:rsidR="00000000" w:rsidDel="00000000" w:rsidP="00000000" w:rsidRDefault="00000000" w:rsidRPr="00000000" w14:paraId="0000008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sz w:val="24"/>
          <w:szCs w:val="24"/>
          <w:highlight w:val="yellow"/>
        </w:rPr>
      </w:pPr>
      <w:r w:rsidDel="00000000" w:rsidR="00000000" w:rsidRPr="00000000">
        <w:rPr>
          <w:color w:val="000000"/>
          <w:sz w:val="24"/>
          <w:szCs w:val="24"/>
          <w:highlight w:val="yellow"/>
          <w:rtl w:val="0"/>
        </w:rPr>
        <w:t xml:space="preserve">where an Insolvency Event of a Key Sub-contractor and/or Supplier Group member (other than the Supplier) could reasonably be expected to adversely affect delivery of the Deliverables; and/or</w:t>
      </w:r>
    </w:p>
    <w:p w:rsidR="00000000" w:rsidDel="00000000" w:rsidP="00000000" w:rsidRDefault="00000000" w:rsidRPr="00000000" w14:paraId="0000008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color w:val="000000"/>
          <w:sz w:val="24"/>
          <w:szCs w:val="24"/>
        </w:rPr>
      </w:pPr>
      <w:r w:rsidDel="00000000" w:rsidR="00000000" w:rsidRPr="00000000">
        <w:rPr>
          <w:color w:val="000000"/>
          <w:sz w:val="24"/>
          <w:szCs w:val="24"/>
          <w:highlight w:val="yellow"/>
          <w:rtl w:val="0"/>
        </w:rPr>
        <w:t xml:space="preserve">where there is an Insolvency Event of the Supplier and the insolvency arrangements enable the Supplier to invoke the plan.</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720" w:firstLine="0"/>
        <w:rPr>
          <w:color w:val="000000"/>
          <w:sz w:val="24"/>
          <w:szCs w:val="24"/>
          <w:highlight w:val="yellow"/>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ind w:firstLine="1418"/>
        <w:jc w:val="left"/>
        <w:rPr>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ind w:left="1440" w:firstLine="0"/>
        <w:jc w:val="left"/>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bookmarkStart w:colFirst="0" w:colLast="0" w:name="_heading=h.23ckvvd" w:id="27"/>
      <w:bookmarkEnd w:id="27"/>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r w:rsidDel="00000000" w:rsidR="00000000" w:rsidRPr="00000000">
      <w:rPr>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bookmarkStart w:colFirst="0" w:colLast="0" w:name="_heading=h.41mghml" w:id="28"/>
    <w:bookmarkEnd w:id="28"/>
    <w:r w:rsidDel="00000000" w:rsidR="00000000" w:rsidRPr="00000000">
      <w:rPr>
        <w:color w:val="000000"/>
        <w:sz w:val="20"/>
        <w:szCs w:val="20"/>
        <w:rtl w:val="0"/>
      </w:rPr>
      <w:t xml:space="preserve">Model Version: v3.</w:t>
    </w:r>
    <w:r w:rsidDel="00000000" w:rsidR="00000000" w:rsidRPr="00000000">
      <w:rPr>
        <w:sz w:val="20"/>
        <w:szCs w:val="20"/>
        <w:rtl w:val="0"/>
      </w:rPr>
      <w:t xml:space="preserve">5</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8C">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8D">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8E">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2"/>
      <w:numFmt w:val="decimal"/>
      <w:lvlText w:val="%1"/>
      <w:lvlJc w:val="left"/>
      <w:pPr>
        <w:ind w:left="660" w:hanging="660"/>
      </w:pPr>
      <w:rPr/>
    </w:lvl>
    <w:lvl w:ilvl="1">
      <w:start w:val="1"/>
      <w:numFmt w:val="decimal"/>
      <w:lvlText w:val="%1.%2"/>
      <w:lvlJc w:val="left"/>
      <w:pPr>
        <w:ind w:left="1380" w:hanging="660"/>
      </w:pPr>
      <w:rPr/>
    </w:lvl>
    <w:lvl w:ilvl="2">
      <w:start w:val="15"/>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4">
    <w:lvl w:ilvl="0">
      <w:start w:val="7"/>
      <w:numFmt w:val="decimal"/>
      <w:lvlText w:val="%1"/>
      <w:lvlJc w:val="left"/>
      <w:pPr>
        <w:ind w:left="360" w:hanging="360"/>
      </w:pPr>
      <w:rPr/>
    </w:lvl>
    <w:lvl w:ilvl="1">
      <w:start w:val="2"/>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val="1"/>
      <w:keepLines w:val="1"/>
      <w:spacing w:after="120" w:before="480"/>
      <w:outlineLvl w:val="0"/>
    </w:pPr>
    <w:rPr>
      <w:b w:val="1"/>
      <w:sz w:val="48"/>
      <w:szCs w:val="48"/>
    </w:rPr>
  </w:style>
  <w:style w:type="paragraph" w:styleId="Heading2">
    <w:name w:val="heading 2"/>
    <w:basedOn w:val="Normal"/>
    <w:next w:val="Normal"/>
    <w:rsid w:val="0052154C"/>
    <w:pPr>
      <w:keepNext w:val="1"/>
      <w:keepLines w:val="1"/>
      <w:spacing w:after="80" w:before="360"/>
      <w:outlineLvl w:val="1"/>
    </w:pPr>
    <w:rPr>
      <w:b w:val="1"/>
      <w:sz w:val="36"/>
      <w:szCs w:val="36"/>
    </w:rPr>
  </w:style>
  <w:style w:type="paragraph" w:styleId="Heading3">
    <w:name w:val="heading 3"/>
    <w:basedOn w:val="Normal"/>
    <w:next w:val="Normal"/>
    <w:rsid w:val="0052154C"/>
    <w:pPr>
      <w:keepNext w:val="1"/>
      <w:keepLines w:val="1"/>
      <w:spacing w:after="80" w:before="280"/>
      <w:outlineLvl w:val="2"/>
    </w:pPr>
    <w:rPr>
      <w:b w:val="1"/>
      <w:sz w:val="28"/>
      <w:szCs w:val="28"/>
    </w:rPr>
  </w:style>
  <w:style w:type="paragraph" w:styleId="Heading4">
    <w:name w:val="heading 4"/>
    <w:basedOn w:val="Normal"/>
    <w:next w:val="Normal"/>
    <w:rsid w:val="0052154C"/>
    <w:pPr>
      <w:keepNext w:val="1"/>
      <w:keepLines w:val="1"/>
      <w:spacing w:after="40" w:before="240"/>
      <w:outlineLvl w:val="3"/>
    </w:pPr>
    <w:rPr>
      <w:b w:val="1"/>
      <w:sz w:val="24"/>
      <w:szCs w:val="24"/>
    </w:rPr>
  </w:style>
  <w:style w:type="paragraph" w:styleId="Heading5">
    <w:name w:val="heading 5"/>
    <w:basedOn w:val="Normal"/>
    <w:next w:val="Normal"/>
    <w:rsid w:val="0052154C"/>
    <w:pPr>
      <w:keepNext w:val="1"/>
      <w:keepLines w:val="1"/>
      <w:spacing w:after="40" w:before="220"/>
      <w:outlineLvl w:val="4"/>
    </w:pPr>
    <w:rPr>
      <w:b w:val="1"/>
    </w:rPr>
  </w:style>
  <w:style w:type="paragraph" w:styleId="Heading6">
    <w:name w:val="heading 6"/>
    <w:basedOn w:val="Normal"/>
    <w:next w:val="Normal"/>
    <w:rsid w:val="0052154C"/>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rsid w:val="0052154C"/>
    <w:pPr>
      <w:numPr>
        <w:numId w:val="4"/>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rsid w:val="0052154C"/>
    <w:pPr>
      <w:numPr>
        <w:ilvl w:val="1"/>
        <w:numId w:val="4"/>
      </w:numPr>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rsid w:val="0052154C"/>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52154C"/>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eastAsia="Times New Roman" w:hAnsi="Calibri"/>
      <w:lang w:eastAsia="zh-CN"/>
    </w:rPr>
  </w:style>
  <w:style w:type="character" w:styleId="GPSL3numberedclauseChar" w:customStyle="1">
    <w:name w:val="GPS L3 numbered clause Char"/>
    <w:link w:val="GPSL3numberedclause"/>
    <w:rPr>
      <w:rFonts w:ascii="Calibri" w:eastAsia="Times New Roman" w:hAnsi="Calibri"/>
      <w:lang w:eastAsia="zh-CN"/>
    </w:rPr>
  </w:style>
  <w:style w:type="character" w:styleId="GPSL4numberedclauseChar" w:customStyle="1">
    <w:name w:val="GPS L4 numbered clause Char"/>
    <w:link w:val="GPSL4numberedclause"/>
    <w:rPr>
      <w:rFonts w:ascii="Calibri" w:eastAsia="Times New Roman" w:hAnsi="Calibri"/>
      <w:szCs w:val="20"/>
      <w:lang w:eastAsia="zh-CN"/>
    </w:rPr>
  </w:style>
  <w:style w:type="paragraph" w:styleId="GPSL5numberedclause" w:customStyle="1">
    <w:name w:val="GPS L5 numbered clause"/>
    <w:basedOn w:val="GPSL4numberedclause"/>
    <w:qFormat w:val="1"/>
    <w:rsid w:val="0052154C"/>
    <w:pPr>
      <w:numPr>
        <w:ilvl w:val="4"/>
      </w:numPr>
      <w:tabs>
        <w:tab w:val="num" w:pos="360"/>
        <w:tab w:val="left" w:pos="3402"/>
      </w:tabs>
    </w:pPr>
  </w:style>
  <w:style w:type="paragraph" w:styleId="GPSL6numbered" w:customStyle="1">
    <w:name w:val="GPS L6 numbered"/>
    <w:basedOn w:val="GPSL5numberedclause"/>
    <w:qFormat w:val="1"/>
    <w:rsid w:val="0052154C"/>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rsid w:val="0052154C"/>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rsid w:val="0052154C"/>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
    <w:tblPr>
      <w:tblStyleRowBandSize w:val="1"/>
      <w:tblStyleColBandSize w:val="1"/>
      <w:tblCellMar>
        <w:left w:w="115.0" w:type="dxa"/>
        <w:right w:w="115.0" w:type="dxa"/>
      </w:tblCellMar>
    </w:tblPr>
  </w:style>
  <w:style w:type="paragraph" w:styleId="GPSL2NumberedBoldHeading" w:customStyle="1">
    <w:name w:val="GPS L2 Numbered Bold Heading"/>
    <w:basedOn w:val="Normal"/>
    <w:qFormat w:val="1"/>
    <w:rsid w:val="00831E6E"/>
    <w:pPr>
      <w:tabs>
        <w:tab w:val="left" w:pos="1134"/>
      </w:tabs>
      <w:overflowPunct w:val="1"/>
      <w:autoSpaceDE w:val="1"/>
      <w:autoSpaceDN w:val="1"/>
      <w:spacing w:after="120" w:before="120"/>
      <w:ind w:left="644" w:hanging="218"/>
      <w:textAlignment w:val="auto"/>
    </w:pPr>
    <w:rPr>
      <w:rFonts w:ascii="Calibri" w:hAnsi="Calibri"/>
      <w:b w:val="1"/>
      <w:lang w:eastAsia="zh-CN"/>
    </w:rPr>
  </w:style>
  <w:style w:type="paragraph" w:styleId="GPSL2Numbered" w:customStyle="1">
    <w:name w:val="GPS L2 Numbered"/>
    <w:basedOn w:val="GPSL2NumberedBoldHeading"/>
    <w:link w:val="GPSL2NumberedChar"/>
    <w:qFormat w:val="1"/>
    <w:rsid w:val="00831E6E"/>
    <w:pPr>
      <w:tabs>
        <w:tab w:val="clear" w:pos="1134"/>
      </w:tabs>
      <w:ind w:hanging="360"/>
    </w:pPr>
    <w:rPr>
      <w:b w:val="0"/>
    </w:rPr>
  </w:style>
  <w:style w:type="character" w:styleId="GPSL2NumberedChar" w:customStyle="1">
    <w:name w:val="GPS L2 Numbered Char"/>
    <w:link w:val="GPSL2Numbered"/>
    <w:locked w:val="1"/>
    <w:rsid w:val="00831E6E"/>
    <w:rPr>
      <w:rFonts w:ascii="Calibri" w:eastAsia="Times New Roman" w:hAnsi="Calibri"/>
      <w:lang w:eastAsia="zh-CN"/>
    </w:rPr>
  </w:style>
  <w:style w:type="paragraph" w:styleId="ScheduleText1" w:customStyle="1">
    <w:name w:val="Schedule Text 1"/>
    <w:basedOn w:val="Normal"/>
    <w:next w:val="Normal"/>
    <w:rsid w:val="003C22E1"/>
    <w:pPr>
      <w:numPr>
        <w:numId w:val="7"/>
      </w:numPr>
      <w:overflowPunct w:val="1"/>
      <w:autoSpaceDE w:val="1"/>
      <w:autoSpaceDN w:val="1"/>
      <w:adjustRightInd w:val="1"/>
      <w:spacing w:after="200" w:before="100"/>
      <w:jc w:val="left"/>
      <w:textAlignment w:val="auto"/>
    </w:pPr>
    <w:rPr>
      <w:rFonts w:cs="Times New Roman"/>
      <w:b w:val="1"/>
      <w:sz w:val="24"/>
      <w:szCs w:val="24"/>
    </w:rPr>
  </w:style>
  <w:style w:type="paragraph" w:styleId="ScheduleText2" w:customStyle="1">
    <w:name w:val="Schedule Text 2"/>
    <w:basedOn w:val="ScheduleText1"/>
    <w:next w:val="Normal"/>
    <w:rsid w:val="003C22E1"/>
    <w:pPr>
      <w:numPr>
        <w:ilvl w:val="1"/>
      </w:numPr>
    </w:pPr>
    <w:rPr>
      <w:b w:val="0"/>
    </w:rPr>
  </w:style>
  <w:style w:type="paragraph" w:styleId="ScheduleText3" w:customStyle="1">
    <w:name w:val="Schedule Text 3"/>
    <w:basedOn w:val="Normal"/>
    <w:next w:val="Normal"/>
    <w:rsid w:val="003C22E1"/>
    <w:pPr>
      <w:numPr>
        <w:ilvl w:val="2"/>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4" w:customStyle="1">
    <w:name w:val="Schedule Text 4"/>
    <w:basedOn w:val="Normal"/>
    <w:next w:val="Normal"/>
    <w:rsid w:val="003C22E1"/>
    <w:pPr>
      <w:numPr>
        <w:ilvl w:val="3"/>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5" w:customStyle="1">
    <w:name w:val="Schedule Text 5"/>
    <w:basedOn w:val="Normal"/>
    <w:next w:val="Normal"/>
    <w:rsid w:val="003C22E1"/>
    <w:pPr>
      <w:numPr>
        <w:ilvl w:val="4"/>
        <w:numId w:val="7"/>
      </w:numPr>
      <w:tabs>
        <w:tab w:val="left" w:pos="720"/>
        <w:tab w:val="left" w:pos="2523"/>
      </w:tabs>
      <w:overflowPunct w:val="1"/>
      <w:autoSpaceDE w:val="1"/>
      <w:autoSpaceDN w:val="1"/>
      <w:adjustRightInd w:val="1"/>
      <w:spacing w:after="200" w:before="100"/>
      <w:jc w:val="left"/>
      <w:textAlignment w:val="auto"/>
    </w:pPr>
    <w:rPr>
      <w:rFonts w:cs="Times New Roman"/>
      <w:sz w:val="24"/>
      <w:szCs w:val="24"/>
    </w:rPr>
  </w:style>
  <w:style w:type="paragraph" w:styleId="ScheduleText6" w:customStyle="1">
    <w:name w:val="Schedule Text 6"/>
    <w:basedOn w:val="ScheduleText5"/>
    <w:rsid w:val="003C22E1"/>
    <w:pPr>
      <w:numPr>
        <w:ilvl w:val="5"/>
      </w:numPr>
    </w:pPr>
  </w:style>
  <w:style w:type="paragraph" w:styleId="ScheduleText7" w:customStyle="1">
    <w:name w:val="Schedule Text 7"/>
    <w:basedOn w:val="ScheduleText6"/>
    <w:rsid w:val="003C22E1"/>
    <w:pPr>
      <w:numPr>
        <w:ilvl w:val="6"/>
      </w:numPr>
    </w:pPr>
  </w:style>
  <w:style w:type="paragraph" w:styleId="BulletsBody" w:customStyle="1">
    <w:name w:val="Bullets Body"/>
    <w:basedOn w:val="Normal"/>
    <w:rsid w:val="009009FB"/>
    <w:pPr>
      <w:numPr>
        <w:numId w:val="8"/>
      </w:numPr>
      <w:overflowPunct w:val="1"/>
      <w:autoSpaceDE w:val="1"/>
      <w:autoSpaceDN w:val="1"/>
      <w:adjustRightInd w:val="1"/>
      <w:spacing w:after="200" w:before="100"/>
      <w:jc w:val="left"/>
      <w:textAlignment w:val="auto"/>
    </w:pPr>
    <w:rPr>
      <w:rFonts w:cs="Times New Roman"/>
      <w:sz w:val="24"/>
      <w:szCs w:val="24"/>
    </w:rPr>
  </w:style>
  <w:style w:type="paragraph" w:styleId="BulletsLevel1" w:customStyle="1">
    <w:name w:val="Bullets Level 1"/>
    <w:basedOn w:val="Normal"/>
    <w:rsid w:val="009009FB"/>
    <w:pPr>
      <w:numPr>
        <w:ilvl w:val="1"/>
        <w:numId w:val="8"/>
      </w:numPr>
      <w:tabs>
        <w:tab w:val="left" w:pos="1797"/>
      </w:tabs>
      <w:overflowPunct w:val="1"/>
      <w:autoSpaceDE w:val="1"/>
      <w:autoSpaceDN w:val="1"/>
      <w:adjustRightInd w:val="1"/>
      <w:spacing w:after="200" w:before="100"/>
      <w:jc w:val="left"/>
      <w:textAlignment w:val="auto"/>
    </w:pPr>
    <w:rPr>
      <w:rFonts w:cs="Times New Roman"/>
      <w:sz w:val="24"/>
      <w:szCs w:val="24"/>
    </w:rPr>
  </w:style>
  <w:style w:type="paragraph" w:styleId="BulletsLevel2" w:customStyle="1">
    <w:name w:val="Bullets Level 2"/>
    <w:basedOn w:val="BulletsLevel1"/>
    <w:rsid w:val="009009FB"/>
    <w:pPr>
      <w:numPr>
        <w:ilvl w:val="2"/>
      </w:numPr>
      <w:tabs>
        <w:tab w:val="clear" w:pos="1797"/>
      </w:tabs>
    </w:pPr>
  </w:style>
  <w:style w:type="numbering" w:styleId="Scheduleheading" w:customStyle="1">
    <w:name w:val="Schedule heading"/>
    <w:uiPriority w:val="99"/>
    <w:rsid w:val="004E1995"/>
  </w:style>
  <w:style w:type="paragraph" w:styleId="AnnexHeading" w:customStyle="1">
    <w:name w:val="Annex Heading"/>
    <w:basedOn w:val="Normal"/>
    <w:next w:val="Normal"/>
    <w:rsid w:val="004E1995"/>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sz w:val="24"/>
      <w:szCs w:val="24"/>
    </w:rPr>
  </w:style>
  <w:style w:type="paragraph" w:styleId="StdBodyText" w:customStyle="1">
    <w:name w:val="Std Body Text"/>
    <w:basedOn w:val="Normal"/>
    <w:qFormat w:val="1"/>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 w:customStyle="1">
    <w:name w:val="Definition List"/>
    <w:basedOn w:val="Normal"/>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Level1" w:customStyle="1">
    <w:name w:val="Definition List Level 1"/>
    <w:basedOn w:val="DefinitionList"/>
    <w:rsid w:val="004E1995"/>
  </w:style>
  <w:style w:type="paragraph" w:styleId="DefinitionListLevel2" w:customStyle="1">
    <w:name w:val="Definition List Level 2"/>
    <w:basedOn w:val="DefinitionListLevel1"/>
    <w:rsid w:val="004E1995"/>
  </w:style>
  <w:style w:type="paragraph" w:styleId="StdBodyTextBold" w:customStyle="1">
    <w:name w:val="Std Body Text Bold"/>
    <w:basedOn w:val="Normal"/>
    <w:next w:val="StdBodyText"/>
    <w:link w:val="StdBodyTextBoldChar"/>
    <w:qFormat w:val="1"/>
    <w:rsid w:val="00B74DBD"/>
    <w:pPr>
      <w:overflowPunct w:val="1"/>
      <w:autoSpaceDE w:val="1"/>
      <w:autoSpaceDN w:val="1"/>
      <w:adjustRightInd w:val="1"/>
      <w:spacing w:after="200" w:before="100"/>
      <w:ind w:left="0"/>
      <w:jc w:val="left"/>
      <w:textAlignment w:val="auto"/>
    </w:pPr>
    <w:rPr>
      <w:rFonts w:cs="Times New Roman"/>
      <w:b w:val="1"/>
      <w:sz w:val="24"/>
      <w:szCs w:val="24"/>
    </w:rPr>
  </w:style>
  <w:style w:type="character" w:styleId="StdBodyTextBoldChar" w:customStyle="1">
    <w:name w:val="Std Body Text Bold Char"/>
    <w:basedOn w:val="DefaultParagraphFont"/>
    <w:link w:val="StdBodyTextBold"/>
    <w:rsid w:val="00B74DBD"/>
    <w:rPr>
      <w:rFonts w:cs="Times New Roman" w:eastAsia="Times New Roman"/>
      <w:b w:val="1"/>
      <w:sz w:val="24"/>
      <w:szCs w:val="24"/>
    </w:rPr>
  </w:style>
  <w:style w:type="paragraph" w:styleId="AppendixText1" w:customStyle="1">
    <w:name w:val="Appendix Text 1"/>
    <w:basedOn w:val="Normal"/>
    <w:rsid w:val="00666034"/>
    <w:pPr>
      <w:tabs>
        <w:tab w:val="num" w:pos="720"/>
      </w:tabs>
      <w:ind w:left="720" w:hanging="720"/>
    </w:pPr>
  </w:style>
  <w:style w:type="paragraph" w:styleId="AppendixText2" w:customStyle="1">
    <w:name w:val="Appendix Text 2"/>
    <w:basedOn w:val="Normal"/>
    <w:rsid w:val="00666034"/>
    <w:pPr>
      <w:tabs>
        <w:tab w:val="num" w:pos="1440"/>
      </w:tabs>
      <w:ind w:left="1440" w:hanging="720"/>
    </w:pPr>
  </w:style>
  <w:style w:type="paragraph" w:styleId="AppendixText3" w:customStyle="1">
    <w:name w:val="Appendix Text 3"/>
    <w:basedOn w:val="Normal"/>
    <w:rsid w:val="00666034"/>
    <w:pPr>
      <w:tabs>
        <w:tab w:val="num" w:pos="2160"/>
      </w:tabs>
      <w:ind w:left="2160" w:hanging="720"/>
    </w:pPr>
  </w:style>
  <w:style w:type="paragraph" w:styleId="AppendixText4" w:customStyle="1">
    <w:name w:val="Appendix Text 4"/>
    <w:basedOn w:val="Normal"/>
    <w:rsid w:val="00666034"/>
    <w:pPr>
      <w:numPr>
        <w:ilvl w:val="3"/>
        <w:numId w:val="11"/>
      </w:numPr>
    </w:pPr>
  </w:style>
  <w:style w:type="paragraph" w:styleId="AppendixText5" w:customStyle="1">
    <w:name w:val="Appendix Text 5"/>
    <w:basedOn w:val="Normal"/>
    <w:rsid w:val="00666034"/>
    <w:pPr>
      <w:numPr>
        <w:ilvl w:val="4"/>
        <w:numId w:val="11"/>
      </w:numPr>
    </w:pPr>
  </w:style>
  <w:style w:type="table" w:styleId="2" w:customStyle="1">
    <w:name w:val="2"/>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1" w:customStyle="1">
    <w:name w:val="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203B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by7OWju1xGFb2u6ldeOQIJ81fg==">CgMxLjAyCGguZ2pkZ3hzMgloLjMwajB6bGwyCWguMWZvYjl0ZTIJaC4zem55c2g3MgloLjJldDkycDAyCGgudHlqY3d0MgloLjNkeTZ2a20yCWguMXQzaDVzZjIIaC5paHY2MzYyCWguMWNpOTN4YjIJaC4zMmhpb3F6MgloLjRkMzRvZzgyCWguMnM4ZXlvMTIJaC4xN2RwOHZ1MgloLjNyZGNyam4yCWguMjZpbjFyZzIIaC5sbnhiejkyCWguMzVua3VuMjIJaC4xa3N2NHV2MgloLjQ0c2luaW8yCWguMmp4c3hxaDIIaC56MzM3eWEyCWguM2oycXFtMzIJaC4xeTgxMHR3MgloLjRpN29qaHAyCWguMnhjeXRwaTIJaC4xaG1zeXlzMgloLjIzY2t2dmQyCWguNDFtZ2htbDgAciExbk5SNnpfRy1fdFFfRFZ1UzZoeV9LNlZTVjh1SEpTa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2023-06-22T11:13:00Z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