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10 (Staff Transfer) – Lot 1 Only </w:t>
      </w:r>
    </w:p>
    <w:p w:rsidR="00000000" w:rsidDel="00000000" w:rsidP="00000000" w:rsidRDefault="00000000" w:rsidRPr="00000000" w14:paraId="00000002">
      <w:pPr>
        <w:keepNext w:val="1"/>
        <w:numPr>
          <w:ilvl w:val="0"/>
          <w:numId w:val="9"/>
        </w:numPr>
        <w:pBdr>
          <w:top w:space="0" w:sz="0" w:val="nil"/>
          <w:left w:space="0" w:sz="0" w:val="nil"/>
          <w:bottom w:space="0" w:sz="0" w:val="nil"/>
          <w:right w:space="0" w:sz="0" w:val="nil"/>
          <w:between w:space="0" w:sz="0" w:val="nil"/>
        </w:pBdr>
        <w:spacing w:before="120" w:lineRule="auto"/>
        <w:ind w:left="720" w:hanging="72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w:t>
      </w:r>
    </w:p>
    <w:p w:rsidR="00000000" w:rsidDel="00000000" w:rsidP="00000000" w:rsidRDefault="00000000" w:rsidRPr="00000000" w14:paraId="00000003">
      <w:pPr>
        <w:keepNext w:val="1"/>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have the following meanings and they shall supplement Joint Schedule 1 (Definitions):</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tabs>
          <w:tab w:val="left" w:leader="none" w:pos="993"/>
        </w:tabs>
        <w:spacing w:after="120" w:before="120" w:lineRule="auto"/>
        <w:ind w:left="720" w:firstLine="0"/>
        <w:rPr>
          <w:rFonts w:ascii="Arial" w:cs="Arial" w:eastAsia="Arial" w:hAnsi="Arial"/>
          <w:color w:val="000000"/>
          <w:sz w:val="24"/>
          <w:szCs w:val="24"/>
        </w:rPr>
      </w:pPr>
      <w:r w:rsidDel="00000000" w:rsidR="00000000" w:rsidRPr="00000000">
        <w:rPr>
          <w:rtl w:val="0"/>
        </w:rPr>
      </w:r>
    </w:p>
    <w:tbl>
      <w:tblPr>
        <w:tblStyle w:val="Table1"/>
        <w:tblW w:w="9026.0" w:type="dxa"/>
        <w:jc w:val="left"/>
        <w:tblInd w:w="-115.0" w:type="dxa"/>
        <w:tblLayout w:type="fixed"/>
        <w:tblLook w:val="0400"/>
      </w:tblPr>
      <w:tblGrid>
        <w:gridCol w:w="2917"/>
        <w:gridCol w:w="6109"/>
        <w:tblGridChange w:id="0">
          <w:tblGrid>
            <w:gridCol w:w="2917"/>
            <w:gridCol w:w="6109"/>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"Employee Liability"</w:t>
            </w:r>
          </w:p>
        </w:tc>
        <w:tc>
          <w:tcPr/>
          <w:p w:rsidR="00000000" w:rsidDel="00000000" w:rsidP="00000000" w:rsidRDefault="00000000" w:rsidRPr="00000000" w14:paraId="00000006">
            <w:pPr>
              <w:tabs>
                <w:tab w:val="left" w:leader="none" w:pos="-179"/>
                <w:tab w:val="left" w:leader="none" w:pos="-9"/>
              </w:tabs>
              <w:spacing w:after="12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sidDel="00000000" w:rsidR="00000000" w:rsidRPr="00000000">
              <w:rPr>
                <w:rtl w:val="0"/>
              </w:rPr>
            </w:r>
          </w:p>
          <w:p w:rsidR="00000000" w:rsidDel="00000000" w:rsidP="00000000" w:rsidRDefault="00000000" w:rsidRPr="00000000" w14:paraId="00000007">
            <w:pPr>
              <w:numPr>
                <w:ilvl w:val="1"/>
                <w:numId w:val="6"/>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color w:val="000000"/>
                <w:sz w:val="24"/>
                <w:szCs w:val="24"/>
                <w:rtl w:val="0"/>
              </w:rPr>
              <w:t xml:space="preserve">redundancy</w:t>
            </w:r>
            <w:r w:rsidDel="00000000" w:rsidR="00000000" w:rsidRPr="00000000">
              <w:rPr>
                <w:rFonts w:ascii="Arial" w:cs="Arial" w:eastAsia="Arial" w:hAnsi="Arial"/>
                <w:sz w:val="24"/>
                <w:szCs w:val="24"/>
                <w:rtl w:val="0"/>
              </w:rPr>
              <w:t xml:space="preserve"> payments including contractual or enhanced redundancy costs, termination costs and notice payments; </w:t>
            </w:r>
            <w:r w:rsidDel="00000000" w:rsidR="00000000" w:rsidRPr="00000000">
              <w:rPr>
                <w:rtl w:val="0"/>
              </w:rPr>
            </w:r>
          </w:p>
        </w:tc>
      </w:tr>
      <w:tr>
        <w:trPr>
          <w:cantSplit w:val="0"/>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9">
            <w:pPr>
              <w:numPr>
                <w:ilvl w:val="1"/>
                <w:numId w:val="6"/>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unfair, wrongful or constructive dismissal </w:t>
            </w:r>
            <w:r w:rsidDel="00000000" w:rsidR="00000000" w:rsidRPr="00000000">
              <w:rPr>
                <w:rFonts w:ascii="Arial" w:cs="Arial" w:eastAsia="Arial" w:hAnsi="Arial"/>
                <w:color w:val="000000"/>
                <w:sz w:val="24"/>
                <w:szCs w:val="24"/>
                <w:rtl w:val="0"/>
              </w:rPr>
              <w:t xml:space="preserve">compensation</w:t>
            </w:r>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B">
            <w:pPr>
              <w:numPr>
                <w:ilvl w:val="1"/>
                <w:numId w:val="6"/>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discrimination on grounds of sex, race, disability, age, religion or belief, gender reassignment, marriage or civil partnership, pregnancy, maternity or sexual orientation or claims for equal pay; </w:t>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D">
            <w:pPr>
              <w:numPr>
                <w:ilvl w:val="1"/>
                <w:numId w:val="6"/>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less favourable treatment of part-time workers or fixed term employees;</w:t>
            </w:r>
          </w:p>
        </w:tc>
      </w:tr>
      <w:tr>
        <w:trPr>
          <w:cantSplit w:val="0"/>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0F">
            <w:pPr>
              <w:numPr>
                <w:ilvl w:val="1"/>
                <w:numId w:val="6"/>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outstanding employment debts and unlawful deduction of wages </w:t>
            </w:r>
            <w:r w:rsidDel="00000000" w:rsidR="00000000" w:rsidRPr="00000000">
              <w:rPr>
                <w:rFonts w:ascii="Arial" w:cs="Arial" w:eastAsia="Arial" w:hAnsi="Arial"/>
                <w:color w:val="000000"/>
                <w:sz w:val="24"/>
                <w:szCs w:val="24"/>
                <w:rtl w:val="0"/>
              </w:rPr>
              <w:t xml:space="preserve">including</w:t>
            </w:r>
            <w:r w:rsidDel="00000000" w:rsidR="00000000" w:rsidRPr="00000000">
              <w:rPr>
                <w:rFonts w:ascii="Arial" w:cs="Arial" w:eastAsia="Arial" w:hAnsi="Arial"/>
                <w:sz w:val="24"/>
                <w:szCs w:val="24"/>
                <w:rtl w:val="0"/>
              </w:rPr>
              <w:t xml:space="preserve"> any PAYE and National Insurance Contributions;</w:t>
            </w:r>
            <w:r w:rsidDel="00000000" w:rsidR="00000000" w:rsidRPr="00000000">
              <w:rPr>
                <w:rtl w:val="0"/>
              </w:rPr>
            </w:r>
          </w:p>
        </w:tc>
      </w:tr>
      <w:tr>
        <w:trPr>
          <w:cantSplit w:val="0"/>
          <w:tblHeader w:val="0"/>
        </w:trPr>
        <w:tc>
          <w:tcPr/>
          <w:p w:rsidR="00000000" w:rsidDel="00000000" w:rsidP="00000000" w:rsidRDefault="00000000" w:rsidRPr="00000000" w14:paraId="00000010">
            <w:pPr>
              <w:keepNext w:val="1"/>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1">
            <w:pPr>
              <w:numPr>
                <w:ilvl w:val="1"/>
                <w:numId w:val="6"/>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employment claims whether in tort, contract or by statute or otherwise;</w:t>
            </w:r>
            <w:r w:rsidDel="00000000" w:rsidR="00000000" w:rsidRPr="00000000">
              <w:rPr>
                <w:rtl w:val="0"/>
              </w:rPr>
            </w:r>
          </w:p>
        </w:tc>
      </w:tr>
      <w:tr>
        <w:trPr>
          <w:cantSplit w:val="0"/>
          <w:tblHeader w:val="0"/>
        </w:trPr>
        <w:tc>
          <w:tcPr/>
          <w:p w:rsidR="00000000" w:rsidDel="00000000" w:rsidP="00000000" w:rsidRDefault="00000000" w:rsidRPr="00000000" w14:paraId="00000012">
            <w:pPr>
              <w:keepNext w:val="1"/>
              <w:pBdr>
                <w:top w:space="0" w:sz="0" w:val="nil"/>
                <w:left w:space="0" w:sz="0" w:val="nil"/>
                <w:bottom w:space="0" w:sz="0" w:val="nil"/>
                <w:right w:space="0" w:sz="0" w:val="nil"/>
                <w:between w:space="0" w:sz="0" w:val="nil"/>
              </w:pBdr>
              <w:spacing w:after="0" w:lineRule="auto"/>
              <w:ind w:left="706"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3">
            <w:pPr>
              <w:numPr>
                <w:ilvl w:val="1"/>
                <w:numId w:val="6"/>
              </w:numPr>
              <w:tabs>
                <w:tab w:val="left" w:leader="none" w:pos="-576"/>
                <w:tab w:val="left" w:leader="none" w:pos="144"/>
              </w:tabs>
              <w:spacing w:after="120" w:lineRule="auto"/>
              <w:ind w:left="720" w:hanging="545"/>
              <w:rPr>
                <w:i w:val="1"/>
                <w:sz w:val="24"/>
                <w:szCs w:val="24"/>
              </w:rPr>
            </w:pPr>
            <w:r w:rsidDel="00000000" w:rsidR="00000000" w:rsidRPr="00000000">
              <w:rPr>
                <w:rFonts w:ascii="Arial" w:cs="Arial" w:eastAsia="Arial" w:hAnsi="Arial"/>
                <w:sz w:val="24"/>
                <w:szCs w:val="24"/>
                <w:rtl w:val="0"/>
              </w:rPr>
              <w:t xml:space="preserve">any investigation relating to employment matters by the Equality and Human Rights Commission or any other enforcement, regulatory or supervisory body and of implementing any requirements which may arise from such investigation;</w:t>
            </w:r>
            <w:r w:rsidDel="00000000" w:rsidR="00000000" w:rsidRPr="00000000">
              <w:rPr>
                <w:rtl w:val="0"/>
              </w:rPr>
            </w:r>
          </w:p>
        </w:tc>
      </w:tr>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bookmarkStart w:colFirst="0" w:colLast="0" w:name="_heading=h.1fob9te" w:id="1"/>
            <w:bookmarkEnd w:id="1"/>
            <w:r w:rsidDel="00000000" w:rsidR="00000000" w:rsidRPr="00000000">
              <w:rPr>
                <w:rFonts w:ascii="Arial" w:cs="Arial" w:eastAsia="Arial" w:hAnsi="Arial"/>
                <w:b w:val="1"/>
                <w:color w:val="000000"/>
                <w:sz w:val="24"/>
                <w:szCs w:val="24"/>
                <w:rtl w:val="0"/>
              </w:rPr>
              <w:t xml:space="preserve">"Former Supplier"</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supplier supplying services to CCS before the Relevant Transfer Date that are the same as or substantially similar to the Services (or any part of the Services) and shall include any Subcontractor of such supplier (or any Subcontractor of any such Subcontractor);</w:t>
            </w:r>
          </w:p>
        </w:tc>
      </w:tr>
      <w:tr>
        <w:trPr>
          <w:cantSplit w:val="0"/>
          <w:trHeight w:val="3560" w:hRule="atLeast"/>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"New Fair Deal"</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4"/>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revised Fair Deal position set out in the HM Treasury guidance:  "</w:t>
            </w:r>
            <w:r w:rsidDel="00000000" w:rsidR="00000000" w:rsidRPr="00000000">
              <w:rPr>
                <w:rFonts w:ascii="Arial" w:cs="Arial" w:eastAsia="Arial" w:hAnsi="Arial"/>
                <w:i w:val="1"/>
                <w:color w:val="000000"/>
                <w:sz w:val="24"/>
                <w:szCs w:val="24"/>
                <w:rtl w:val="0"/>
              </w:rPr>
              <w:t xml:space="preserve">Fair Deal for Staff Pensions: Staff Transfer from Central Government</w:t>
            </w:r>
            <w:r w:rsidDel="00000000" w:rsidR="00000000" w:rsidRPr="00000000">
              <w:rPr>
                <w:rFonts w:ascii="Arial" w:cs="Arial" w:eastAsia="Arial" w:hAnsi="Arial"/>
                <w:color w:val="000000"/>
                <w:sz w:val="24"/>
                <w:szCs w:val="24"/>
                <w:rtl w:val="0"/>
              </w:rPr>
              <w:t xml:space="preserve">" issued in October 2013 including:</w:t>
            </w:r>
          </w:p>
          <w:p w:rsidR="00000000" w:rsidDel="00000000" w:rsidP="00000000" w:rsidRDefault="00000000" w:rsidRPr="00000000" w14:paraId="00000018">
            <w:pPr>
              <w:numPr>
                <w:ilvl w:val="5"/>
                <w:numId w:val="6"/>
              </w:numPr>
              <w:pBdr>
                <w:top w:space="0" w:sz="0" w:val="nil"/>
                <w:left w:space="0" w:sz="0" w:val="nil"/>
                <w:bottom w:space="0" w:sz="0" w:val="nil"/>
                <w:right w:space="0" w:sz="0" w:val="nil"/>
                <w:between w:space="0" w:sz="0" w:val="nil"/>
              </w:pBdr>
              <w:tabs>
                <w:tab w:val="left" w:leader="none" w:pos="34"/>
              </w:tabs>
              <w:spacing w:after="120" w:before="120" w:lineRule="auto"/>
              <w:ind w:left="1506"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amendments to that document immediately prior to the Relevant Transfer Date; and</w:t>
            </w:r>
          </w:p>
          <w:p w:rsidR="00000000" w:rsidDel="00000000" w:rsidP="00000000" w:rsidRDefault="00000000" w:rsidRPr="00000000" w14:paraId="00000019">
            <w:pPr>
              <w:numPr>
                <w:ilvl w:val="5"/>
                <w:numId w:val="6"/>
              </w:numPr>
              <w:pBdr>
                <w:top w:space="0" w:sz="0" w:val="nil"/>
                <w:left w:space="0" w:sz="0" w:val="nil"/>
                <w:bottom w:space="0" w:sz="0" w:val="nil"/>
                <w:right w:space="0" w:sz="0" w:val="nil"/>
                <w:between w:space="0" w:sz="0" w:val="nil"/>
              </w:pBdr>
              <w:tabs>
                <w:tab w:val="left" w:leader="none" w:pos="34"/>
              </w:tabs>
              <w:spacing w:after="120" w:before="120" w:lineRule="auto"/>
              <w:ind w:left="1506"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similar pension protection in accordance with the Annexes D1-D3 inclusive to Part D of this Schedule as notified to the Supplier by CCS;</w:t>
            </w:r>
          </w:p>
        </w:tc>
      </w:tr>
      <w:tr>
        <w:trPr>
          <w:cantSplit w:val="0"/>
          <w:trHeight w:val="1824" w:hRule="atLeast"/>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“Old Fair Deal”</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4"/>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 Treasury Guidance “</w:t>
            </w:r>
            <w:r w:rsidDel="00000000" w:rsidR="00000000" w:rsidRPr="00000000">
              <w:rPr>
                <w:rFonts w:ascii="Arial" w:cs="Arial" w:eastAsia="Arial" w:hAnsi="Arial"/>
                <w:i w:val="1"/>
                <w:color w:val="000000"/>
                <w:sz w:val="24"/>
                <w:szCs w:val="24"/>
                <w:rtl w:val="0"/>
              </w:rPr>
              <w:t xml:space="preserve">Staff Transfers from Central Government: A Fair Deal for Staff Pensions</w:t>
            </w:r>
            <w:r w:rsidDel="00000000" w:rsidR="00000000" w:rsidRPr="00000000">
              <w:rPr>
                <w:rFonts w:ascii="Arial" w:cs="Arial" w:eastAsia="Arial" w:hAnsi="Arial"/>
                <w:color w:val="000000"/>
                <w:sz w:val="24"/>
                <w:szCs w:val="24"/>
                <w:rtl w:val="0"/>
              </w:rPr>
              <w:t xml:space="preserve">” issued in June 1999 including the supplementary guidance “</w:t>
            </w:r>
            <w:r w:rsidDel="00000000" w:rsidR="00000000" w:rsidRPr="00000000">
              <w:rPr>
                <w:rFonts w:ascii="Arial" w:cs="Arial" w:eastAsia="Arial" w:hAnsi="Arial"/>
                <w:i w:val="1"/>
                <w:color w:val="000000"/>
                <w:sz w:val="24"/>
                <w:szCs w:val="24"/>
                <w:rtl w:val="0"/>
              </w:rPr>
              <w:t xml:space="preserve">Fair Deal for Staff pensions: Procurement of Bulk Transfer Agreements and Related Issues</w:t>
            </w:r>
            <w:r w:rsidDel="00000000" w:rsidR="00000000" w:rsidRPr="00000000">
              <w:rPr>
                <w:rFonts w:ascii="Arial" w:cs="Arial" w:eastAsia="Arial" w:hAnsi="Arial"/>
                <w:color w:val="000000"/>
                <w:sz w:val="24"/>
                <w:szCs w:val="24"/>
                <w:rtl w:val="0"/>
              </w:rPr>
              <w:t xml:space="preserve">” issued in June 2004;</w:t>
            </w:r>
          </w:p>
        </w:tc>
      </w:tr>
      <w:tr>
        <w:trPr>
          <w:cantSplit w:val="0"/>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"Partial Termination"</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partial termination of the Contract to the extent that it relates to the provision of any part of the Services as further provided for in Clause 10.4 (When CCS can end this contract) or 10.6 (When the Supplier can end the contract);</w:t>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Transfer"</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4"/>
              </w:tabs>
              <w:spacing w:after="120" w:before="120" w:lineRule="auto"/>
              <w:rPr>
                <w:rFonts w:ascii="Arial" w:cs="Arial" w:eastAsia="Arial" w:hAnsi="Arial"/>
                <w:color w:val="000000"/>
                <w:sz w:val="24"/>
                <w:szCs w:val="24"/>
                <w:highlight w:val="green"/>
              </w:rPr>
            </w:pPr>
            <w:r w:rsidDel="00000000" w:rsidR="00000000" w:rsidRPr="00000000">
              <w:rPr>
                <w:rFonts w:ascii="Arial" w:cs="Arial" w:eastAsia="Arial" w:hAnsi="Arial"/>
                <w:color w:val="000000"/>
                <w:sz w:val="24"/>
                <w:szCs w:val="24"/>
                <w:rtl w:val="0"/>
              </w:rPr>
              <w:t xml:space="preserve">a transfer of employment to which the Employment Regulations apply;</w:t>
            </w:r>
            <w:r w:rsidDel="00000000" w:rsidR="00000000" w:rsidRPr="00000000">
              <w:rPr>
                <w:rtl w:val="0"/>
              </w:rPr>
            </w:r>
          </w:p>
        </w:tc>
      </w:tr>
      <w:tr>
        <w:trPr>
          <w:cantSplit w:val="0"/>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Transfer Date"</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34"/>
              </w:tabs>
              <w:spacing w:after="120" w:before="120" w:lineRule="auto"/>
              <w:rPr>
                <w:rFonts w:ascii="Arial" w:cs="Arial" w:eastAsia="Arial" w:hAnsi="Arial"/>
                <w:color w:val="000000"/>
                <w:sz w:val="24"/>
                <w:szCs w:val="24"/>
                <w:highlight w:val="green"/>
              </w:rPr>
            </w:pPr>
            <w:r w:rsidDel="00000000" w:rsidR="00000000" w:rsidRPr="00000000">
              <w:rPr>
                <w:rFonts w:ascii="Arial" w:cs="Arial" w:eastAsia="Arial" w:hAnsi="Arial"/>
                <w:color w:val="000000"/>
                <w:sz w:val="24"/>
                <w:szCs w:val="24"/>
                <w:rtl w:val="0"/>
              </w:rPr>
              <w:t xml:space="preserve">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r w:rsidDel="00000000" w:rsidR="00000000" w:rsidRPr="00000000">
              <w:rPr>
                <w:rtl w:val="0"/>
              </w:rPr>
            </w:r>
          </w:p>
        </w:tc>
      </w:tr>
      <w:tr>
        <w:trPr>
          <w:cantSplit w:val="0"/>
          <w:tblHeader w:val="0"/>
        </w:trPr>
        <w:tc>
          <w:tcPr/>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"Staffing Information"</w:t>
            </w:r>
          </w:p>
        </w:tc>
        <w:tc>
          <w:tcPr/>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all persons identified on the Supplier's Provisional Supplier Personnel List or Supplier's Final Supplier Personnel List, as the case may be, such information as CCS may reasonably request (subject to all applicable provisions of the Data Protection Legislation), but including in an anonymised format:</w:t>
            </w:r>
          </w:p>
          <w:p w:rsidR="00000000" w:rsidDel="00000000" w:rsidP="00000000" w:rsidRDefault="00000000" w:rsidRPr="00000000" w14:paraId="00000024">
            <w:pPr>
              <w:keepNext w:val="1"/>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their ages, dates of commencement of employment or engagement, gender and place of work;</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details of whether they are employed, self-employed contractors or consultants, agency workers or otherwise;</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w:t>
              <w:tab/>
              <w:t xml:space="preserve">the identity of the employer or relevant contracting Party;</w:t>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w:t>
              <w:tab/>
              <w:t xml:space="preserve">their relevant contractual notice periods and any other terms relating to termination of employment, including redundancy procedures, and redundancy payments;</w:t>
            </w:r>
          </w:p>
        </w:tc>
      </w:tr>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w:t>
              <w:tab/>
              <w:t xml:space="preserve">their wages, salaries, bonuses and profit sharing or similar arrangements as applicable;</w:t>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w:t>
              <w:tab/>
              <w:t xml:space="preserve">details of any other employment-related benefits, including (without limitation) medical insurance, life assurance, pension or other retirement benefit schemes, share option schemes and company car schedules applicable to them;</w:t>
            </w:r>
          </w:p>
        </w:tc>
      </w:tr>
      <w:tr>
        <w:trPr>
          <w:cantSplit w:val="0"/>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w:t>
              <w:tab/>
              <w:t xml:space="preserve">any outstanding or potential contractual, statutory or other liabilities in respect of such individuals (including in respect of personal injury claims);</w:t>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w:t>
              <w:tab/>
              <w:t xml:space="preserve">details of any such individuals on long term sickness absence, parental leave, maternity leave or other authorised long term absence; </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copies of all relevant documents and materials relating to such information, including copies of relevant contracts of employment (or relevant standard contracts if applied generally in respect of such employees); and</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w:t>
              <w:tab/>
              <w:t xml:space="preserve">any other "employee liability information" as such term is defined in regulation 11 of the Employment Regulations; </w:t>
            </w:r>
          </w:p>
        </w:tc>
      </w:tr>
      <w:tr>
        <w:trPr>
          <w:cantSplit w:val="0"/>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Final Supplier Personnel List"</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4"/>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list provided by the Supplier of all Supplier Staff whose employment will transfer under the Employment Regulations on the Service Transfer Date;</w:t>
            </w:r>
          </w:p>
        </w:tc>
      </w:tr>
      <w:tr>
        <w:trPr>
          <w:cantSplit w:val="0"/>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Provisional Supplier Personnel List"</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Rule="auto"/>
              <w:ind w:left="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trPr>
          <w:cantSplit w:val="0"/>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commencing on the Start Date and ending on the expiry of the Initial Period or any Extension Period or on earlier termination of the Contract;</w:t>
            </w:r>
          </w:p>
        </w:tc>
      </w:tr>
      <w:tr>
        <w:trPr>
          <w:cantSplit w:val="0"/>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Rule="auto"/>
              <w:ind w:left="709" w:firstLine="0"/>
              <w:rPr>
                <w:rFonts w:ascii="Arial" w:cs="Arial" w:eastAsia="Arial" w:hAnsi="Arial"/>
                <w:b w:val="1"/>
                <w:color w:val="000000"/>
                <w:sz w:val="24"/>
                <w:szCs w:val="24"/>
                <w:highlight w:val="green"/>
              </w:rPr>
            </w:pPr>
            <w:r w:rsidDel="00000000" w:rsidR="00000000" w:rsidRPr="00000000">
              <w:rPr>
                <w:rFonts w:ascii="Arial" w:cs="Arial" w:eastAsia="Arial" w:hAnsi="Arial"/>
                <w:b w:val="1"/>
                <w:color w:val="000000"/>
                <w:sz w:val="24"/>
                <w:szCs w:val="24"/>
                <w:rtl w:val="0"/>
              </w:rPr>
              <w:t xml:space="preserve">"Transferring Former Supplier Employees"</w:t>
            </w: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Former Supplier, those employees of the Former Supplier to whom the Employment Regulations will apply on the Relevant Transfer Date.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highlight w:val="green"/>
              </w:rPr>
            </w:pPr>
            <w:r w:rsidDel="00000000" w:rsidR="00000000" w:rsidRPr="00000000">
              <w:rPr>
                <w:rtl w:val="0"/>
              </w:rPr>
            </w:r>
          </w:p>
        </w:tc>
      </w:tr>
    </w:tbl>
    <w:p w:rsidR="00000000" w:rsidDel="00000000" w:rsidP="00000000" w:rsidRDefault="00000000" w:rsidRPr="00000000" w14:paraId="00000041">
      <w:pPr>
        <w:keepNext w:val="1"/>
        <w:numPr>
          <w:ilvl w:val="0"/>
          <w:numId w:val="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INTERPRETATION</w:t>
      </w:r>
    </w:p>
    <w:p w:rsidR="00000000" w:rsidDel="00000000" w:rsidP="00000000" w:rsidRDefault="00000000" w:rsidRPr="00000000" w14:paraId="00000042">
      <w:pPr>
        <w:keepNext w:val="1"/>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and any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000000" w:rsidDel="00000000" w:rsidP="00000000" w:rsidRDefault="00000000" w:rsidRPr="00000000" w14:paraId="00000043">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000000" w:rsidDel="00000000" w:rsidP="00000000" w:rsidRDefault="00000000" w:rsidRPr="00000000" w14:paraId="00000044">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2.2 above, a person who is not a Party to this Contract has no right under the CRTPA to enforce any term of this Contract but this does not affect any right or remedy of any person which exists or is available otherwise than pursuant to that Act. </w:t>
      </w:r>
    </w:p>
    <w:p w:rsidR="00000000" w:rsidDel="00000000" w:rsidP="00000000" w:rsidRDefault="00000000" w:rsidRPr="00000000" w14:paraId="00000045">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Third Party Beneficiary may enforce, or take any step to enforce, any Third Party Provision without the prior written consent of CCS, which may, if given, be given on and subject to such terms as CCS may determine.</w:t>
      </w:r>
    </w:p>
    <w:p w:rsidR="00000000" w:rsidDel="00000000" w:rsidP="00000000" w:rsidRDefault="00000000" w:rsidRPr="00000000" w14:paraId="00000046">
      <w:pPr>
        <w:numPr>
          <w:ilvl w:val="1"/>
          <w:numId w:val="9"/>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amendments or modifications to this Contract may be made, and any rights created under Paragraph 2.2 above may be altered or extinguished, by the Parties without the consent of any Third Party Beneficiary.  </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993"/>
        </w:tabs>
        <w:spacing w:after="120" w:before="12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8">
      <w:pPr>
        <w:keepNext w:val="1"/>
        <w:numPr>
          <w:ilvl w:val="0"/>
          <w:numId w:val="9"/>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WHICH PARTS OF THIS SCHEDULE APPLY</w:t>
      </w:r>
      <w:r w:rsidDel="00000000" w:rsidR="00000000" w:rsidRPr="00000000">
        <w:rPr>
          <w:rtl w:val="0"/>
        </w:rPr>
      </w:r>
    </w:p>
    <w:p w:rsidR="00000000" w:rsidDel="00000000" w:rsidP="00000000" w:rsidRDefault="00000000" w:rsidRPr="00000000" w14:paraId="00000049">
      <w:pPr>
        <w:ind w:left="357" w:firstLine="363"/>
        <w:rPr>
          <w:rFonts w:ascii="Arial" w:cs="Arial" w:eastAsia="Arial" w:hAnsi="Arial"/>
          <w:sz w:val="24"/>
          <w:szCs w:val="24"/>
        </w:rPr>
      </w:pPr>
      <w:r w:rsidDel="00000000" w:rsidR="00000000" w:rsidRPr="00000000">
        <w:rPr>
          <w:rFonts w:ascii="Arial" w:cs="Arial" w:eastAsia="Arial" w:hAnsi="Arial"/>
          <w:sz w:val="24"/>
          <w:szCs w:val="24"/>
          <w:rtl w:val="0"/>
        </w:rPr>
        <w:t xml:space="preserve">Only the following parts of this Schedule shall apply to this Contract:</w:t>
      </w:r>
    </w:p>
    <w:p w:rsidR="00000000" w:rsidDel="00000000" w:rsidP="00000000" w:rsidRDefault="00000000" w:rsidRPr="00000000" w14:paraId="0000004A">
      <w:pPr>
        <w:numPr>
          <w:ilvl w:val="1"/>
          <w:numId w:val="12"/>
        </w:numPr>
        <w:spacing w:after="0" w:line="259"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Part B (Staff Transfer at the Start Date – Transfer from a Former Supplier)</w:t>
      </w:r>
    </w:p>
    <w:p w:rsidR="00000000" w:rsidDel="00000000" w:rsidP="00000000" w:rsidRDefault="00000000" w:rsidRPr="00000000" w14:paraId="0000004B">
      <w:pPr>
        <w:numPr>
          <w:ilvl w:val="1"/>
          <w:numId w:val="12"/>
        </w:numPr>
        <w:spacing w:after="0" w:line="259"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Part D (Pensions) </w:t>
        <w:tab/>
        <w:tab/>
        <w:tab/>
        <w:tab/>
        <w:tab/>
        <w:tab/>
      </w:r>
    </w:p>
    <w:p w:rsidR="00000000" w:rsidDel="00000000" w:rsidP="00000000" w:rsidRDefault="00000000" w:rsidRPr="00000000" w14:paraId="0000004C">
      <w:pPr>
        <w:numPr>
          <w:ilvl w:val="3"/>
          <w:numId w:val="12"/>
        </w:numPr>
        <w:spacing w:after="0" w:line="259"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Annex D1 (CSPS) </w:t>
        <w:tab/>
        <w:tab/>
        <w:tab/>
      </w:r>
    </w:p>
    <w:p w:rsidR="00000000" w:rsidDel="00000000" w:rsidP="00000000" w:rsidRDefault="00000000" w:rsidRPr="00000000" w14:paraId="0000004D">
      <w:pPr>
        <w:numPr>
          <w:ilvl w:val="1"/>
          <w:numId w:val="12"/>
        </w:numPr>
        <w:spacing w:after="0" w:line="259"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Part E (Staff Transfer on Exit)</w:t>
      </w:r>
    </w:p>
    <w:p w:rsidR="00000000" w:rsidDel="00000000" w:rsidP="00000000" w:rsidRDefault="00000000" w:rsidRPr="00000000" w14:paraId="0000004E">
      <w:pPr>
        <w:ind w:left="3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pStyle w:val="Heading1"/>
        <w:keepNext w:val="1"/>
        <w:jc w:val="both"/>
        <w:rPr>
          <w:rFonts w:ascii="Arial Bold" w:cs="Arial Bold" w:eastAsia="Arial Bold" w:hAnsi="Arial Bold"/>
          <w:sz w:val="36"/>
          <w:szCs w:val="36"/>
        </w:rPr>
      </w:pPr>
      <w:bookmarkStart w:colFirst="0" w:colLast="0" w:name="_heading=h.z337ya" w:id="3"/>
      <w:bookmarkEnd w:id="3"/>
      <w:r w:rsidDel="00000000" w:rsidR="00000000" w:rsidRPr="00000000">
        <w:br w:type="page"/>
      </w:r>
      <w:bookmarkStart w:colFirst="0" w:colLast="0" w:name="bookmark=id.1fob9te" w:id="2"/>
      <w:bookmarkEnd w:id="2"/>
      <w:r w:rsidDel="00000000" w:rsidR="00000000" w:rsidRPr="00000000">
        <w:rPr>
          <w:rFonts w:ascii="Arial Bold" w:cs="Arial Bold" w:eastAsia="Arial Bold" w:hAnsi="Arial Bold"/>
          <w:sz w:val="36"/>
          <w:szCs w:val="36"/>
          <w:rtl w:val="0"/>
        </w:rPr>
        <w:t xml:space="preserve">Part B: Staff transfer at the Start Date </w:t>
      </w:r>
    </w:p>
    <w:p w:rsidR="00000000" w:rsidDel="00000000" w:rsidP="00000000" w:rsidRDefault="00000000" w:rsidRPr="00000000" w14:paraId="00000050">
      <w:pPr>
        <w:pStyle w:val="Heading1"/>
        <w:jc w:val="both"/>
        <w:rPr>
          <w:rFonts w:ascii="Arial Bold" w:cs="Arial Bold" w:eastAsia="Arial Bold" w:hAnsi="Arial Bold"/>
          <w:sz w:val="36"/>
          <w:szCs w:val="36"/>
        </w:rPr>
      </w:pPr>
      <w:r w:rsidDel="00000000" w:rsidR="00000000" w:rsidRPr="00000000">
        <w:rPr>
          <w:rFonts w:ascii="Arial Bold" w:cs="Arial Bold" w:eastAsia="Arial Bold" w:hAnsi="Arial Bold"/>
          <w:sz w:val="36"/>
          <w:szCs w:val="36"/>
          <w:rtl w:val="0"/>
        </w:rPr>
        <w:t xml:space="preserve">Transfer from a Former Supplier </w:t>
      </w:r>
    </w:p>
    <w:p w:rsidR="00000000" w:rsidDel="00000000" w:rsidP="00000000" w:rsidRDefault="00000000" w:rsidRPr="00000000" w14:paraId="00000051">
      <w:pPr>
        <w:keepNext w:val="1"/>
        <w:numPr>
          <w:ilvl w:val="0"/>
          <w:numId w:val="13"/>
        </w:numPr>
        <w:pBdr>
          <w:top w:space="0" w:sz="0" w:val="nil"/>
          <w:left w:space="0" w:sz="0" w:val="nil"/>
          <w:bottom w:space="0" w:sz="0" w:val="nil"/>
          <w:right w:space="0" w:sz="0" w:val="nil"/>
          <w:between w:space="0" w:sz="0" w:val="nil"/>
        </w:pBdr>
        <w:spacing w:before="120" w:lineRule="auto"/>
        <w:ind w:left="357" w:hanging="357"/>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WHAT IS A RELEVANT TRANSFER</w:t>
      </w:r>
    </w:p>
    <w:p w:rsidR="00000000" w:rsidDel="00000000" w:rsidP="00000000" w:rsidRDefault="00000000" w:rsidRPr="00000000" w14:paraId="00000052">
      <w:pPr>
        <w:keepNext w:val="1"/>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and the Supplier agree that:</w:t>
      </w:r>
    </w:p>
    <w:p w:rsidR="00000000" w:rsidDel="00000000" w:rsidP="00000000" w:rsidRDefault="00000000" w:rsidRPr="00000000" w14:paraId="00000053">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commencement of the provision of the Services or of any relevant part of the Services will be a Relevant Transfer in relation to the Transferring Former Supplier Employees; and </w:t>
      </w:r>
    </w:p>
    <w:p w:rsidR="00000000" w:rsidDel="00000000" w:rsidP="00000000" w:rsidRDefault="00000000" w:rsidRPr="00000000" w14:paraId="00000054">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or the relevant Subcontractor and each such Transferring Former Supplier Employee.</w:t>
      </w:r>
    </w:p>
    <w:p w:rsidR="00000000" w:rsidDel="00000000" w:rsidP="00000000" w:rsidRDefault="00000000" w:rsidRPr="00000000" w14:paraId="00000055">
      <w:pPr>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3j2qqm3" w:id="4"/>
      <w:bookmarkEnd w:id="4"/>
      <w:r w:rsidDel="00000000" w:rsidR="00000000" w:rsidRPr="00000000">
        <w:rPr>
          <w:rFonts w:ascii="Arial" w:cs="Arial" w:eastAsia="Arial" w:hAnsi="Arial"/>
          <w:color w:val="000000"/>
          <w:sz w:val="24"/>
          <w:szCs w:val="24"/>
          <w:rtl w:val="0"/>
        </w:rPr>
        <w:t xml:space="preserve">CCS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CCS shall procure that each Former Supplier makes, any necessary apportionments in respect of any periodic payments.</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993"/>
        </w:tabs>
        <w:spacing w:after="120" w:before="1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7">
      <w:pPr>
        <w:keepNext w:val="1"/>
        <w:numPr>
          <w:ilvl w:val="0"/>
          <w:numId w:val="13"/>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INDEMNITIES BY THE FORMER SUPPLIER</w:t>
      </w:r>
      <w:r w:rsidDel="00000000" w:rsidR="00000000" w:rsidRPr="00000000">
        <w:rPr>
          <w:rtl w:val="0"/>
        </w:rPr>
      </w:r>
    </w:p>
    <w:p w:rsidR="00000000" w:rsidDel="00000000" w:rsidP="00000000" w:rsidRDefault="00000000" w:rsidRPr="00000000" w14:paraId="00000058">
      <w:pPr>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rPr>
      </w:pPr>
      <w:r w:rsidDel="00000000" w:rsidR="00000000" w:rsidRPr="00000000">
        <w:rPr>
          <w:rFonts w:ascii="Arial" w:cs="Arial" w:eastAsia="Arial" w:hAnsi="Arial"/>
          <w:color w:val="000000"/>
          <w:sz w:val="24"/>
          <w:szCs w:val="24"/>
          <w:rtl w:val="0"/>
        </w:rPr>
        <w:t xml:space="preserve">Subject to Paragraph 2.2, CCS shall procure that each Former Supplier shall indemnify the Supplier and any Subcontractor against any Employee Liabilities arising from or as a result of any act or omission of the Former Supplier in respect of any Transferring Former Supplier Employee or any appropriate employee representative (as defined in the Employment Regulations) of any Transferring Former Supplier Employee whether occurring before, on or after the Relevant Transfer Date</w:t>
      </w:r>
      <w:r w:rsidDel="00000000" w:rsidR="00000000" w:rsidRPr="00000000">
        <w:rPr>
          <w:rtl w:val="0"/>
        </w:rPr>
      </w:r>
    </w:p>
    <w:p w:rsidR="00000000" w:rsidDel="00000000" w:rsidP="00000000" w:rsidRDefault="00000000" w:rsidRPr="00000000" w14:paraId="00000059">
      <w:pPr>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4i7ojhp" w:id="5"/>
      <w:bookmarkEnd w:id="5"/>
      <w:r w:rsidDel="00000000" w:rsidR="00000000" w:rsidRPr="00000000">
        <w:rPr>
          <w:rFonts w:ascii="Arial" w:cs="Arial" w:eastAsia="Arial" w:hAnsi="Arial"/>
          <w:color w:val="000000"/>
          <w:sz w:val="24"/>
          <w:szCs w:val="24"/>
          <w:rtl w:val="0"/>
        </w:rPr>
        <w:t xml:space="preserve">The indemnities in Paragraph 2.1 shall not apply to the extent that the Employee Liabilities arise or are attributable to any act or omission of the Supplier or any Subcontractor whether occurring or having its origin before, on or after the Relevant Transfer Date including, without limitation, any Employee Liabilities:</w:t>
      </w:r>
    </w:p>
    <w:p w:rsidR="00000000" w:rsidDel="00000000" w:rsidP="00000000" w:rsidRDefault="00000000" w:rsidRPr="00000000" w14:paraId="0000005A">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000000" w:rsidDel="00000000" w:rsidP="00000000" w:rsidRDefault="00000000" w:rsidRPr="00000000" w14:paraId="0000005B">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arising from the failure by the Supplier or any Subcontractor to comply with its obligations under the Employment Regulations.</w:t>
      </w:r>
    </w:p>
    <w:p w:rsidR="00000000" w:rsidDel="00000000" w:rsidP="00000000" w:rsidRDefault="00000000" w:rsidRPr="00000000" w14:paraId="0000005C">
      <w:pPr>
        <w:keepNext w:val="1"/>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2xcytpi" w:id="6"/>
      <w:bookmarkEnd w:id="6"/>
      <w:r w:rsidDel="00000000" w:rsidR="00000000" w:rsidRPr="00000000">
        <w:rPr>
          <w:rFonts w:ascii="Arial" w:cs="Arial" w:eastAsia="Arial" w:hAnsi="Arial"/>
          <w:color w:val="000000"/>
          <w:sz w:val="24"/>
          <w:szCs w:val="24"/>
          <w:rtl w:val="0"/>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or any Subcontractor pursuant to the Employment Regulations then: </w:t>
      </w:r>
    </w:p>
    <w:p w:rsidR="00000000" w:rsidDel="00000000" w:rsidP="00000000" w:rsidRDefault="00000000" w:rsidRPr="00000000" w14:paraId="0000005D">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1ci93xb" w:id="7"/>
      <w:bookmarkEnd w:id="7"/>
      <w:r w:rsidDel="00000000" w:rsidR="00000000" w:rsidRPr="00000000">
        <w:rPr>
          <w:rFonts w:ascii="Arial" w:cs="Arial" w:eastAsia="Arial" w:hAnsi="Arial"/>
          <w:color w:val="000000"/>
          <w:sz w:val="24"/>
          <w:szCs w:val="24"/>
          <w:rtl w:val="0"/>
        </w:rPr>
        <w:t xml:space="preserve">the Supplier shall, or shall procure that the Subcontractor shall, within 5 Working Days of becoming aware of that fact, notify CCS in writing and, where required by CCS, notify the relevant Former Supplier in writing; and</w:t>
      </w:r>
    </w:p>
    <w:p w:rsidR="00000000" w:rsidDel="00000000" w:rsidP="00000000" w:rsidRDefault="00000000" w:rsidRPr="00000000" w14:paraId="0000005E">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3whwml4" w:id="8"/>
      <w:bookmarkEnd w:id="8"/>
      <w:r w:rsidDel="00000000" w:rsidR="00000000" w:rsidRPr="00000000">
        <w:rPr>
          <w:rFonts w:ascii="Arial" w:cs="Arial" w:eastAsia="Arial" w:hAnsi="Arial"/>
          <w:color w:val="000000"/>
          <w:sz w:val="24"/>
          <w:szCs w:val="24"/>
          <w:rtl w:val="0"/>
        </w:rPr>
        <w:t xml:space="preserve">the Former Supplier may offer (or may procure that a third party may offer) employment to such person, or take such other steps as the Former Supplier considers appropriate to deal with the matter provided always that such steps are in compliance with applicable Law, within 10 Working Days of receipt of notice from the Supplier or the relevant Subcontractor (as the case may be).</w:t>
      </w:r>
    </w:p>
    <w:p w:rsidR="00000000" w:rsidDel="00000000" w:rsidP="00000000" w:rsidRDefault="00000000" w:rsidRPr="00000000" w14:paraId="0000005F">
      <w:pPr>
        <w:keepNext w:val="1"/>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 offer referred to in Paragraph 2.3.2 is accepted, or if the situation has otherwise been resolved by the Former Supplier or CCS, the Supplier shall, or shall procure that the Subcontractor shall, immediately release the person from his/her employment or alleged employment.</w:t>
      </w:r>
    </w:p>
    <w:p w:rsidR="00000000" w:rsidDel="00000000" w:rsidP="00000000" w:rsidRDefault="00000000" w:rsidRPr="00000000" w14:paraId="00000060">
      <w:pPr>
        <w:keepNext w:val="1"/>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2bn6wsx" w:id="9"/>
      <w:bookmarkEnd w:id="9"/>
      <w:r w:rsidDel="00000000" w:rsidR="00000000" w:rsidRPr="00000000">
        <w:rPr>
          <w:rFonts w:ascii="Arial" w:cs="Arial" w:eastAsia="Arial" w:hAnsi="Arial"/>
          <w:color w:val="000000"/>
          <w:sz w:val="24"/>
          <w:szCs w:val="24"/>
          <w:rtl w:val="0"/>
        </w:rPr>
        <w:t xml:space="preserve">If by the end of the 10 Working Day period referred to in Paragraph 2.3.2: </w:t>
      </w:r>
    </w:p>
    <w:p w:rsidR="00000000" w:rsidDel="00000000" w:rsidP="00000000" w:rsidRDefault="00000000" w:rsidRPr="00000000" w14:paraId="00000061">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such offer of employment has been made;</w:t>
      </w:r>
    </w:p>
    <w:p w:rsidR="00000000" w:rsidDel="00000000" w:rsidP="00000000" w:rsidRDefault="00000000" w:rsidRPr="00000000" w14:paraId="00000062">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offer has been made but not accepted; or</w:t>
      </w:r>
    </w:p>
    <w:p w:rsidR="00000000" w:rsidDel="00000000" w:rsidP="00000000" w:rsidRDefault="00000000" w:rsidRPr="00000000" w14:paraId="00000063">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situation has not otherwise been resolved, </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709"/>
        </w:tabs>
        <w:spacing w:after="120" w:before="120" w:lineRule="auto"/>
        <w:ind w:left="709" w:hanging="29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the Supplier or the relevant Subcontractor (as the case may be) may within 5 Working Days give notice to terminate the employment or alleged employment of such person.</w:t>
      </w:r>
    </w:p>
    <w:p w:rsidR="00000000" w:rsidDel="00000000" w:rsidP="00000000" w:rsidRDefault="00000000" w:rsidRPr="00000000" w14:paraId="00000065">
      <w:pPr>
        <w:keepNext w:val="1"/>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the Supplier and any relevant Subcontractor complying with the provisions of Paragraphs 2.3 to 2.5 and in accordance with all applicable proper employment procedures set out in Law and subject also to Paragraph 2.7, CCS shall procure that the Former Supplier will indemnify the Supplier or the relevant Subcontractor against all Employee Liabilities arising out of the termination of the employment of any of the Former Supplier’s employees referred to in Paragraph 2.5 provided that the Supplier takes, or procures that the relevant Subcontractor takes, all reasonable steps to minimise any such Employee Liabilities. </w:t>
      </w:r>
    </w:p>
    <w:p w:rsidR="00000000" w:rsidDel="00000000" w:rsidP="00000000" w:rsidRDefault="00000000" w:rsidRPr="00000000" w14:paraId="00000066">
      <w:pPr>
        <w:keepNext w:val="1"/>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qsh70q" w:id="10"/>
      <w:bookmarkEnd w:id="10"/>
      <w:r w:rsidDel="00000000" w:rsidR="00000000" w:rsidRPr="00000000">
        <w:rPr>
          <w:rFonts w:ascii="Arial" w:cs="Arial" w:eastAsia="Arial" w:hAnsi="Arial"/>
          <w:color w:val="000000"/>
          <w:sz w:val="24"/>
          <w:szCs w:val="24"/>
          <w:rtl w:val="0"/>
        </w:rPr>
        <w:t xml:space="preserve">The indemnity in Paragraph 2.6: </w:t>
      </w:r>
    </w:p>
    <w:p w:rsidR="00000000" w:rsidDel="00000000" w:rsidP="00000000" w:rsidRDefault="00000000" w:rsidRPr="00000000" w14:paraId="00000067">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not apply to: </w:t>
      </w:r>
    </w:p>
    <w:p w:rsidR="00000000" w:rsidDel="00000000" w:rsidP="00000000" w:rsidRDefault="00000000" w:rsidRPr="00000000" w14:paraId="00000068">
      <w:pPr>
        <w:numPr>
          <w:ilvl w:val="3"/>
          <w:numId w:val="13"/>
        </w:numPr>
        <w:pBdr>
          <w:top w:space="0" w:sz="0" w:val="nil"/>
          <w:left w:space="0" w:sz="0" w:val="nil"/>
          <w:bottom w:space="0" w:sz="0" w:val="nil"/>
          <w:right w:space="0" w:sz="0" w:val="nil"/>
          <w:between w:space="0" w:sz="0" w:val="nil"/>
        </w:pBdr>
        <w:spacing w:after="120" w:before="120" w:lineRule="auto"/>
        <w:ind w:left="2880" w:hanging="328.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any claim for:</w:t>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4111" w:hanging="708.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w:t>
        <w:tab/>
        <w:t xml:space="preserve">discrimination, including on the grounds of sex, race, disability, age, gender reassignment, marriage or civil partnership, pregnancy or maternity, sexual orientation, or religion or belief; or </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4111" w:hanging="708.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w:t>
        <w:tab/>
        <w:t xml:space="preserve">equal pay or compensation for less favourable treatment of part-time workers or fixed-term employees; </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297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any case in relation to any alleged act or omission of the Supplier or any Subcontractor; or</w:t>
      </w:r>
    </w:p>
    <w:p w:rsidR="00000000" w:rsidDel="00000000" w:rsidP="00000000" w:rsidRDefault="00000000" w:rsidRPr="00000000" w14:paraId="0000006C">
      <w:pPr>
        <w:numPr>
          <w:ilvl w:val="3"/>
          <w:numId w:val="13"/>
        </w:numPr>
        <w:pBdr>
          <w:top w:space="0" w:sz="0" w:val="nil"/>
          <w:left w:space="0" w:sz="0" w:val="nil"/>
          <w:bottom w:space="0" w:sz="0" w:val="nil"/>
          <w:right w:space="0" w:sz="0" w:val="nil"/>
          <w:between w:space="0" w:sz="0" w:val="nil"/>
        </w:pBdr>
        <w:spacing w:after="120" w:before="120" w:lineRule="auto"/>
        <w:ind w:left="2977" w:hanging="42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that the termination of employment was unfair because the Supplier or the relevant Subcontractor neglected to follow a fair dismissal procedure; and</w:t>
      </w:r>
    </w:p>
    <w:p w:rsidR="00000000" w:rsidDel="00000000" w:rsidP="00000000" w:rsidRDefault="00000000" w:rsidRPr="00000000" w14:paraId="0000006D">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apply only where the termination of employment occurs within 3 months of the Relevant Transfer Date. </w:t>
      </w:r>
    </w:p>
    <w:p w:rsidR="00000000" w:rsidDel="00000000" w:rsidP="00000000" w:rsidRDefault="00000000" w:rsidRPr="00000000" w14:paraId="0000006E">
      <w:pPr>
        <w:keepNext w:val="1"/>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such person as is described in Paragraph 2.3 is neither re-employed by the Former Supplier nor dismissed by the Supplier or the relevant Subcontractor within the timescales set out in Paragraph 2.5, such person shall be treated as having transferred to the Supplier or the relevant Subcontractor (as the case may be) and the Supplier shall, or shall procure that the Subcontractor shall, comply with such obligations as may be imposed upon it under applicable Law.</w:t>
      </w:r>
    </w:p>
    <w:p w:rsidR="00000000" w:rsidDel="00000000" w:rsidP="00000000" w:rsidRDefault="00000000" w:rsidRPr="00000000" w14:paraId="0000006F">
      <w:pPr>
        <w:keepNext w:val="1"/>
        <w:pBdr>
          <w:top w:space="0" w:sz="0" w:val="nil"/>
          <w:left w:space="0" w:sz="0" w:val="nil"/>
          <w:bottom w:space="0" w:sz="0" w:val="nil"/>
          <w:right w:space="0" w:sz="0" w:val="nil"/>
          <w:between w:space="0" w:sz="0" w:val="nil"/>
        </w:pBdr>
        <w:tabs>
          <w:tab w:val="left" w:leader="none" w:pos="993"/>
        </w:tabs>
        <w:spacing w:after="120" w:before="12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0">
      <w:pPr>
        <w:keepNext w:val="1"/>
        <w:numPr>
          <w:ilvl w:val="0"/>
          <w:numId w:val="13"/>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bookmarkStart w:colFirst="0" w:colLast="0" w:name="_heading=h.3as4poj" w:id="11"/>
      <w:bookmarkEnd w:id="11"/>
      <w:r w:rsidDel="00000000" w:rsidR="00000000" w:rsidRPr="00000000">
        <w:rPr>
          <w:rFonts w:ascii="Arial Bold" w:cs="Arial Bold" w:eastAsia="Arial Bold" w:hAnsi="Arial Bold"/>
          <w:b w:val="1"/>
          <w:color w:val="000000"/>
          <w:sz w:val="24"/>
          <w:szCs w:val="24"/>
          <w:rtl w:val="0"/>
        </w:rPr>
        <w:t xml:space="preserve">INDEMNITIES THE SUPPLIER MUST GIVE AND ITS OBLIGATIONS</w:t>
      </w:r>
      <w:r w:rsidDel="00000000" w:rsidR="00000000" w:rsidRPr="00000000">
        <w:rPr>
          <w:rtl w:val="0"/>
        </w:rPr>
      </w:r>
    </w:p>
    <w:p w:rsidR="00000000" w:rsidDel="00000000" w:rsidP="00000000" w:rsidRDefault="00000000" w:rsidRPr="00000000" w14:paraId="00000071">
      <w:pPr>
        <w:keepNext w:val="1"/>
        <w:numPr>
          <w:ilvl w:val="1"/>
          <w:numId w:val="13"/>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3.2, the Supplier shall indemnify CCS and the Former Supplier against any Employee Liabilities arising from or as a result of: </w:t>
      </w:r>
    </w:p>
    <w:p w:rsidR="00000000" w:rsidDel="00000000" w:rsidP="00000000" w:rsidRDefault="00000000" w:rsidRPr="00000000" w14:paraId="00000072">
      <w:pPr>
        <w:keepNext w:val="1"/>
        <w:numPr>
          <w:ilvl w:val="2"/>
          <w:numId w:val="13"/>
        </w:numPr>
        <w:pBdr>
          <w:top w:space="0" w:sz="0" w:val="nil"/>
          <w:left w:space="0" w:sz="0" w:val="nil"/>
          <w:bottom w:space="0" w:sz="0" w:val="nil"/>
          <w:right w:space="0" w:sz="0" w:val="nil"/>
          <w:between w:space="0" w:sz="0" w:val="nil"/>
        </w:pBdr>
        <w:spacing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000000" w:rsidDel="00000000" w:rsidP="00000000" w:rsidRDefault="00000000" w:rsidRPr="00000000" w14:paraId="00000073">
      <w:pPr>
        <w:keepNext w:val="1"/>
        <w:numPr>
          <w:ilvl w:val="2"/>
          <w:numId w:val="13"/>
        </w:numPr>
        <w:pBdr>
          <w:top w:space="0" w:sz="0" w:val="nil"/>
          <w:left w:space="0" w:sz="0" w:val="nil"/>
          <w:bottom w:space="0" w:sz="0" w:val="nil"/>
          <w:right w:space="0" w:sz="0" w:val="nil"/>
          <w:between w:space="0" w:sz="0" w:val="nil"/>
        </w:pBdr>
        <w:spacing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breach or non-observance by the Supplier or any Subcontractor on or after the Relevant Transfer Date of:</w:t>
      </w:r>
    </w:p>
    <w:p w:rsidR="00000000" w:rsidDel="00000000" w:rsidP="00000000" w:rsidRDefault="00000000" w:rsidRPr="00000000" w14:paraId="00000074">
      <w:pPr>
        <w:numPr>
          <w:ilvl w:val="3"/>
          <w:numId w:val="3"/>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collective agreement applicable to the Transferring Former Supplier Employees; and</w:t>
      </w:r>
    </w:p>
    <w:p w:rsidR="00000000" w:rsidDel="00000000" w:rsidP="00000000" w:rsidRDefault="00000000" w:rsidRPr="00000000" w14:paraId="00000075">
      <w:pPr>
        <w:numPr>
          <w:ilvl w:val="3"/>
          <w:numId w:val="3"/>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custom or practice in respect of any Transferring Former Supplier Employees which the Supplier or any Subcontractor is contractually bound to honour;</w:t>
      </w:r>
    </w:p>
    <w:p w:rsidR="00000000" w:rsidDel="00000000" w:rsidP="00000000" w:rsidRDefault="00000000" w:rsidRPr="00000000" w14:paraId="00000076">
      <w:pPr>
        <w:keepNext w:val="1"/>
        <w:numPr>
          <w:ilvl w:val="2"/>
          <w:numId w:val="13"/>
        </w:numPr>
        <w:pBdr>
          <w:top w:space="0" w:sz="0" w:val="nil"/>
          <w:left w:space="0" w:sz="0" w:val="nil"/>
          <w:bottom w:space="0" w:sz="0" w:val="nil"/>
          <w:right w:space="0" w:sz="0" w:val="nil"/>
          <w:between w:space="0" w:sz="0" w:val="nil"/>
        </w:pBdr>
        <w:spacing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000000" w:rsidDel="00000000" w:rsidP="00000000" w:rsidRDefault="00000000" w:rsidRPr="00000000" w14:paraId="00000077">
      <w:pPr>
        <w:keepNext w:val="1"/>
        <w:numPr>
          <w:ilvl w:val="2"/>
          <w:numId w:val="13"/>
        </w:numPr>
        <w:pBdr>
          <w:top w:space="0" w:sz="0" w:val="nil"/>
          <w:left w:space="0" w:sz="0" w:val="nil"/>
          <w:bottom w:space="0" w:sz="0" w:val="nil"/>
          <w:right w:space="0" w:sz="0" w:val="nil"/>
          <w:between w:space="0" w:sz="0" w:val="nil"/>
        </w:pBdr>
        <w:spacing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78">
      <w:pPr>
        <w:keepNext w:val="1"/>
        <w:numPr>
          <w:ilvl w:val="2"/>
          <w:numId w:val="13"/>
        </w:numPr>
        <w:pBdr>
          <w:top w:space="0" w:sz="0" w:val="nil"/>
          <w:left w:space="0" w:sz="0" w:val="nil"/>
          <w:bottom w:space="0" w:sz="0" w:val="nil"/>
          <w:right w:space="0" w:sz="0" w:val="nil"/>
          <w:between w:space="0" w:sz="0" w:val="nil"/>
        </w:pBdr>
        <w:spacing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statement communicated to or action undertaken by the Supplier or a Subcontractor to, or in respect of, any Transferring Former Supplier Employees before the Relevant Transfer Date regarding the Relevant Transfer which has not been agreed in advance with CCS in writing;</w:t>
      </w:r>
    </w:p>
    <w:p w:rsidR="00000000" w:rsidDel="00000000" w:rsidP="00000000" w:rsidRDefault="00000000" w:rsidRPr="00000000" w14:paraId="00000079">
      <w:pPr>
        <w:keepNext w:val="1"/>
        <w:numPr>
          <w:ilvl w:val="2"/>
          <w:numId w:val="13"/>
        </w:numPr>
        <w:pBdr>
          <w:top w:space="0" w:sz="0" w:val="nil"/>
          <w:left w:space="0" w:sz="0" w:val="nil"/>
          <w:bottom w:space="0" w:sz="0" w:val="nil"/>
          <w:right w:space="0" w:sz="0" w:val="nil"/>
          <w:between w:space="0" w:sz="0" w:val="nil"/>
        </w:pBdr>
        <w:spacing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proceeding, claim or demand by HMRC or any other statutory authority in respect of any financial obligation including, but not limited to, PAYE and primary and secondary national insurance contributions:</w:t>
      </w:r>
    </w:p>
    <w:p w:rsidR="00000000" w:rsidDel="00000000" w:rsidP="00000000" w:rsidRDefault="00000000" w:rsidRPr="00000000" w14:paraId="0000007A">
      <w:pPr>
        <w:numPr>
          <w:ilvl w:val="3"/>
          <w:numId w:val="13"/>
        </w:numPr>
        <w:pBdr>
          <w:top w:space="0" w:sz="0" w:val="nil"/>
          <w:left w:space="0" w:sz="0" w:val="nil"/>
          <w:bottom w:space="0" w:sz="0" w:val="nil"/>
          <w:right w:space="0" w:sz="0" w:val="nil"/>
          <w:between w:space="0" w:sz="0" w:val="nil"/>
        </w:pBdr>
        <w:spacing w:after="120" w:before="120" w:lineRule="auto"/>
        <w:ind w:left="2880" w:hanging="611.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any Transferring Former Supplier Employee, to the extent that the proceeding, claim or demand by HMRC or such other statutory authority relates to financial obligations arising on or after the Relevant Transfer Date; and</w:t>
      </w:r>
    </w:p>
    <w:p w:rsidR="00000000" w:rsidDel="00000000" w:rsidP="00000000" w:rsidRDefault="00000000" w:rsidRPr="00000000" w14:paraId="0000007B">
      <w:pPr>
        <w:numPr>
          <w:ilvl w:val="3"/>
          <w:numId w:val="13"/>
        </w:numPr>
        <w:pBdr>
          <w:top w:space="0" w:sz="0" w:val="nil"/>
          <w:left w:space="0" w:sz="0" w:val="nil"/>
          <w:bottom w:space="0" w:sz="0" w:val="nil"/>
          <w:right w:space="0" w:sz="0" w:val="nil"/>
          <w:between w:space="0" w:sz="0" w:val="nil"/>
        </w:pBdr>
        <w:spacing w:after="120" w:before="120" w:lineRule="auto"/>
        <w:ind w:left="2880" w:hanging="61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HMRC or such other statutory authority relates to financial obligations arising on or after the Relevant Transfer Date;</w:t>
      </w:r>
    </w:p>
    <w:p w:rsidR="00000000" w:rsidDel="00000000" w:rsidP="00000000" w:rsidRDefault="00000000" w:rsidRPr="00000000" w14:paraId="0000007C">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000000" w:rsidDel="00000000" w:rsidP="00000000" w:rsidRDefault="00000000" w:rsidRPr="00000000" w14:paraId="0000007D">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000000" w:rsidDel="00000000" w:rsidP="00000000" w:rsidRDefault="00000000" w:rsidRPr="00000000" w14:paraId="0000007E">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by the Supplier or any Subcontractor to comply with its obligations under Paragraph 2.8 above.</w:t>
      </w:r>
    </w:p>
    <w:p w:rsidR="00000000" w:rsidDel="00000000" w:rsidP="00000000" w:rsidRDefault="00000000" w:rsidRPr="00000000" w14:paraId="0000007F">
      <w:pPr>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1pxezwc" w:id="12"/>
      <w:bookmarkEnd w:id="12"/>
      <w:r w:rsidDel="00000000" w:rsidR="00000000" w:rsidRPr="00000000">
        <w:rPr>
          <w:rFonts w:ascii="Arial" w:cs="Arial" w:eastAsia="Arial" w:hAnsi="Arial"/>
          <w:color w:val="000000"/>
          <w:sz w:val="24"/>
          <w:szCs w:val="24"/>
          <w:rtl w:val="0"/>
        </w:rPr>
        <w:t xml:space="preserve">The indemnities in Paragraph 3.1 shall not apply to the extent that the Employee Liabilities arise or are attributable to any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or to the extent that the Employee Liabilities arise out of the termination of employment of any person who is not identified by the Former Supplier as a Transferring Former Supplier Employee as set out in Paragraph 2.5 (subject to the limitations set out in Paragraphs 2.6 and 2.7).</w:t>
      </w:r>
    </w:p>
    <w:p w:rsidR="00000000" w:rsidDel="00000000" w:rsidP="00000000" w:rsidRDefault="00000000" w:rsidRPr="00000000" w14:paraId="00000080">
      <w:pPr>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any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993"/>
        </w:tabs>
        <w:spacing w:after="120" w:before="12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2">
      <w:pPr>
        <w:keepNext w:val="1"/>
        <w:numPr>
          <w:ilvl w:val="0"/>
          <w:numId w:val="13"/>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INFORMATION THE SUPPLIER MUST GIVE</w:t>
      </w:r>
      <w:r w:rsidDel="00000000" w:rsidR="00000000" w:rsidRPr="00000000">
        <w:rPr>
          <w:rtl w:val="0"/>
        </w:rPr>
      </w:r>
    </w:p>
    <w:p w:rsidR="00000000" w:rsidDel="00000000" w:rsidP="00000000" w:rsidRDefault="00000000" w:rsidRPr="00000000" w14:paraId="0000008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and shall procure that each Subcontractor shall, promptly provide to CCS and, if CCS so direct, to the Former Supplier, in writing such information as is necessary to enable CCS and the Former Supplier to carry out their respective duties under regulation 13 of the Employment Regulations. CCS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84">
      <w:pPr>
        <w:keepNext w:val="1"/>
        <w:numPr>
          <w:ilvl w:val="0"/>
          <w:numId w:val="13"/>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CABINET OFFICE REQUIREMENTS</w:t>
      </w:r>
      <w:r w:rsidDel="00000000" w:rsidR="00000000" w:rsidRPr="00000000">
        <w:rPr>
          <w:rtl w:val="0"/>
        </w:rPr>
      </w:r>
    </w:p>
    <w:p w:rsidR="00000000" w:rsidDel="00000000" w:rsidP="00000000" w:rsidRDefault="00000000" w:rsidRPr="00000000" w14:paraId="00000085">
      <w:pPr>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and shall procure that each Subcontractor shall, comply with any requirement notified to it by CCS relating to pensions in respect of any Transferring Former Supplier Employee as set down in: </w:t>
      </w:r>
    </w:p>
    <w:p w:rsidR="00000000" w:rsidDel="00000000" w:rsidP="00000000" w:rsidRDefault="00000000" w:rsidRPr="00000000" w14:paraId="00000086">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Cabinet Office Statement of Practice on Staff Transfers in the Public Sector of January 2000, revised December 2013; </w:t>
      </w:r>
    </w:p>
    <w:p w:rsidR="00000000" w:rsidDel="00000000" w:rsidP="00000000" w:rsidRDefault="00000000" w:rsidRPr="00000000" w14:paraId="00000087">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Old Fair Deal; and/or</w:t>
      </w:r>
    </w:p>
    <w:p w:rsidR="00000000" w:rsidDel="00000000" w:rsidP="00000000" w:rsidRDefault="00000000" w:rsidRPr="00000000" w14:paraId="00000088">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New Fair Deal. </w:t>
      </w:r>
    </w:p>
    <w:p w:rsidR="00000000" w:rsidDel="00000000" w:rsidP="00000000" w:rsidRDefault="00000000" w:rsidRPr="00000000" w14:paraId="00000089">
      <w:pPr>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changes embodied in any statement of practice, paper or other guidance that replaces any of the documentation referred to in Paragraph 5.1 shall be agreed in accordance with the Variation Procedure.</w:t>
      </w:r>
    </w:p>
    <w:p w:rsidR="00000000" w:rsidDel="00000000" w:rsidP="00000000" w:rsidRDefault="00000000" w:rsidRPr="00000000" w14:paraId="0000008A">
      <w:pPr>
        <w:keepNext w:val="1"/>
        <w:numPr>
          <w:ilvl w:val="0"/>
          <w:numId w:val="13"/>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LIMITS ON THE FORMER SUPPLIER’S OBLIGATIONS</w:t>
      </w:r>
      <w:r w:rsidDel="00000000" w:rsidR="00000000" w:rsidRPr="00000000">
        <w:rPr>
          <w:rtl w:val="0"/>
        </w:rPr>
      </w:r>
    </w:p>
    <w:p w:rsidR="00000000" w:rsidDel="00000000" w:rsidP="00000000" w:rsidRDefault="00000000" w:rsidRPr="00000000" w14:paraId="0000008B">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this Part B, where in this Part B CCS accepts an obligation to procure that a Former Supplier does or does not do something, such obligation shall be limited so that it extends only to the extent that CCS’s contract with the Former Supplier contains a contractual right in that regard which CCS may enforce, or otherwise so that it requires only that CCS must use reasonable endeavours to procure that the Former Supplier does or does not act accordingly. </w:t>
      </w:r>
    </w:p>
    <w:p w:rsidR="00000000" w:rsidDel="00000000" w:rsidP="00000000" w:rsidRDefault="00000000" w:rsidRPr="00000000" w14:paraId="0000008C">
      <w:pPr>
        <w:keepNext w:val="1"/>
        <w:numPr>
          <w:ilvl w:val="0"/>
          <w:numId w:val="13"/>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P</w:t>
      </w:r>
      <w:r w:rsidDel="00000000" w:rsidR="00000000" w:rsidRPr="00000000">
        <w:rPr>
          <w:rFonts w:ascii="Arial Bold" w:cs="Arial Bold" w:eastAsia="Arial Bold" w:hAnsi="Arial Bold"/>
          <w:b w:val="1"/>
          <w:color w:val="000000"/>
          <w:sz w:val="24"/>
          <w:szCs w:val="24"/>
          <w:rtl w:val="0"/>
        </w:rPr>
        <w:t xml:space="preserve">ENSIONS</w:t>
      </w:r>
      <w:r w:rsidDel="00000000" w:rsidR="00000000" w:rsidRPr="00000000">
        <w:rPr>
          <w:rtl w:val="0"/>
        </w:rPr>
      </w:r>
    </w:p>
    <w:p w:rsidR="00000000" w:rsidDel="00000000" w:rsidP="00000000" w:rsidRDefault="00000000" w:rsidRPr="00000000" w14:paraId="0000008D">
      <w:pPr>
        <w:keepNext w:val="1"/>
        <w:numPr>
          <w:ilvl w:val="1"/>
          <w:numId w:val="13"/>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and shall procure that each Subcontractor shall, comply with:</w:t>
      </w:r>
    </w:p>
    <w:p w:rsidR="00000000" w:rsidDel="00000000" w:rsidP="00000000" w:rsidRDefault="00000000" w:rsidRPr="00000000" w14:paraId="0000008E">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requirements of Part 1 of the Pensions Act 2008, section 258 of the Pensions Act 2004 and the Transfer of Employment (Pension Protection) Regulations 2005 for all transferring staff; and</w:t>
      </w:r>
    </w:p>
    <w:p w:rsidR="00000000" w:rsidDel="00000000" w:rsidP="00000000" w:rsidRDefault="00000000" w:rsidRPr="00000000" w14:paraId="0000008F">
      <w:pPr>
        <w:numPr>
          <w:ilvl w:val="2"/>
          <w:numId w:val="13"/>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 D: Pensions (and its Annexes) to this Schedule.</w:t>
      </w:r>
    </w:p>
    <w:p w:rsidR="00000000" w:rsidDel="00000000" w:rsidP="00000000" w:rsidRDefault="00000000" w:rsidRPr="00000000" w14:paraId="0000009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pStyle w:val="Heading1"/>
        <w:jc w:val="both"/>
        <w:rPr>
          <w:rFonts w:ascii="Arial Bold" w:cs="Arial Bold" w:eastAsia="Arial Bold" w:hAnsi="Arial Bold"/>
          <w:sz w:val="36"/>
          <w:szCs w:val="36"/>
        </w:rPr>
      </w:pPr>
      <w:bookmarkStart w:colFirst="0" w:colLast="0" w:name="_heading=h.32hioqz" w:id="13"/>
      <w:bookmarkEnd w:id="13"/>
      <w:r w:rsidDel="00000000" w:rsidR="00000000" w:rsidRPr="00000000">
        <w:br w:type="page"/>
      </w:r>
      <w:r w:rsidDel="00000000" w:rsidR="00000000" w:rsidRPr="00000000">
        <w:rPr>
          <w:rFonts w:ascii="Arial Bold" w:cs="Arial Bold" w:eastAsia="Arial Bold" w:hAnsi="Arial Bold"/>
          <w:sz w:val="36"/>
          <w:szCs w:val="36"/>
          <w:rtl w:val="0"/>
        </w:rPr>
        <w:t xml:space="preserve"> Part D: Pensions</w:t>
      </w:r>
    </w:p>
    <w:p w:rsidR="00000000" w:rsidDel="00000000" w:rsidP="00000000" w:rsidRDefault="00000000" w:rsidRPr="00000000" w14:paraId="00000093">
      <w:pPr>
        <w:keepNext w:val="1"/>
        <w:numPr>
          <w:ilvl w:val="0"/>
          <w:numId w:val="10"/>
        </w:numPr>
        <w:pBdr>
          <w:top w:space="0" w:sz="0" w:val="nil"/>
          <w:left w:space="0" w:sz="0" w:val="nil"/>
          <w:bottom w:space="0" w:sz="0" w:val="nil"/>
          <w:right w:space="0" w:sz="0" w:val="nil"/>
          <w:between w:space="0" w:sz="0" w:val="nil"/>
        </w:pBdr>
        <w:spacing w:before="120" w:lineRule="auto"/>
        <w:ind w:left="357" w:hanging="357"/>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w:t>
      </w:r>
    </w:p>
    <w:p w:rsidR="00000000" w:rsidDel="00000000" w:rsidP="00000000" w:rsidRDefault="00000000" w:rsidRPr="00000000" w14:paraId="00000094">
      <w:pPr>
        <w:keepNext w:val="1"/>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this Part D and Part E, the following words have the following meanings and they shall supplement Joint Schedule 1 (Definitions), and shall be deemed to include the definitions set out in the Annexes to this Part D:</w:t>
      </w:r>
    </w:p>
    <w:tbl>
      <w:tblPr>
        <w:tblStyle w:val="Table2"/>
        <w:tblW w:w="9026.0" w:type="dxa"/>
        <w:jc w:val="left"/>
        <w:tblInd w:w="-115.0" w:type="dxa"/>
        <w:tblLayout w:type="fixed"/>
        <w:tblLook w:val="0400"/>
      </w:tblPr>
      <w:tblGrid>
        <w:gridCol w:w="3404"/>
        <w:gridCol w:w="5622"/>
        <w:tblGridChange w:id="0">
          <w:tblGrid>
            <w:gridCol w:w="3404"/>
            <w:gridCol w:w="5622"/>
          </w:tblGrid>
        </w:tblGridChange>
      </w:tblGrid>
      <w:tr>
        <w:trPr>
          <w:cantSplit w:val="0"/>
          <w:tblHeader w:val="0"/>
        </w:trPr>
        <w:tc>
          <w:tcPr>
            <w:shd w:fill="auto" w:val="clear"/>
          </w:tcPr>
          <w:p w:rsidR="00000000" w:rsidDel="00000000" w:rsidP="00000000" w:rsidRDefault="00000000" w:rsidRPr="00000000" w14:paraId="00000095">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"Actuary"</w:t>
            </w:r>
          </w:p>
        </w:tc>
        <w:tc>
          <w:tcPr>
            <w:shd w:fill="auto" w:val="clear"/>
          </w:tcPr>
          <w:p w:rsidR="00000000" w:rsidDel="00000000" w:rsidP="00000000" w:rsidRDefault="00000000" w:rsidRPr="00000000" w14:paraId="0000009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Fellow of the Institute and Faculty of Actuaries;</w:t>
            </w:r>
          </w:p>
        </w:tc>
      </w:tr>
      <w:tr>
        <w:trPr>
          <w:cantSplit w:val="0"/>
          <w:tblHeader w:val="0"/>
        </w:trPr>
        <w:tc>
          <w:tcPr>
            <w:shd w:fill="auto" w:val="clear"/>
          </w:tcPr>
          <w:p w:rsidR="00000000" w:rsidDel="00000000" w:rsidP="00000000" w:rsidRDefault="00000000" w:rsidRPr="00000000" w14:paraId="00000097">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"Admission Agreement"</w:t>
            </w:r>
          </w:p>
        </w:tc>
        <w:tc>
          <w:tcPr>
            <w:shd w:fill="auto" w:val="clear"/>
          </w:tcPr>
          <w:p w:rsidR="00000000" w:rsidDel="00000000" w:rsidP="00000000" w:rsidRDefault="00000000" w:rsidRPr="00000000" w14:paraId="00000098">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either or both of the CSPS Admission Agreement (as defined in Annex D1: CSPS) or the LGPS Admission Agreement (as defined in Annex D3: LGPS), as the context requires;</w:t>
            </w:r>
          </w:p>
        </w:tc>
      </w:tr>
      <w:tr>
        <w:trPr>
          <w:cantSplit w:val="0"/>
          <w:tblHeader w:val="0"/>
        </w:trPr>
        <w:tc>
          <w:tcPr>
            <w:shd w:fill="auto" w:val="clear"/>
          </w:tcPr>
          <w:p w:rsidR="00000000" w:rsidDel="00000000" w:rsidP="00000000" w:rsidRDefault="00000000" w:rsidRPr="00000000" w14:paraId="00000099">
            <w:pPr>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“Best Value Direction”</w:t>
            </w:r>
          </w:p>
        </w:tc>
        <w:tc>
          <w:tcPr>
            <w:shd w:fill="auto" w:val="clear"/>
          </w:tcPr>
          <w:p w:rsidR="00000000" w:rsidDel="00000000" w:rsidP="00000000" w:rsidRDefault="00000000" w:rsidRPr="00000000" w14:paraId="0000009A">
            <w:pPr>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Best Value Authorities Staff Transfers (Pensions) Direction 2007 or the Welsh Authorities Staff Transfers (Pensions) Direction 2012 (as appropriate);</w:t>
            </w:r>
          </w:p>
        </w:tc>
      </w:tr>
      <w:tr>
        <w:trPr>
          <w:cantSplit w:val="0"/>
          <w:tblHeader w:val="0"/>
        </w:trPr>
        <w:tc>
          <w:tcPr>
            <w:shd w:fill="auto" w:val="clear"/>
          </w:tcPr>
          <w:p w:rsidR="00000000" w:rsidDel="00000000" w:rsidP="00000000" w:rsidRDefault="00000000" w:rsidRPr="00000000" w14:paraId="0000009B">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"Broadly Comparable"</w:t>
            </w:r>
          </w:p>
        </w:tc>
        <w:tc>
          <w:tcPr>
            <w:shd w:fill="auto" w:val="clear"/>
          </w:tcPr>
          <w:p w:rsidR="00000000" w:rsidDel="00000000" w:rsidP="00000000" w:rsidRDefault="00000000" w:rsidRPr="00000000" w14:paraId="0000009C">
            <w:pPr>
              <w:widowControl w:val="0"/>
              <w:numPr>
                <w:ilvl w:val="0"/>
                <w:numId w:val="2"/>
              </w:numPr>
              <w:tabs>
                <w:tab w:val="left" w:leader="none" w:pos="695"/>
              </w:tabs>
              <w:spacing w:after="120" w:before="120" w:lineRule="auto"/>
              <w:ind w:left="691" w:hanging="648"/>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or</w:t>
            </w:r>
          </w:p>
        </w:tc>
      </w:tr>
      <w:tr>
        <w:trPr>
          <w:cantSplit w:val="0"/>
          <w:tblHeader w:val="0"/>
        </w:trPr>
        <w:tc>
          <w:tcPr>
            <w:shd w:fill="auto" w:val="clear"/>
          </w:tcPr>
          <w:p w:rsidR="00000000" w:rsidDel="00000000" w:rsidP="00000000" w:rsidRDefault="00000000" w:rsidRPr="00000000" w14:paraId="0000009D">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09E">
            <w:pPr>
              <w:widowControl w:val="0"/>
              <w:numPr>
                <w:ilvl w:val="0"/>
                <w:numId w:val="2"/>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benefits provided for or in respect of a member under a pension scheme, benefits that are consistent with that pension scheme’s certificate of broad comparability issued by the Government Actuary’s Department,</w:t>
            </w:r>
          </w:p>
          <w:p w:rsidR="00000000" w:rsidDel="00000000" w:rsidP="00000000" w:rsidRDefault="00000000" w:rsidRPr="00000000" w14:paraId="0000009F">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b w:val="1"/>
                <w:sz w:val="24"/>
                <w:szCs w:val="24"/>
                <w:rtl w:val="0"/>
              </w:rPr>
              <w:t xml:space="preserve">Broad Comparability</w:t>
            </w:r>
            <w:r w:rsidDel="00000000" w:rsidR="00000000" w:rsidRPr="00000000">
              <w:rPr>
                <w:rFonts w:ascii="Arial" w:cs="Arial" w:eastAsia="Arial" w:hAnsi="Arial"/>
                <w:sz w:val="24"/>
                <w:szCs w:val="24"/>
                <w:rtl w:val="0"/>
              </w:rPr>
              <w:t xml:space="preserve">" shall be construed accordingly;</w:t>
            </w:r>
          </w:p>
        </w:tc>
      </w:tr>
      <w:tr>
        <w:trPr>
          <w:cantSplit w:val="0"/>
          <w:tblHeader w:val="0"/>
        </w:trPr>
        <w:tc>
          <w:tcPr>
            <w:shd w:fill="auto" w:val="clear"/>
          </w:tcPr>
          <w:p w:rsidR="00000000" w:rsidDel="00000000" w:rsidP="00000000" w:rsidRDefault="00000000" w:rsidRPr="00000000" w14:paraId="000000A0">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"CSPS"</w:t>
            </w:r>
          </w:p>
        </w:tc>
        <w:tc>
          <w:tcPr>
            <w:shd w:fill="auto" w:val="clear"/>
          </w:tcPr>
          <w:p w:rsidR="00000000" w:rsidDel="00000000" w:rsidP="00000000" w:rsidRDefault="00000000" w:rsidRPr="00000000" w14:paraId="000000A1">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D1 to this Part D; </w:t>
            </w:r>
          </w:p>
        </w:tc>
      </w:tr>
      <w:tr>
        <w:trPr>
          <w:cantSplit w:val="0"/>
          <w:tblHeader w:val="0"/>
        </w:trPr>
        <w:tc>
          <w:tcPr>
            <w:shd w:fill="auto" w:val="clear"/>
          </w:tcPr>
          <w:p w:rsidR="00000000" w:rsidDel="00000000" w:rsidP="00000000" w:rsidRDefault="00000000" w:rsidRPr="00000000" w14:paraId="000000A2">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Letter/Determination”</w:t>
            </w:r>
          </w:p>
        </w:tc>
        <w:tc>
          <w:tcPr>
            <w:shd w:fill="auto" w:val="clear"/>
          </w:tcPr>
          <w:p w:rsidR="00000000" w:rsidDel="00000000" w:rsidP="00000000" w:rsidRDefault="00000000" w:rsidRPr="00000000" w14:paraId="000000A3">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in Annex D2 to this Part D;</w:t>
            </w:r>
          </w:p>
          <w:p w:rsidR="00000000" w:rsidDel="00000000" w:rsidP="00000000" w:rsidRDefault="00000000" w:rsidRPr="00000000" w14:paraId="000000A4">
            <w:pPr>
              <w:widowControl w:val="0"/>
              <w:spacing w:after="120" w:before="12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5">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Eligible Employees” </w:t>
            </w:r>
          </w:p>
        </w:tc>
        <w:tc>
          <w:tcPr>
            <w:shd w:fill="auto" w:val="clear"/>
          </w:tcPr>
          <w:p w:rsidR="00000000" w:rsidDel="00000000" w:rsidP="00000000" w:rsidRDefault="00000000" w:rsidRPr="00000000" w14:paraId="000000A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each of the CSPS Eligible Employees, the NHSPS Eligible Employees and the LGPS Eligible Employees (as applicable) (and shall include any such employee who has been admitted to or remains eligible to join a Broadly Comparable pension scheme at the relevant time in accordance with paragraph 10 or 11 of this Part D);</w:t>
            </w:r>
          </w:p>
        </w:tc>
      </w:tr>
      <w:tr>
        <w:trPr>
          <w:cantSplit w:val="0"/>
          <w:tblHeader w:val="0"/>
        </w:trPr>
        <w:tc>
          <w:tcPr>
            <w:shd w:fill="auto" w:val="clear"/>
          </w:tcPr>
          <w:p w:rsidR="00000000" w:rsidDel="00000000" w:rsidP="00000000" w:rsidRDefault="00000000" w:rsidRPr="00000000" w14:paraId="000000A7">
            <w:pPr>
              <w:widowControl w:val="0"/>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Employees"</w:t>
            </w:r>
          </w:p>
        </w:tc>
        <w:tc>
          <w:tcPr>
            <w:shd w:fill="auto" w:val="clear"/>
          </w:tcPr>
          <w:p w:rsidR="00000000" w:rsidDel="00000000" w:rsidP="00000000" w:rsidRDefault="00000000" w:rsidRPr="00000000" w14:paraId="000000A8">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 of:</w:t>
            </w:r>
          </w:p>
          <w:p w:rsidR="00000000" w:rsidDel="00000000" w:rsidP="00000000" w:rsidRDefault="00000000" w:rsidRPr="00000000" w14:paraId="000000A9">
            <w:pPr>
              <w:widowControl w:val="0"/>
              <w:numPr>
                <w:ilvl w:val="0"/>
                <w:numId w:val="1"/>
              </w:numPr>
              <w:tabs>
                <w:tab w:val="left" w:leader="none" w:pos="695"/>
              </w:tabs>
              <w:spacing w:after="120" w:before="120" w:lineRule="auto"/>
              <w:ind w:left="743"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Buyer Employees; </w:t>
            </w:r>
          </w:p>
        </w:tc>
      </w:tr>
      <w:tr>
        <w:trPr>
          <w:cantSplit w:val="0"/>
          <w:tblHeader w:val="0"/>
        </w:trPr>
        <w:tc>
          <w:tcPr>
            <w:shd w:fill="auto" w:val="clear"/>
          </w:tcPr>
          <w:p w:rsidR="00000000" w:rsidDel="00000000" w:rsidP="00000000" w:rsidRDefault="00000000" w:rsidRPr="00000000" w14:paraId="000000AA">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0AB">
            <w:pPr>
              <w:widowControl w:val="0"/>
              <w:numPr>
                <w:ilvl w:val="0"/>
                <w:numId w:val="1"/>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Former Supplier Employees; </w:t>
            </w:r>
          </w:p>
        </w:tc>
      </w:tr>
      <w:tr>
        <w:trPr>
          <w:cantSplit w:val="0"/>
          <w:tblHeader w:val="0"/>
        </w:trPr>
        <w:tc>
          <w:tcPr>
            <w:shd w:fill="auto" w:val="clear"/>
          </w:tcPr>
          <w:p w:rsidR="00000000" w:rsidDel="00000000" w:rsidP="00000000" w:rsidRDefault="00000000" w:rsidRPr="00000000" w14:paraId="000000AC">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0AD">
            <w:pPr>
              <w:widowControl w:val="0"/>
              <w:numPr>
                <w:ilvl w:val="0"/>
                <w:numId w:val="1"/>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trPr>
          <w:cantSplit w:val="0"/>
          <w:tblHeader w:val="0"/>
        </w:trPr>
        <w:tc>
          <w:tcPr>
            <w:shd w:fill="auto" w:val="clear"/>
          </w:tcPr>
          <w:p w:rsidR="00000000" w:rsidDel="00000000" w:rsidP="00000000" w:rsidRDefault="00000000" w:rsidRPr="00000000" w14:paraId="000000AE">
            <w:pPr>
              <w:keepNext w:val="1"/>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0AF">
            <w:pPr>
              <w:widowControl w:val="0"/>
              <w:numPr>
                <w:ilvl w:val="0"/>
                <w:numId w:val="1"/>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or a Subcontractor was the Former Supplier, the employees of the Supplier (or Subcontractor); </w:t>
            </w:r>
          </w:p>
        </w:tc>
      </w:tr>
      <w:tr>
        <w:trPr>
          <w:cantSplit w:val="0"/>
          <w:tblHeader w:val="0"/>
        </w:trPr>
        <w:tc>
          <w:tcPr>
            <w:shd w:fill="auto" w:val="clear"/>
          </w:tcPr>
          <w:p w:rsidR="00000000" w:rsidDel="00000000" w:rsidP="00000000" w:rsidRDefault="00000000" w:rsidRPr="00000000" w14:paraId="000000B0">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0B1">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who at the Relevant Transfer Date are or become entitled to New Fair Deal or Best Value Direction protection in respect of any of the Statutory Schemes or a Broadly Comparable pension scheme provided in accordance with paragraph 10 of this Part D as notified by CCS;</w:t>
            </w:r>
          </w:p>
        </w:tc>
      </w:tr>
      <w:tr>
        <w:trPr>
          <w:cantSplit w:val="0"/>
          <w:tblHeader w:val="0"/>
        </w:trPr>
        <w:tc>
          <w:tcPr>
            <w:shd w:fill="auto" w:val="clear"/>
          </w:tcPr>
          <w:p w:rsidR="00000000" w:rsidDel="00000000" w:rsidP="00000000" w:rsidRDefault="00000000" w:rsidRPr="00000000" w14:paraId="000000B2">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"Fund Actuary"</w:t>
            </w:r>
          </w:p>
        </w:tc>
        <w:tc>
          <w:tcPr>
            <w:shd w:fill="auto" w:val="clear"/>
          </w:tcPr>
          <w:p w:rsidR="00000000" w:rsidDel="00000000" w:rsidP="00000000" w:rsidRDefault="00000000" w:rsidRPr="00000000" w14:paraId="000000B3">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Fund Actuary as defined in Annex D3 to this Part D;</w:t>
            </w:r>
          </w:p>
        </w:tc>
      </w:tr>
      <w:tr>
        <w:trPr>
          <w:cantSplit w:val="0"/>
          <w:tblHeader w:val="0"/>
        </w:trPr>
        <w:tc>
          <w:tcPr>
            <w:shd w:fill="auto" w:val="clear"/>
          </w:tcPr>
          <w:p w:rsidR="00000000" w:rsidDel="00000000" w:rsidP="00000000" w:rsidRDefault="00000000" w:rsidRPr="00000000" w14:paraId="000000B4">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"LGPS"</w:t>
            </w:r>
          </w:p>
        </w:tc>
        <w:tc>
          <w:tcPr>
            <w:shd w:fill="auto" w:val="clear"/>
          </w:tcPr>
          <w:p w:rsidR="00000000" w:rsidDel="00000000" w:rsidP="00000000" w:rsidRDefault="00000000" w:rsidRPr="00000000" w14:paraId="000000B5">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 as defined in Annex D3 to this Part D;</w:t>
            </w:r>
          </w:p>
        </w:tc>
      </w:tr>
      <w:tr>
        <w:trPr>
          <w:cantSplit w:val="0"/>
          <w:tblHeader w:val="0"/>
        </w:trPr>
        <w:tc>
          <w:tcPr>
            <w:shd w:fill="auto" w:val="clear"/>
          </w:tcPr>
          <w:p w:rsidR="00000000" w:rsidDel="00000000" w:rsidP="00000000" w:rsidRDefault="00000000" w:rsidRPr="00000000" w14:paraId="000000B6">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shd w:fill="auto" w:val="clear"/>
          </w:tcPr>
          <w:p w:rsidR="00000000" w:rsidDel="00000000" w:rsidP="00000000" w:rsidRDefault="00000000" w:rsidRPr="00000000" w14:paraId="000000B7">
            <w:pPr>
              <w:keepNext w:val="1"/>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D2 to this Part D;</w:t>
            </w:r>
          </w:p>
        </w:tc>
      </w:tr>
      <w:tr>
        <w:trPr>
          <w:cantSplit w:val="0"/>
          <w:tblHeader w:val="0"/>
        </w:trPr>
        <w:tc>
          <w:tcPr>
            <w:shd w:fill="auto" w:val="clear"/>
          </w:tcPr>
          <w:p w:rsidR="00000000" w:rsidDel="00000000" w:rsidP="00000000" w:rsidRDefault="00000000" w:rsidRPr="00000000" w14:paraId="000000B8">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"Statutory Schemes"</w:t>
            </w:r>
          </w:p>
        </w:tc>
        <w:tc>
          <w:tcPr>
            <w:shd w:fill="auto" w:val="clear"/>
          </w:tcPr>
          <w:p w:rsidR="00000000" w:rsidDel="00000000" w:rsidP="00000000" w:rsidRDefault="00000000" w:rsidRPr="00000000" w14:paraId="000000B9">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means the CSPS, NHSPS or LGPS.</w:t>
            </w:r>
          </w:p>
        </w:tc>
      </w:tr>
    </w:tbl>
    <w:p w:rsidR="00000000" w:rsidDel="00000000" w:rsidP="00000000" w:rsidRDefault="00000000" w:rsidRPr="00000000" w14:paraId="000000BA">
      <w:pPr>
        <w:keepNext w:val="1"/>
        <w:numPr>
          <w:ilvl w:val="0"/>
          <w:numId w:val="10"/>
        </w:numPr>
        <w:pBdr>
          <w:top w:space="0" w:sz="0" w:val="nil"/>
          <w:left w:space="0" w:sz="0" w:val="nil"/>
          <w:bottom w:space="0" w:sz="0" w:val="nil"/>
          <w:right w:space="0" w:sz="0" w:val="nil"/>
          <w:between w:space="0" w:sz="0" w:val="nil"/>
        </w:pBdr>
        <w:spacing w:before="120" w:lineRule="auto"/>
        <w:ind w:left="720" w:hanging="72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WHAT HAPPENS IF THERE IS A DISPUTE</w:t>
      </w:r>
    </w:p>
    <w:p w:rsidR="00000000" w:rsidDel="00000000" w:rsidP="00000000" w:rsidRDefault="00000000" w:rsidRPr="00000000" w14:paraId="000000BB">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Dispute Resolution Procedure will not apply to any dispute (i) between CCS and the Supplier or (ii) between their respective actuaries or with the Fund Actuary about any of the actuarial matters referred to in this Part D and its Annexes, which shall in the absence of agreement between CCS and the Supplier be referred to an independent Actuary: </w:t>
      </w:r>
    </w:p>
    <w:p w:rsidR="00000000" w:rsidDel="00000000" w:rsidP="00000000" w:rsidRDefault="00000000" w:rsidRPr="00000000" w14:paraId="000000BC">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who will act as an expert and not as an arbitrator; </w:t>
      </w:r>
    </w:p>
    <w:p w:rsidR="00000000" w:rsidDel="00000000" w:rsidP="00000000" w:rsidRDefault="00000000" w:rsidRPr="00000000" w14:paraId="000000BD">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whose decision will be final and binding on CCS and the Supplier; and </w:t>
      </w:r>
    </w:p>
    <w:p w:rsidR="00000000" w:rsidDel="00000000" w:rsidP="00000000" w:rsidRDefault="00000000" w:rsidRPr="00000000" w14:paraId="000000BE">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whose expenses shall be borne equally by CCS and the Supplier, unless the independent Actuary shall otherwise direct.</w:t>
      </w:r>
    </w:p>
    <w:p w:rsidR="00000000" w:rsidDel="00000000" w:rsidP="00000000" w:rsidRDefault="00000000" w:rsidRPr="00000000" w14:paraId="000000BF">
      <w:pPr>
        <w:keepNext w:val="1"/>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The independent Actuary shall be agreed by the Parties or, failing such agreement, the independent Actuary shall be appointed by the President for the time being of the Institute and Faculty of Actuaries on the application of the Parties.</w:t>
      </w:r>
    </w:p>
    <w:p w:rsidR="00000000" w:rsidDel="00000000" w:rsidP="00000000" w:rsidRDefault="00000000" w:rsidRPr="00000000" w14:paraId="000000C0">
      <w:pPr>
        <w:keepNext w:val="1"/>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1">
      <w:pPr>
        <w:keepNext w:val="1"/>
        <w:numPr>
          <w:ilvl w:val="0"/>
          <w:numId w:val="10"/>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OTHER PEOPLE’S RIGHTS</w:t>
      </w:r>
      <w:r w:rsidDel="00000000" w:rsidR="00000000" w:rsidRPr="00000000">
        <w:rPr>
          <w:rtl w:val="0"/>
        </w:rPr>
      </w:r>
    </w:p>
    <w:p w:rsidR="00000000" w:rsidDel="00000000" w:rsidP="00000000" w:rsidRDefault="00000000" w:rsidRPr="00000000" w14:paraId="000000C2">
      <w:pPr>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000000" w:rsidDel="00000000" w:rsidP="00000000" w:rsidRDefault="00000000" w:rsidRPr="00000000" w14:paraId="000000C3">
      <w:pPr>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993"/>
        </w:tabs>
        <w:spacing w:after="120" w:before="12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5">
      <w:pPr>
        <w:keepNext w:val="1"/>
        <w:numPr>
          <w:ilvl w:val="0"/>
          <w:numId w:val="10"/>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WHAT HAPPENS IF THERE IS A BREACH OF THIS PART D</w:t>
      </w:r>
      <w:r w:rsidDel="00000000" w:rsidR="00000000" w:rsidRPr="00000000">
        <w:rPr>
          <w:rtl w:val="0"/>
        </w:rPr>
      </w:r>
    </w:p>
    <w:p w:rsidR="00000000" w:rsidDel="00000000" w:rsidP="00000000" w:rsidRDefault="00000000" w:rsidRPr="00000000" w14:paraId="000000C6">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agrees to notify CCS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should it breach any obligations it has under this Part D and agrees that CCS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shall be entitled to terminate its Contract for material Default in the event that the Supplier:</w:t>
      </w:r>
    </w:p>
    <w:p w:rsidR="00000000" w:rsidDel="00000000" w:rsidP="00000000" w:rsidRDefault="00000000" w:rsidRPr="00000000" w14:paraId="000000C7">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commits an irremediable breach of any provision or obligation it has under this Part D; or</w:t>
      </w:r>
    </w:p>
    <w:p w:rsidR="00000000" w:rsidDel="00000000" w:rsidP="00000000" w:rsidRDefault="00000000" w:rsidRPr="00000000" w14:paraId="000000C8">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commits a breach of any provision or obligation it has under this Part D which, where capable of remedy, it fails to remedy within a reasonable time and in any event within 28 days of the date of a notice from CCS giving particulars of the breach and requiring the Supplier to remedy it.</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before="120" w:lineRule="auto"/>
        <w:ind w:left="221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keepNext w:val="1"/>
        <w:numPr>
          <w:ilvl w:val="0"/>
          <w:numId w:val="10"/>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TRANSFERRING FAIR DEAL EMPLOYEES</w:t>
      </w:r>
      <w:r w:rsidDel="00000000" w:rsidR="00000000" w:rsidRPr="00000000">
        <w:rPr>
          <w:rtl w:val="0"/>
        </w:rPr>
      </w:r>
    </w:p>
    <w:p w:rsidR="00000000" w:rsidDel="00000000" w:rsidP="00000000" w:rsidRDefault="00000000" w:rsidRPr="00000000" w14:paraId="000000CB">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Save on expiry or termination of the relevant Contract, if the employment of any Fair Deal Eligible Employee transfers to another employer (by way of a transfer under the Employment Regulations or any other form of compulsory transfer of employment) the Supplier shall, or shall procure that any relevant Sub-contractor shall:</w:t>
      </w:r>
    </w:p>
    <w:p w:rsidR="00000000" w:rsidDel="00000000" w:rsidP="00000000" w:rsidRDefault="00000000" w:rsidRPr="00000000" w14:paraId="000000CC">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CCS as far as reasonably practicable in advance of the transfer to allow CCS to make the necessary arrangements for participation with the relevant Statutory Scheme(s);</w:t>
      </w:r>
    </w:p>
    <w:p w:rsidR="00000000" w:rsidDel="00000000" w:rsidP="00000000" w:rsidRDefault="00000000" w:rsidRPr="00000000" w14:paraId="000000CD">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consult with about, and inform those Fair Deal Eligible Employees of, the pension provisions relating to that transfer; and</w:t>
      </w:r>
    </w:p>
    <w:p w:rsidR="00000000" w:rsidDel="00000000" w:rsidP="00000000" w:rsidRDefault="00000000" w:rsidRPr="00000000" w14:paraId="000000CE">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procure that the employer to which the Fair Deal Eligible Employees are transferred (the </w:t>
      </w:r>
      <w:r w:rsidDel="00000000" w:rsidR="00000000" w:rsidRPr="00000000">
        <w:rPr>
          <w:rFonts w:ascii="Arial" w:cs="Arial" w:eastAsia="Arial" w:hAnsi="Arial"/>
          <w:b w:val="1"/>
          <w:color w:val="000000"/>
          <w:sz w:val="24"/>
          <w:szCs w:val="24"/>
          <w:rtl w:val="0"/>
        </w:rPr>
        <w:t xml:space="preserve">"New Employer"</w:t>
      </w:r>
      <w:r w:rsidDel="00000000" w:rsidR="00000000" w:rsidRPr="00000000">
        <w:rPr>
          <w:rFonts w:ascii="Arial" w:cs="Arial" w:eastAsia="Arial" w:hAnsi="Arial"/>
          <w:color w:val="000000"/>
          <w:sz w:val="24"/>
          <w:szCs w:val="24"/>
          <w:rtl w:val="0"/>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before="120" w:lineRule="auto"/>
        <w:ind w:left="221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0">
      <w:pPr>
        <w:keepNext w:val="1"/>
        <w:numPr>
          <w:ilvl w:val="0"/>
          <w:numId w:val="10"/>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W</w:t>
      </w:r>
      <w:r w:rsidDel="00000000" w:rsidR="00000000" w:rsidRPr="00000000">
        <w:rPr>
          <w:rFonts w:ascii="Arial Bold" w:cs="Arial Bold" w:eastAsia="Arial Bold" w:hAnsi="Arial Bold"/>
          <w:b w:val="1"/>
          <w:color w:val="000000"/>
          <w:sz w:val="24"/>
          <w:szCs w:val="24"/>
          <w:rtl w:val="0"/>
        </w:rPr>
        <w:t xml:space="preserve">HAT HAPPENS TO PENSIONS IF THIS CONTRACT ENDS</w:t>
      </w:r>
      <w:r w:rsidDel="00000000" w:rsidR="00000000" w:rsidRPr="00000000">
        <w:rPr>
          <w:rtl w:val="0"/>
        </w:rPr>
      </w:r>
    </w:p>
    <w:p w:rsidR="00000000" w:rsidDel="00000000" w:rsidP="00000000" w:rsidRDefault="00000000" w:rsidRPr="00000000" w14:paraId="000000D1">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provisions of Part E: Staff Transfer On Exit (Mandatory) apply in relation to pension issues on expiry or termination of the relevant Contract.</w:t>
      </w:r>
    </w:p>
    <w:p w:rsidR="00000000" w:rsidDel="00000000" w:rsidP="00000000" w:rsidRDefault="00000000" w:rsidRPr="00000000" w14:paraId="000000D2">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or NHS Pensions or CSPS or the relevant Administering Buyer or CCS may reasonably require, to enable the Replacement Supplier to participate in the appropriate Statutory Scheme in respect of any Fair Deal  Eligible Employee that remains eligible for New Fair Deal protection following a Service Transfer.</w:t>
      </w:r>
    </w:p>
    <w:p w:rsidR="00000000" w:rsidDel="00000000" w:rsidP="00000000" w:rsidRDefault="00000000" w:rsidRPr="00000000" w14:paraId="000000D3">
      <w:pPr>
        <w:keepNext w:val="1"/>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4">
      <w:pPr>
        <w:keepNext w:val="1"/>
        <w:numPr>
          <w:ilvl w:val="0"/>
          <w:numId w:val="10"/>
        </w:numPr>
        <w:pBdr>
          <w:top w:space="0" w:sz="0" w:val="nil"/>
          <w:left w:space="0" w:sz="0" w:val="nil"/>
          <w:bottom w:space="0" w:sz="0" w:val="nil"/>
          <w:right w:space="0" w:sz="0" w:val="nil"/>
          <w:between w:space="0" w:sz="0" w:val="nil"/>
        </w:pBdr>
        <w:spacing w:before="120" w:lineRule="auto"/>
        <w:ind w:left="720" w:hanging="720"/>
        <w:rPr>
          <w:rFonts w:ascii="Arial Bold" w:cs="Arial Bold" w:eastAsia="Arial Bold" w:hAnsi="Arial Bold"/>
          <w:b w:val="1"/>
          <w:color w:val="000000"/>
          <w:sz w:val="24"/>
          <w:szCs w:val="24"/>
        </w:rPr>
      </w:pPr>
      <w:r w:rsidDel="00000000" w:rsidR="00000000" w:rsidRPr="00000000">
        <w:rPr>
          <w:rFonts w:ascii="Arial" w:cs="Arial" w:eastAsia="Arial" w:hAnsi="Arial"/>
          <w:b w:val="1"/>
          <w:smallCaps w:val="1"/>
          <w:color w:val="000000"/>
          <w:sz w:val="24"/>
          <w:szCs w:val="24"/>
          <w:rtl w:val="0"/>
        </w:rPr>
        <w:t xml:space="preserve">B</w:t>
      </w:r>
      <w:r w:rsidDel="00000000" w:rsidR="00000000" w:rsidRPr="00000000">
        <w:rPr>
          <w:rFonts w:ascii="Arial Bold" w:cs="Arial Bold" w:eastAsia="Arial Bold" w:hAnsi="Arial Bold"/>
          <w:b w:val="1"/>
          <w:color w:val="000000"/>
          <w:sz w:val="24"/>
          <w:szCs w:val="24"/>
          <w:rtl w:val="0"/>
        </w:rPr>
        <w:t xml:space="preserve">ROADLY COMPARABLE PENSION SCHEMES ON THE RELEVANT TRANSFER DATE</w:t>
      </w:r>
    </w:p>
    <w:p w:rsidR="00000000" w:rsidDel="00000000" w:rsidP="00000000" w:rsidRDefault="00000000" w:rsidRPr="00000000" w14:paraId="000000D5">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3fwokq0" w:id="14"/>
      <w:bookmarkEnd w:id="14"/>
      <w:r w:rsidDel="00000000" w:rsidR="00000000" w:rsidRPr="00000000">
        <w:rPr>
          <w:rFonts w:ascii="Arial" w:cs="Arial" w:eastAsia="Arial" w:hAnsi="Arial"/>
          <w:color w:val="000000"/>
          <w:sz w:val="24"/>
          <w:szCs w:val="24"/>
          <w:rtl w:val="0"/>
        </w:rPr>
        <w:t xml:space="preserve">If the terms of any of paragraphs 4 of Annex D2: NHSPS or 3.1 of Annex D3: LGPS apply,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CCS.</w:t>
      </w:r>
    </w:p>
    <w:p w:rsidR="00000000" w:rsidDel="00000000" w:rsidP="00000000" w:rsidRDefault="00000000" w:rsidRPr="00000000" w14:paraId="000000D6">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Broadly Comparable pension scheme must be:  </w:t>
      </w:r>
    </w:p>
    <w:p w:rsidR="00000000" w:rsidDel="00000000" w:rsidP="00000000" w:rsidRDefault="00000000" w:rsidRPr="00000000" w14:paraId="000000D7">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established by the Relevant Transfer Date;</w:t>
      </w:r>
    </w:p>
    <w:p w:rsidR="00000000" w:rsidDel="00000000" w:rsidP="00000000" w:rsidRDefault="00000000" w:rsidRPr="00000000" w14:paraId="000000D8">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registered pension scheme for the purposes of Part 4 of the Finance Act 2004; </w:t>
      </w:r>
    </w:p>
    <w:p w:rsidR="00000000" w:rsidDel="00000000" w:rsidP="00000000" w:rsidRDefault="00000000" w:rsidRPr="00000000" w14:paraId="000000D9">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capable of receiving a bulk transfer payment from the relevant Statutory Scheme or from a Former Supplier’s Broadly Comparable pension scheme (unless otherwise instructed by CCS); </w:t>
      </w:r>
    </w:p>
    <w:p w:rsidR="00000000" w:rsidDel="00000000" w:rsidP="00000000" w:rsidRDefault="00000000" w:rsidRPr="00000000" w14:paraId="000000DA">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capable of paying a bulk transfer payment to the Replacement Supplier’s Broadly Comparable pension scheme (or the relevant Statutory Scheme if applicable) (unless otherwise instructed by CCS); and </w:t>
      </w:r>
    </w:p>
    <w:p w:rsidR="00000000" w:rsidDel="00000000" w:rsidP="00000000" w:rsidRDefault="00000000" w:rsidRPr="00000000" w14:paraId="000000DB">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maintained until such bulk transfer payments have been received or paid (unless otherwise instructed by CCS).  </w:t>
      </w:r>
    </w:p>
    <w:p w:rsidR="00000000" w:rsidDel="00000000" w:rsidP="00000000" w:rsidRDefault="00000000" w:rsidRPr="00000000" w14:paraId="000000DC">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set up a Broadly Comparable pension scheme pursuant to the provisions of this Paragraph 10, the Supplier shall (and shall procure that any of its Subcontractors shall):</w:t>
      </w:r>
    </w:p>
    <w:p w:rsidR="00000000" w:rsidDel="00000000" w:rsidP="00000000" w:rsidRDefault="00000000" w:rsidRPr="00000000" w14:paraId="000000DD">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000000" w:rsidDel="00000000" w:rsidP="00000000" w:rsidRDefault="00000000" w:rsidRPr="00000000" w14:paraId="000000DE">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fully responsible for all costs, contributions, payments and other amounts relating to the setting up, certification of, ongoing participation in, and withdrawal and exit from the Broadly Comparable pension scheme, including for the avoidance of doubt any debts arising under sections 75 or 75A of the Pensions Act 1995;</w:t>
      </w:r>
    </w:p>
    <w:p w:rsidR="00000000" w:rsidDel="00000000" w:rsidP="00000000" w:rsidRDefault="00000000" w:rsidRPr="00000000" w14:paraId="000000DF">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CCS (where applicable). This will be with a view to the bulk transfer terms providing day for day or pound for pound (as applicable) (or actuarially equivalent where there are benefit differences between the two schemes) credits in the Broadly Comparable pension scheme in respect of any Fair Deal Eligible Employee who consents to such a transfer; and</w:t>
      </w:r>
    </w:p>
    <w:p w:rsidR="00000000" w:rsidDel="00000000" w:rsidP="00000000" w:rsidRDefault="00000000" w:rsidRPr="00000000" w14:paraId="000000E0">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replacement Broadly Comparable pension scheme in accordance with this Paragraph 10 with immediate effect for those Fair Deal Eligible Employees who are still employed by the Supplier or relevant Subcontractor and are still eligible for New Fair Deal protection in the event that the Supplier 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or pound for pound terms (as applicable) (or actuarially equivalent where there are benefit differences between the two schemes). </w:t>
      </w:r>
    </w:p>
    <w:p w:rsidR="00000000" w:rsidDel="00000000" w:rsidP="00000000" w:rsidRDefault="00000000" w:rsidRPr="00000000" w14:paraId="000000E1">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provided a Broadly Comparable pension scheme pursuant to the provisions of this Paragraph 10, the Supplier shall (and shall procure that any of its Subcontractors shall) prior to the termination of the relevant Contract:</w:t>
      </w:r>
    </w:p>
    <w:p w:rsidR="00000000" w:rsidDel="00000000" w:rsidP="00000000" w:rsidRDefault="00000000" w:rsidRPr="00000000" w14:paraId="000000E2">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000000" w:rsidDel="00000000" w:rsidP="00000000" w:rsidRDefault="00000000" w:rsidRPr="00000000" w14:paraId="000000E3">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CCS or the Replacement Supplier’s Broadly Comparable pension scheme (or the relevant Statutory Scheme if applicable) (as CCS directs) for any failure to pay the difference as required under this paragraph.</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rPr>
      </w:pPr>
      <w:r w:rsidDel="00000000" w:rsidR="00000000" w:rsidRPr="00000000">
        <w:rPr>
          <w:rtl w:val="0"/>
        </w:rPr>
      </w:r>
    </w:p>
    <w:p w:rsidR="00000000" w:rsidDel="00000000" w:rsidP="00000000" w:rsidRDefault="00000000" w:rsidRPr="00000000" w14:paraId="000000E5">
      <w:pPr>
        <w:keepNext w:val="1"/>
        <w:numPr>
          <w:ilvl w:val="0"/>
          <w:numId w:val="10"/>
        </w:numPr>
        <w:pBdr>
          <w:top w:space="0" w:sz="0" w:val="nil"/>
          <w:left w:space="0" w:sz="0" w:val="nil"/>
          <w:bottom w:space="0" w:sz="0" w:val="nil"/>
          <w:right w:space="0" w:sz="0" w:val="nil"/>
          <w:between w:space="0" w:sz="0" w:val="nil"/>
        </w:pBdr>
        <w:spacing w:before="120" w:lineRule="auto"/>
        <w:ind w:left="720" w:hanging="720"/>
        <w:jc w:val="left"/>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BROADLY </w:t>
      </w:r>
      <w:r w:rsidDel="00000000" w:rsidR="00000000" w:rsidRPr="00000000">
        <w:rPr>
          <w:rFonts w:ascii="Arial Bold" w:cs="Arial Bold" w:eastAsia="Arial Bold" w:hAnsi="Arial Bold"/>
          <w:b w:val="1"/>
          <w:color w:val="000000"/>
          <w:sz w:val="24"/>
          <w:szCs w:val="24"/>
          <w:rtl w:val="0"/>
        </w:rPr>
        <w:t xml:space="preserve">COMPARABLE</w:t>
      </w:r>
      <w:r w:rsidDel="00000000" w:rsidR="00000000" w:rsidRPr="00000000">
        <w:rPr>
          <w:rFonts w:ascii="Arial" w:cs="Arial" w:eastAsia="Arial" w:hAnsi="Arial"/>
          <w:b w:val="1"/>
          <w:color w:val="000000"/>
          <w:sz w:val="24"/>
          <w:szCs w:val="24"/>
          <w:rtl w:val="0"/>
        </w:rPr>
        <w:t xml:space="preserve"> PENSION SCHEME IN OTHER CIRCUMSTANCES</w:t>
      </w:r>
      <w:r w:rsidDel="00000000" w:rsidR="00000000" w:rsidRPr="00000000">
        <w:rPr>
          <w:rtl w:val="0"/>
        </w:rPr>
      </w:r>
    </w:p>
    <w:p w:rsidR="00000000" w:rsidDel="00000000" w:rsidP="00000000" w:rsidRDefault="00000000" w:rsidRPr="00000000" w14:paraId="000000E6">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terms of any of paragraphs 2.2 of Annex D1: CSPS, 5.2 of Annex D2: NHSPS 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CCS.</w:t>
      </w:r>
    </w:p>
    <w:p w:rsidR="00000000" w:rsidDel="00000000" w:rsidP="00000000" w:rsidRDefault="00000000" w:rsidRPr="00000000" w14:paraId="000000E7">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Broadly Comparable pension scheme must be:  </w:t>
      </w:r>
    </w:p>
    <w:p w:rsidR="00000000" w:rsidDel="00000000" w:rsidP="00000000" w:rsidRDefault="00000000" w:rsidRPr="00000000" w14:paraId="000000E8">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established by the date of cessation of participation in the Statutory Scheme; </w:t>
      </w:r>
    </w:p>
    <w:p w:rsidR="00000000" w:rsidDel="00000000" w:rsidP="00000000" w:rsidRDefault="00000000" w:rsidRPr="00000000" w14:paraId="000000E9">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registered pension scheme for the purposes of Part 4 of the Finance Act 2004; </w:t>
      </w:r>
    </w:p>
    <w:p w:rsidR="00000000" w:rsidDel="00000000" w:rsidP="00000000" w:rsidRDefault="00000000" w:rsidRPr="00000000" w14:paraId="000000EA">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capable of receiving a bulk transfer payment from the relevant Statutory Scheme (where instructed to do so by CCS); </w:t>
      </w:r>
    </w:p>
    <w:p w:rsidR="00000000" w:rsidDel="00000000" w:rsidP="00000000" w:rsidRDefault="00000000" w:rsidRPr="00000000" w14:paraId="000000EB">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capable of paying a bulk transfer payment to the Replacement Supplier’s Broadly Comparable pension scheme (or the relevant Statutory Scheme if applicable) (unless otherwise instructed by CCS); and </w:t>
      </w:r>
    </w:p>
    <w:p w:rsidR="00000000" w:rsidDel="00000000" w:rsidP="00000000" w:rsidRDefault="00000000" w:rsidRPr="00000000" w14:paraId="000000EC">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maintained until such bulk transfer payments have been received or paid (unless otherwise instructed by CCS).  </w:t>
      </w:r>
    </w:p>
    <w:p w:rsidR="00000000" w:rsidDel="00000000" w:rsidP="00000000" w:rsidRDefault="00000000" w:rsidRPr="00000000" w14:paraId="000000ED">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provided a Broadly Comparable pension scheme pursuant to the provisions of this Paragraph 11, the Supplier shall (and shall procure that any of its Subcontractors shall):</w:t>
      </w:r>
    </w:p>
    <w:p w:rsidR="00000000" w:rsidDel="00000000" w:rsidP="00000000" w:rsidRDefault="00000000" w:rsidRPr="00000000" w14:paraId="000000EE">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supply to CCS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000000" w:rsidDel="00000000" w:rsidP="00000000" w:rsidRDefault="00000000" w:rsidRPr="00000000" w14:paraId="000000EF">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fully responsible for all costs, contributions, payments and other amounts relating to the setting up, certification of, ongoing participation in, and withdrawal and exit from the Broadly Comparable pension scheme, including for the avoidance of doubt any debts arising under sections 75 or 75A of the Pensions Act 1995;   </w:t>
      </w:r>
    </w:p>
    <w:p w:rsidR="00000000" w:rsidDel="00000000" w:rsidP="00000000" w:rsidRDefault="00000000" w:rsidRPr="00000000" w14:paraId="000000F0">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required to do so by CCS,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CCS (where applicable). The Supplier must ensure that day for day 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 and  </w:t>
      </w:r>
    </w:p>
    <w:p w:rsidR="00000000" w:rsidDel="00000000" w:rsidP="00000000" w:rsidRDefault="00000000" w:rsidRPr="00000000" w14:paraId="000000F1">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replacement Broadly Comparable pension scheme in accordance with this Paragraph 11 with immediate effect for those Fair Deal Eligible Employees who are still employed by the Supplier or the relevant Subcontractor and are still eligible for New Fair Deal protection in the event that the Supplier or Subcontractor's Broadly Comparable pension scheme is closed to future accrual or terminated. The relevant Fair Deal Eligible Employees must be given the option to transfer their accrued benefits from the previous Broadly Comparable pension scheme to the new Broadly Comparable pension scheme on day for day or pound for pound terms (as applicable) (or actuarially equivalent where there are benefit differences between the two schemes). </w:t>
      </w:r>
    </w:p>
    <w:p w:rsidR="00000000" w:rsidDel="00000000" w:rsidP="00000000" w:rsidRDefault="00000000" w:rsidRPr="00000000" w14:paraId="000000F2">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Del="00000000" w:rsidR="00000000" w:rsidRPr="00000000">
        <w:rPr>
          <w:rFonts w:ascii="Arial" w:cs="Arial" w:eastAsia="Arial" w:hAnsi="Arial"/>
          <w:b w:val="1"/>
          <w:color w:val="000000"/>
          <w:sz w:val="24"/>
          <w:szCs w:val="24"/>
          <w:rtl w:val="0"/>
        </w:rPr>
        <w:t xml:space="preserve">the Shortfall</w:t>
      </w:r>
      <w:r w:rsidDel="00000000" w:rsidR="00000000" w:rsidRPr="00000000">
        <w:rPr>
          <w:rFonts w:ascii="Arial" w:cs="Arial" w:eastAsia="Arial" w:hAnsi="Arial"/>
          <w:color w:val="000000"/>
          <w:sz w:val="24"/>
          <w:szCs w:val="24"/>
          <w:rtl w:val="0"/>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relevant Subcontractor, the Shortfall shall be paid by the Supplier. The Supplier shall indemnify CCS or the Replacement Supplier’s Broadly Comparable pension scheme (or the relevant Statutory Scheme if applicable) (as CCS directs) for any failure to pay the Shortfall under this paragraph.</w:t>
      </w:r>
    </w:p>
    <w:p w:rsidR="00000000" w:rsidDel="00000000" w:rsidP="00000000" w:rsidRDefault="00000000" w:rsidRPr="00000000" w14:paraId="000000F3">
      <w:pPr>
        <w:keepNext w:val="1"/>
        <w:pBdr>
          <w:top w:space="0" w:sz="0" w:val="nil"/>
          <w:left w:space="0" w:sz="0" w:val="nil"/>
          <w:bottom w:space="0" w:sz="0" w:val="nil"/>
          <w:right w:space="0" w:sz="0" w:val="nil"/>
          <w:between w:space="0" w:sz="0" w:val="nil"/>
        </w:pBdr>
        <w:tabs>
          <w:tab w:val="left" w:leader="none" w:pos="993"/>
        </w:tabs>
        <w:spacing w:after="120" w:before="12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4">
      <w:pPr>
        <w:keepNext w:val="1"/>
        <w:numPr>
          <w:ilvl w:val="0"/>
          <w:numId w:val="10"/>
        </w:numPr>
        <w:pBdr>
          <w:top w:space="0" w:sz="0" w:val="nil"/>
          <w:left w:space="0" w:sz="0" w:val="nil"/>
          <w:bottom w:space="0" w:sz="0" w:val="nil"/>
          <w:right w:space="0" w:sz="0" w:val="nil"/>
          <w:between w:space="0" w:sz="0" w:val="nil"/>
        </w:pBdr>
        <w:spacing w:before="120" w:lineRule="auto"/>
        <w:ind w:left="720" w:hanging="720"/>
        <w:jc w:val="left"/>
        <w:rPr>
          <w:rFonts w:ascii="Arial" w:cs="Arial" w:eastAsia="Arial" w:hAnsi="Arial"/>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RIGHT</w:t>
      </w:r>
      <w:r w:rsidDel="00000000" w:rsidR="00000000" w:rsidRPr="00000000">
        <w:rPr>
          <w:rFonts w:ascii="Arial" w:cs="Arial" w:eastAsia="Arial" w:hAnsi="Arial"/>
          <w:b w:val="1"/>
          <w:color w:val="000000"/>
          <w:sz w:val="24"/>
          <w:szCs w:val="24"/>
          <w:rtl w:val="0"/>
        </w:rPr>
        <w:t xml:space="preserve"> OF SET-OFF</w:t>
      </w:r>
    </w:p>
    <w:p w:rsidR="00000000" w:rsidDel="00000000" w:rsidP="00000000" w:rsidRDefault="00000000" w:rsidRPr="00000000" w14:paraId="000000F5">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shall have a right to set off against any payments due to the Supplier under the relevant Contract an amount equal to: </w:t>
      </w:r>
    </w:p>
    <w:p w:rsidR="00000000" w:rsidDel="00000000" w:rsidP="00000000" w:rsidRDefault="00000000" w:rsidRPr="00000000" w14:paraId="000000F6">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1v1yuxt" w:id="15"/>
      <w:bookmarkEnd w:id="15"/>
      <w:r w:rsidDel="00000000" w:rsidR="00000000" w:rsidRPr="00000000">
        <w:rPr>
          <w:rFonts w:ascii="Arial" w:cs="Arial" w:eastAsia="Arial" w:hAnsi="Arial"/>
          <w:color w:val="000000"/>
          <w:sz w:val="24"/>
          <w:szCs w:val="24"/>
          <w:rtl w:val="0"/>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000000" w:rsidDel="00000000" w:rsidP="00000000" w:rsidRDefault="00000000" w:rsidRPr="00000000" w14:paraId="000000F7">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000000" w:rsidDel="00000000" w:rsidP="00000000" w:rsidRDefault="00000000" w:rsidRPr="00000000" w14:paraId="000000F8">
      <w:pPr>
        <w:numPr>
          <w:ilvl w:val="2"/>
          <w:numId w:val="10"/>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000000" w:rsidDel="00000000" w:rsidP="00000000" w:rsidRDefault="00000000" w:rsidRPr="00000000" w14:paraId="000000F9">
      <w:pPr>
        <w:keepNext w:val="1"/>
        <w:pBdr>
          <w:top w:space="0" w:sz="0" w:val="nil"/>
          <w:left w:space="0" w:sz="0" w:val="nil"/>
          <w:bottom w:space="0" w:sz="0" w:val="nil"/>
          <w:right w:space="0" w:sz="0" w:val="nil"/>
          <w:between w:space="0" w:sz="0" w:val="nil"/>
        </w:pBdr>
        <w:tabs>
          <w:tab w:val="left" w:leader="none" w:pos="993"/>
        </w:tabs>
        <w:spacing w:after="120" w:before="120" w:lineRule="auto"/>
        <w:ind w:left="720" w:firstLine="0"/>
        <w:rPr>
          <w:rFonts w:ascii="Arial" w:cs="Arial" w:eastAsia="Arial" w:hAnsi="Arial"/>
          <w:sz w:val="24"/>
          <w:szCs w:val="24"/>
        </w:rPr>
      </w:pPr>
      <w:bookmarkStart w:colFirst="0" w:colLast="0" w:name="_heading=h.4f1mdlm" w:id="16"/>
      <w:bookmarkEnd w:id="16"/>
      <w:r w:rsidDel="00000000" w:rsidR="00000000" w:rsidRPr="00000000">
        <w:rPr>
          <w:rFonts w:ascii="Arial" w:cs="Arial" w:eastAsia="Arial" w:hAnsi="Arial"/>
          <w:sz w:val="24"/>
          <w:szCs w:val="24"/>
          <w:rtl w:val="0"/>
        </w:rPr>
        <w:t xml:space="preserve">and shall pay such set off amount to the relevant Statutory Scheme. </w:t>
      </w:r>
    </w:p>
    <w:p w:rsidR="00000000" w:rsidDel="00000000" w:rsidP="00000000" w:rsidRDefault="00000000" w:rsidRPr="00000000" w14:paraId="000000FA">
      <w:pPr>
        <w:keepNext w:val="1"/>
        <w:numPr>
          <w:ilvl w:val="1"/>
          <w:numId w:val="10"/>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shall also have a right to set off against any payments due to the Supplier  under the relevant Contract all reasonable costs and expenses incurred by CCS as a result of Paragraph 12.1 above.</w:t>
      </w:r>
    </w:p>
    <w:p w:rsidR="00000000" w:rsidDel="00000000" w:rsidP="00000000" w:rsidRDefault="00000000" w:rsidRPr="00000000" w14:paraId="000000FB">
      <w:pPr>
        <w:rPr>
          <w:rFonts w:ascii="Arial Bold" w:cs="Arial Bold" w:eastAsia="Arial Bold" w:hAnsi="Arial Bold"/>
          <w:b w:val="1"/>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D1: </w:t>
      </w:r>
    </w:p>
    <w:p w:rsidR="00000000" w:rsidDel="00000000" w:rsidP="00000000" w:rsidRDefault="00000000" w:rsidRPr="00000000" w14:paraId="000000FC">
      <w:pPr>
        <w:rPr>
          <w:rFonts w:ascii="Arial Bold" w:cs="Arial Bold" w:eastAsia="Arial Bold" w:hAnsi="Arial Bold"/>
          <w:sz w:val="36"/>
          <w:szCs w:val="36"/>
        </w:rPr>
      </w:pPr>
      <w:r w:rsidDel="00000000" w:rsidR="00000000" w:rsidRPr="00000000">
        <w:rPr>
          <w:rFonts w:ascii="Arial Bold" w:cs="Arial Bold" w:eastAsia="Arial Bold" w:hAnsi="Arial Bold"/>
          <w:b w:val="1"/>
          <w:sz w:val="36"/>
          <w:szCs w:val="36"/>
          <w:rtl w:val="0"/>
        </w:rPr>
        <w:t xml:space="preserve">Civil Service Pension Schemes (CSPS)</w:t>
      </w:r>
      <w:r w:rsidDel="00000000" w:rsidR="00000000" w:rsidRPr="00000000">
        <w:rPr>
          <w:rtl w:val="0"/>
        </w:rPr>
      </w:r>
    </w:p>
    <w:p w:rsidR="00000000" w:rsidDel="00000000" w:rsidP="00000000" w:rsidRDefault="00000000" w:rsidRPr="00000000" w14:paraId="000000FD">
      <w:pPr>
        <w:keepNext w:val="1"/>
        <w:numPr>
          <w:ilvl w:val="0"/>
          <w:numId w:val="4"/>
        </w:numPr>
        <w:pBdr>
          <w:top w:space="0" w:sz="0" w:val="nil"/>
          <w:left w:space="0" w:sz="0" w:val="nil"/>
          <w:bottom w:space="0" w:sz="0" w:val="nil"/>
          <w:right w:space="0" w:sz="0" w:val="nil"/>
          <w:between w:space="0" w:sz="0" w:val="nil"/>
        </w:pBdr>
        <w:spacing w:before="120" w:lineRule="auto"/>
        <w:ind w:left="357" w:hanging="357"/>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FE">
      <w:pPr>
        <w:keepNext w:val="1"/>
        <w:ind w:left="368" w:hanging="11.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D1: CSPS to Part D: Pensions, the following words have the following meanings and they shall supplement Joint Schedule 1 (Definitions):</w:t>
      </w:r>
    </w:p>
    <w:tbl>
      <w:tblPr>
        <w:tblStyle w:val="Table3"/>
        <w:tblW w:w="9378.0" w:type="dxa"/>
        <w:jc w:val="left"/>
        <w:tblInd w:w="-115.0" w:type="dxa"/>
        <w:tblLayout w:type="fixed"/>
        <w:tblLook w:val="0400"/>
      </w:tblPr>
      <w:tblGrid>
        <w:gridCol w:w="2835"/>
        <w:gridCol w:w="6543"/>
        <w:tblGridChange w:id="0">
          <w:tblGrid>
            <w:gridCol w:w="2835"/>
            <w:gridCol w:w="6543"/>
          </w:tblGrid>
        </w:tblGridChange>
      </w:tblGrid>
      <w:tr>
        <w:trPr>
          <w:cantSplit w:val="0"/>
          <w:tblHeader w:val="0"/>
        </w:trPr>
        <w:tc>
          <w:tcPr/>
          <w:p w:rsidR="00000000" w:rsidDel="00000000" w:rsidP="00000000" w:rsidRDefault="00000000" w:rsidRPr="00000000" w14:paraId="000000FF">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Admission Agreement"</w:t>
            </w:r>
          </w:p>
        </w:tc>
        <w:tc>
          <w:tcPr/>
          <w:p w:rsidR="00000000" w:rsidDel="00000000" w:rsidP="00000000" w:rsidRDefault="00000000" w:rsidRPr="00000000" w14:paraId="00000100">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admission agreement in the form available on the Civil Service Pensions website immediately prior to the Relevant Transfer Date to be entered into for the CSPS in respect of the Services;</w:t>
            </w:r>
          </w:p>
        </w:tc>
      </w:tr>
      <w:tr>
        <w:trPr>
          <w:cantSplit w:val="0"/>
          <w:tblHeader w:val="0"/>
        </w:trPr>
        <w:tc>
          <w:tcPr/>
          <w:p w:rsidR="00000000" w:rsidDel="00000000" w:rsidP="00000000" w:rsidRDefault="00000000" w:rsidRPr="00000000" w14:paraId="00000101">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Eligible Employee"</w:t>
            </w:r>
          </w:p>
        </w:tc>
        <w:tc>
          <w:tcPr/>
          <w:p w:rsidR="00000000" w:rsidDel="00000000" w:rsidP="00000000" w:rsidRDefault="00000000" w:rsidRPr="00000000" w14:paraId="00000102">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CSPS Fair Deal Employee who at the relevant time is an active member of or eligible to participate in the CSPS under a CSPS Admission Agreement;</w:t>
            </w:r>
          </w:p>
        </w:tc>
      </w:tr>
      <w:tr>
        <w:trPr>
          <w:cantSplit w:val="0"/>
          <w:tblHeader w:val="0"/>
        </w:trPr>
        <w:tc>
          <w:tcPr/>
          <w:p w:rsidR="00000000" w:rsidDel="00000000" w:rsidP="00000000" w:rsidRDefault="00000000" w:rsidRPr="00000000" w14:paraId="00000103">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Fair Deal Employee”</w:t>
            </w:r>
          </w:p>
        </w:tc>
        <w:tc>
          <w:tcPr/>
          <w:p w:rsidR="00000000" w:rsidDel="00000000" w:rsidP="00000000" w:rsidRDefault="00000000" w:rsidRPr="00000000" w14:paraId="00000104">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Fair Deal Employee who at the Relevant Transfer Date is or becomes entitled to protection in respect of the CSPS in accordance with the provisions of New Fair Deal; </w:t>
            </w:r>
          </w:p>
        </w:tc>
      </w:tr>
      <w:tr>
        <w:trPr>
          <w:cantSplit w:val="0"/>
          <w:tblHeader w:val="0"/>
        </w:trPr>
        <w:tc>
          <w:tcPr/>
          <w:p w:rsidR="00000000" w:rsidDel="00000000" w:rsidP="00000000" w:rsidRDefault="00000000" w:rsidRPr="00000000" w14:paraId="00000105">
            <w:pPr>
              <w:spacing w:after="120" w:lineRule="auto"/>
              <w:ind w:left="709"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"CSPS"</w:t>
            </w:r>
            <w:r w:rsidDel="00000000" w:rsidR="00000000" w:rsidRPr="00000000">
              <w:rPr>
                <w:rtl w:val="0"/>
              </w:rPr>
            </w:r>
          </w:p>
        </w:tc>
        <w:tc>
          <w:tcPr/>
          <w:p w:rsidR="00000000" w:rsidDel="00000000" w:rsidP="00000000" w:rsidRDefault="00000000" w:rsidRPr="00000000" w14:paraId="00000106">
            <w:pPr>
              <w:spacing w:after="120" w:lineRule="auto"/>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r w:rsidDel="00000000" w:rsidR="00000000" w:rsidRPr="00000000">
              <w:rPr>
                <w:rtl w:val="0"/>
              </w:rPr>
            </w:r>
          </w:p>
        </w:tc>
      </w:tr>
    </w:tbl>
    <w:p w:rsidR="00000000" w:rsidDel="00000000" w:rsidP="00000000" w:rsidRDefault="00000000" w:rsidRPr="00000000" w14:paraId="00000107">
      <w:pPr>
        <w:keepNext w:val="1"/>
        <w:numPr>
          <w:ilvl w:val="0"/>
          <w:numId w:val="4"/>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ACCESS TO EQUIVALENT PENSION SCHEMES AFTER TRANSFER</w:t>
      </w:r>
      <w:r w:rsidDel="00000000" w:rsidR="00000000" w:rsidRPr="00000000">
        <w:rPr>
          <w:rtl w:val="0"/>
        </w:rPr>
      </w:r>
    </w:p>
    <w:p w:rsidR="00000000" w:rsidDel="00000000" w:rsidP="00000000" w:rsidRDefault="00000000" w:rsidRPr="00000000" w14:paraId="00000108">
      <w:pPr>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accordance with New Fair Deal, the Supplier and any Subcontractor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shall procure, and shall procure that any relevant Subcontractors shall procure, that the CSPS Fair Deal Employees continue to accrue benefits in the CSPS in accordance with the provisions governing the relevant section of the CSPS for service from (and including) the Relevant Transfer Date. </w:t>
      </w:r>
    </w:p>
    <w:p w:rsidR="00000000" w:rsidDel="00000000" w:rsidP="00000000" w:rsidRDefault="00000000" w:rsidRPr="00000000" w14:paraId="00000109">
      <w:pPr>
        <w:numPr>
          <w:ilvl w:val="1"/>
          <w:numId w:val="4"/>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2u6wntf" w:id="17"/>
      <w:bookmarkEnd w:id="17"/>
      <w:r w:rsidDel="00000000" w:rsidR="00000000" w:rsidRPr="00000000">
        <w:rPr>
          <w:rFonts w:ascii="Arial" w:cs="Arial" w:eastAsia="Arial" w:hAnsi="Arial"/>
          <w:color w:val="000000"/>
          <w:sz w:val="24"/>
          <w:szCs w:val="24"/>
          <w:rtl w:val="0"/>
        </w:rPr>
        <w:t xml:space="preserve">If the Supplier or any Subcontractor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shall procure that any relevant Subcontractor shall) at no extra cost to CCS, offer the remaining CSPS Eligible Employees membership of a pension scheme which is Broadly Comparable to the CSPS on the date those CSPS Eligible Employees ceased to participate in the CSPS in accordance with the provisions of Paragraph 11 of Part D. </w:t>
      </w:r>
    </w:p>
    <w:p w:rsidR="00000000" w:rsidDel="00000000" w:rsidP="00000000" w:rsidRDefault="00000000" w:rsidRPr="00000000" w14:paraId="000001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120" w:before="120" w:lineRule="auto"/>
        <w:rPr>
          <w:rFonts w:ascii="Arial Bold" w:cs="Arial Bold" w:eastAsia="Arial Bold" w:hAnsi="Arial Bold"/>
          <w:b w:val="1"/>
          <w:color w:val="000000"/>
          <w:sz w:val="36"/>
          <w:szCs w:val="36"/>
        </w:rPr>
      </w:pPr>
      <w:bookmarkStart w:colFirst="0" w:colLast="0" w:name="_heading=h.1rvwp1q" w:id="18"/>
      <w:bookmarkEnd w:id="18"/>
      <w:r w:rsidDel="00000000" w:rsidR="00000000" w:rsidRPr="00000000">
        <w:br w:type="page"/>
      </w: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Part E: Staff Transfer on Exit </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before="120" w:lineRule="auto"/>
        <w:rPr>
          <w:rFonts w:ascii="Arial Bold" w:cs="Arial Bold" w:eastAsia="Arial Bold" w:hAnsi="Arial Bold"/>
          <w:b w:val="1"/>
          <w:color w:val="000000"/>
          <w:sz w:val="36"/>
          <w:szCs w:val="36"/>
        </w:rPr>
      </w:pPr>
      <w:r w:rsidDel="00000000" w:rsidR="00000000" w:rsidRPr="00000000">
        <w:rPr>
          <w:rtl w:val="0"/>
        </w:rPr>
      </w:r>
    </w:p>
    <w:p w:rsidR="00000000" w:rsidDel="00000000" w:rsidP="00000000" w:rsidRDefault="00000000" w:rsidRPr="00000000" w14:paraId="0000010D">
      <w:pPr>
        <w:keepNext w:val="1"/>
        <w:numPr>
          <w:ilvl w:val="0"/>
          <w:numId w:val="8"/>
        </w:numPr>
        <w:pBdr>
          <w:top w:space="0" w:sz="0" w:val="nil"/>
          <w:left w:space="0" w:sz="0" w:val="nil"/>
          <w:bottom w:space="0" w:sz="0" w:val="nil"/>
          <w:right w:space="0" w:sz="0" w:val="nil"/>
          <w:between w:space="0" w:sz="0" w:val="nil"/>
        </w:pBdr>
        <w:spacing w:before="120" w:lineRule="auto"/>
        <w:ind w:left="709" w:hanging="709"/>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OBLIGATIONS BEFORE A STAFF TRANSFER</w:t>
      </w:r>
      <w:r w:rsidDel="00000000" w:rsidR="00000000" w:rsidRPr="00000000">
        <w:rPr>
          <w:rtl w:val="0"/>
        </w:rPr>
      </w:r>
    </w:p>
    <w:p w:rsidR="00000000" w:rsidDel="00000000" w:rsidP="00000000" w:rsidRDefault="00000000" w:rsidRPr="00000000" w14:paraId="0000010E">
      <w:pPr>
        <w:keepNext w:val="1"/>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4bvk7pj" w:id="19"/>
      <w:bookmarkEnd w:id="19"/>
      <w:r w:rsidDel="00000000" w:rsidR="00000000" w:rsidRPr="00000000">
        <w:rPr>
          <w:rFonts w:ascii="Arial" w:cs="Arial" w:eastAsia="Arial" w:hAnsi="Arial"/>
          <w:color w:val="000000"/>
          <w:sz w:val="24"/>
          <w:szCs w:val="24"/>
          <w:rtl w:val="0"/>
        </w:rPr>
        <w:t xml:space="preserve">The Supplier agrees that within 20 Working Days of the earliest of:</w:t>
      </w:r>
    </w:p>
    <w:p w:rsidR="00000000" w:rsidDel="00000000" w:rsidP="00000000" w:rsidRDefault="00000000" w:rsidRPr="00000000" w14:paraId="0000010F">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2r0uhxc" w:id="20"/>
      <w:bookmarkEnd w:id="20"/>
      <w:r w:rsidDel="00000000" w:rsidR="00000000" w:rsidRPr="00000000">
        <w:rPr>
          <w:rFonts w:ascii="Arial" w:cs="Arial" w:eastAsia="Arial" w:hAnsi="Arial"/>
          <w:color w:val="000000"/>
          <w:sz w:val="24"/>
          <w:szCs w:val="24"/>
          <w:rtl w:val="0"/>
        </w:rPr>
        <w:t xml:space="preserve">receipt of a notification from CCS of a Service Transfer or intended Service Transfer; </w:t>
      </w:r>
    </w:p>
    <w:p w:rsidR="00000000" w:rsidDel="00000000" w:rsidP="00000000" w:rsidRDefault="00000000" w:rsidRPr="00000000" w14:paraId="00000110">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1664s55" w:id="21"/>
      <w:bookmarkEnd w:id="21"/>
      <w:r w:rsidDel="00000000" w:rsidR="00000000" w:rsidRPr="00000000">
        <w:rPr>
          <w:rFonts w:ascii="Arial" w:cs="Arial" w:eastAsia="Arial" w:hAnsi="Arial"/>
          <w:color w:val="000000"/>
          <w:sz w:val="24"/>
          <w:szCs w:val="24"/>
          <w:rtl w:val="0"/>
        </w:rPr>
        <w:t xml:space="preserve">receipt of the giving of notice of early termination or any Partial Termination of the relevant Contract; </w:t>
      </w:r>
    </w:p>
    <w:p w:rsidR="00000000" w:rsidDel="00000000" w:rsidP="00000000" w:rsidRDefault="00000000" w:rsidRPr="00000000" w14:paraId="00000111">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which is 12 Months before the end of the Term; and</w:t>
      </w:r>
    </w:p>
    <w:p w:rsidR="00000000" w:rsidDel="00000000" w:rsidP="00000000" w:rsidRDefault="00000000" w:rsidRPr="00000000" w14:paraId="00000112">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receipt of a written request by CCS at any time (provided that CCS shall only be entitled to make one such request in any 6 Month period),</w:t>
      </w:r>
    </w:p>
    <w:p w:rsidR="00000000" w:rsidDel="00000000" w:rsidP="00000000" w:rsidRDefault="00000000" w:rsidRPr="00000000" w14:paraId="00000113">
      <w:pPr>
        <w:keepNext w:val="1"/>
        <w:pBdr>
          <w:top w:space="0" w:sz="0" w:val="nil"/>
          <w:left w:space="0" w:sz="0" w:val="nil"/>
          <w:bottom w:space="0" w:sz="0" w:val="nil"/>
          <w:right w:space="0" w:sz="0" w:val="nil"/>
          <w:between w:space="0" w:sz="0" w:val="nil"/>
        </w:pBdr>
        <w:tabs>
          <w:tab w:val="left" w:leader="none" w:pos="993"/>
        </w:tabs>
        <w:spacing w:after="120" w:before="12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CCS.  </w:t>
      </w:r>
    </w:p>
    <w:p w:rsidR="00000000" w:rsidDel="00000000" w:rsidP="00000000" w:rsidRDefault="00000000" w:rsidRPr="00000000" w14:paraId="00000114">
      <w:pPr>
        <w:keepNext w:val="1"/>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3q5sasy" w:id="22"/>
      <w:bookmarkEnd w:id="22"/>
      <w:r w:rsidDel="00000000" w:rsidR="00000000" w:rsidRPr="00000000">
        <w:rPr>
          <w:rFonts w:ascii="Arial" w:cs="Arial" w:eastAsia="Arial" w:hAnsi="Arial"/>
          <w:color w:val="000000"/>
          <w:sz w:val="24"/>
          <w:szCs w:val="24"/>
          <w:rtl w:val="0"/>
        </w:rPr>
        <w:t xml:space="preserve">At least 20 Working Days prior to the Service Transfer Date, the Supplier shall provide to CCS and at the direction of CCS to any Replacement Supplier and any Replacement Subcontractor:</w:t>
      </w:r>
    </w:p>
    <w:p w:rsidR="00000000" w:rsidDel="00000000" w:rsidP="00000000" w:rsidRDefault="00000000" w:rsidRPr="00000000" w14:paraId="00000115">
      <w:pPr>
        <w:keepNext w:val="1"/>
        <w:numPr>
          <w:ilvl w:val="2"/>
          <w:numId w:val="8"/>
        </w:numPr>
        <w:pBdr>
          <w:top w:space="0" w:sz="0" w:val="nil"/>
          <w:left w:space="0" w:sz="0" w:val="nil"/>
          <w:bottom w:space="0" w:sz="0" w:val="nil"/>
          <w:right w:space="0" w:sz="0" w:val="nil"/>
          <w:between w:space="0" w:sz="0" w:val="nil"/>
        </w:pBdr>
        <w:tabs>
          <w:tab w:val="left" w:leader="none" w:pos="993"/>
        </w:tabs>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Final Supplier Personnel List, which shall identify which of the Supplier Personnel are Transferring Supplier Employees; and</w:t>
      </w:r>
    </w:p>
    <w:p w:rsidR="00000000" w:rsidDel="00000000" w:rsidP="00000000" w:rsidRDefault="00000000" w:rsidRPr="00000000" w14:paraId="00000116">
      <w:pPr>
        <w:keepNext w:val="1"/>
        <w:numPr>
          <w:ilvl w:val="2"/>
          <w:numId w:val="8"/>
        </w:numPr>
        <w:pBdr>
          <w:top w:space="0" w:sz="0" w:val="nil"/>
          <w:left w:space="0" w:sz="0" w:val="nil"/>
          <w:bottom w:space="0" w:sz="0" w:val="nil"/>
          <w:right w:space="0" w:sz="0" w:val="nil"/>
          <w:between w:space="0" w:sz="0" w:val="nil"/>
        </w:pBdr>
        <w:tabs>
          <w:tab w:val="left" w:leader="none" w:pos="993"/>
        </w:tabs>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Staffing Information in relation to the Supplier’s Final Supplier Personnel List (insofar as such information has not previously been provided).</w:t>
      </w:r>
    </w:p>
    <w:p w:rsidR="00000000" w:rsidDel="00000000" w:rsidP="00000000" w:rsidRDefault="00000000" w:rsidRPr="00000000" w14:paraId="00000117">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shall be permitted to use and disclose information provided by the Supplier under Paragraphs 1.1 and 1.2 for the purpose of informing any prospective Replacement Supplier or Replacement Subcontractor. </w:t>
      </w:r>
    </w:p>
    <w:p w:rsidR="00000000" w:rsidDel="00000000" w:rsidP="00000000" w:rsidRDefault="00000000" w:rsidRPr="00000000" w14:paraId="00000118">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warrants, for the benefit of CCS, any Replacement Supplier and any Replacement Subcontractor that all information provided pursuant to Paragraphs 1.1 and 1.2 shall be true and accurate in all material respects at the time of providing the information.</w:t>
      </w:r>
    </w:p>
    <w:p w:rsidR="00000000" w:rsidDel="00000000" w:rsidP="00000000" w:rsidRDefault="00000000" w:rsidRPr="00000000" w14:paraId="00000119">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From the date of the earliest event referred to in Paragraphs 1.1.1, 1.1.2 and 1.1.3, the Supplier agrees that it shall not, and agrees to procure that each Subcontractor shall not, assign any person to the provision of the Services who is not listed on the Supplier’s Provisional Supplier Personnel List and shall not without the approval of CCS (not to be unreasonably withheld or delayed):</w:t>
      </w:r>
    </w:p>
    <w:p w:rsidR="00000000" w:rsidDel="00000000" w:rsidP="00000000" w:rsidRDefault="00000000" w:rsidRPr="00000000" w14:paraId="0000011A">
      <w:pPr>
        <w:keepNext w:val="1"/>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1B">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000000" w:rsidDel="00000000" w:rsidP="00000000" w:rsidRDefault="00000000" w:rsidRPr="00000000" w14:paraId="0000011C">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promise, propose, permit or implement any material changes to the terms and conditions of employment of the Supplier Staff (including pensions and any payments connected with the termination of employment); </w:t>
      </w:r>
    </w:p>
    <w:p w:rsidR="00000000" w:rsidDel="00000000" w:rsidP="00000000" w:rsidRDefault="00000000" w:rsidRPr="00000000" w14:paraId="0000011D">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increase the proportion of working time spent on the Services (or the relevant part of the Services) by any of the Supplier Staff save for fulfilling assignments and projects previously scheduled and agreed;</w:t>
      </w:r>
    </w:p>
    <w:p w:rsidR="00000000" w:rsidDel="00000000" w:rsidP="00000000" w:rsidRDefault="00000000" w:rsidRPr="00000000" w14:paraId="0000011E">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introduce any new contractual or customary practice concerning the making of any lump sum payment on the termination of employment of any employees listed on the Supplier's Provisional Supplier Personnel List;</w:t>
      </w:r>
    </w:p>
    <w:p w:rsidR="00000000" w:rsidDel="00000000" w:rsidP="00000000" w:rsidRDefault="00000000" w:rsidRPr="00000000" w14:paraId="0000011F">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increase or reduce the total number of employees so engaged, or deploy any other person to perform the Services (or the relevant part of the Services);</w:t>
      </w:r>
    </w:p>
    <w:p w:rsidR="00000000" w:rsidDel="00000000" w:rsidP="00000000" w:rsidRDefault="00000000" w:rsidRPr="00000000" w14:paraId="00000120">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terminate or give notice to terminate the employment or contracts of any persons on the Supplier's Provisional Supplier Personnel List save by due disciplinary process;</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993"/>
        </w:tabs>
        <w:spacing w:after="120" w:before="120" w:lineRule="auto"/>
        <w:ind w:left="720" w:hanging="720"/>
        <w:rPr>
          <w:color w:val="000000"/>
        </w:rPr>
      </w:pPr>
      <w:r w:rsidDel="00000000" w:rsidR="00000000" w:rsidRPr="00000000">
        <w:rPr>
          <w:rFonts w:ascii="Arial" w:cs="Arial" w:eastAsia="Arial" w:hAnsi="Arial"/>
          <w:color w:val="000000"/>
          <w:sz w:val="24"/>
          <w:szCs w:val="24"/>
          <w:rtl w:val="0"/>
        </w:rPr>
        <w:tab/>
        <w:t xml:space="preserve">and shall promptly notify, and procure that each Subcontractor shall promptly notify, CCS and, at the direction of CCS,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r w:rsidDel="00000000" w:rsidR="00000000" w:rsidRPr="00000000">
        <w:rPr>
          <w:rtl w:val="0"/>
        </w:rPr>
      </w:r>
    </w:p>
    <w:p w:rsidR="00000000" w:rsidDel="00000000" w:rsidP="00000000" w:rsidRDefault="00000000" w:rsidRPr="00000000" w14:paraId="00000122">
      <w:pPr>
        <w:keepNext w:val="1"/>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or around each anniversary of the Start Date and up to four times during the last 12 Months of the Term, CCS may make written requests to the Supplier for information relating to the manner in which the Services are organised.  Within 20 Working Days of receipt of a written request the Supplier shall provide, and shall procure that each Subcontractor shall provide, to CCS such information as CCS may reasonably require relating to the manner in which the Services are organised, which shall include:</w:t>
      </w:r>
    </w:p>
    <w:p w:rsidR="00000000" w:rsidDel="00000000" w:rsidP="00000000" w:rsidRDefault="00000000" w:rsidRPr="00000000" w14:paraId="00000123">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numbers of employees engaged in providing the Services;</w:t>
      </w:r>
    </w:p>
    <w:p w:rsidR="00000000" w:rsidDel="00000000" w:rsidP="00000000" w:rsidRDefault="00000000" w:rsidRPr="00000000" w14:paraId="00000124">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percentage of time spent by each employee engaged in providing the Services;</w:t>
      </w:r>
    </w:p>
    <w:p w:rsidR="00000000" w:rsidDel="00000000" w:rsidP="00000000" w:rsidRDefault="00000000" w:rsidRPr="00000000" w14:paraId="00000125">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extent to which each employee qualifies for membership of any of the Statutory Schemes or any Broadly Comparable scheme set up pursuant to the provisions of any of the Annexes to Part D (Pensions) (as appropriate); and</w:t>
      </w:r>
    </w:p>
    <w:p w:rsidR="00000000" w:rsidDel="00000000" w:rsidP="00000000" w:rsidRDefault="00000000" w:rsidRPr="00000000" w14:paraId="00000126">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description of the nature of the work undertaken by each employee by location.</w:t>
      </w:r>
    </w:p>
    <w:p w:rsidR="00000000" w:rsidDel="00000000" w:rsidP="00000000" w:rsidRDefault="00000000" w:rsidRPr="00000000" w14:paraId="00000127">
      <w:pPr>
        <w:keepNext w:val="1"/>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and shall procure that each Subcontractor shall provide, all reasonable cooperation and assistance to CCS, any Replacement Supplier and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CCS or, at the direction of CCS, to any Replacement Supplier or Replacement Subcontractor, in respect of each person on the Supplier's Final Supplier Personnel List who is a Transferring Supplier Employee: </w:t>
      </w:r>
    </w:p>
    <w:p w:rsidR="00000000" w:rsidDel="00000000" w:rsidP="00000000" w:rsidRDefault="00000000" w:rsidRPr="00000000" w14:paraId="00000128">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most recent month's copy pay slip data;</w:t>
      </w:r>
    </w:p>
    <w:p w:rsidR="00000000" w:rsidDel="00000000" w:rsidP="00000000" w:rsidRDefault="00000000" w:rsidRPr="00000000" w14:paraId="00000129">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cumulative pay for tax and pension purposes;</w:t>
      </w:r>
    </w:p>
    <w:p w:rsidR="00000000" w:rsidDel="00000000" w:rsidP="00000000" w:rsidRDefault="00000000" w:rsidRPr="00000000" w14:paraId="0000012A">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cumulative tax paid;</w:t>
      </w:r>
    </w:p>
    <w:p w:rsidR="00000000" w:rsidDel="00000000" w:rsidP="00000000" w:rsidRDefault="00000000" w:rsidRPr="00000000" w14:paraId="0000012B">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tax code;</w:t>
      </w:r>
    </w:p>
    <w:p w:rsidR="00000000" w:rsidDel="00000000" w:rsidP="00000000" w:rsidRDefault="00000000" w:rsidRPr="00000000" w14:paraId="0000012C">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any voluntary deductions from pay; and</w:t>
      </w:r>
    </w:p>
    <w:p w:rsidR="00000000" w:rsidDel="00000000" w:rsidP="00000000" w:rsidRDefault="00000000" w:rsidRPr="00000000" w14:paraId="0000012D">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bank/building society account details for payroll purposes.</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before="120" w:lineRule="auto"/>
        <w:ind w:left="221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F">
      <w:pPr>
        <w:keepNext w:val="1"/>
        <w:numPr>
          <w:ilvl w:val="0"/>
          <w:numId w:val="8"/>
        </w:numPr>
        <w:pBdr>
          <w:top w:space="0" w:sz="0" w:val="nil"/>
          <w:left w:space="0" w:sz="0" w:val="nil"/>
          <w:bottom w:space="0" w:sz="0" w:val="nil"/>
          <w:right w:space="0" w:sz="0" w:val="nil"/>
          <w:between w:space="0" w:sz="0" w:val="nil"/>
        </w:pBdr>
        <w:spacing w:before="120" w:lineRule="auto"/>
        <w:ind w:left="720" w:hanging="72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STAFF TRANSFER WHEN THE CONTRACT ENDS</w:t>
      </w:r>
      <w:r w:rsidDel="00000000" w:rsidR="00000000" w:rsidRPr="00000000">
        <w:rPr>
          <w:rtl w:val="0"/>
        </w:rPr>
      </w:r>
    </w:p>
    <w:p w:rsidR="00000000" w:rsidDel="00000000" w:rsidP="00000000" w:rsidRDefault="00000000" w:rsidRPr="00000000" w14:paraId="00000130">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or a Replacement Subcontractor.  Such change in the identity of the supplier of such services may constitute a Relevant Transfer to which the Employment Regulations will apply. CCS and the Supplier agree that, as a result of the operation of the Employment Regulations, where a Relevant Transfer occurs, the contracts of employment between the Supplier and the Transferring Supplier Employees (except in relation to any contract terms disapplied through the operation of regulation 10(2) of the Employment Regulations) will have effect on and from the Service Transfer Date as if originally made between the Replacement Supplier or Replacement Subcontractor (as the case may be) and each such Transferring Supplier Employee.</w:t>
      </w:r>
    </w:p>
    <w:p w:rsidR="00000000" w:rsidDel="00000000" w:rsidP="00000000" w:rsidRDefault="00000000" w:rsidRPr="00000000" w14:paraId="00000131">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outgoings, wages, accrued but untaken holiday pay, bonuses, commissions, payments of PAYE, national insurance contributions and pension contributions and all such sums due as a result of any Fair Deal Employee’s participation in any of the Schemes which in any case are attributable in whole or in part to the period ending on (and including) the Service Transfer Date) and any necessary apportionments in respect of any periodic payments shall be made between: (i) the Supplier or the relevant Subcontractor (as the case may be); and (ii) the Replacement Supplier or Replacement Subcontractor (as the case may be).  </w:t>
      </w:r>
    </w:p>
    <w:p w:rsidR="00000000" w:rsidDel="00000000" w:rsidP="00000000" w:rsidRDefault="00000000" w:rsidRPr="00000000" w14:paraId="00000132">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25b2l0r" w:id="23"/>
      <w:bookmarkEnd w:id="23"/>
      <w:r w:rsidDel="00000000" w:rsidR="00000000" w:rsidRPr="00000000">
        <w:rPr>
          <w:rFonts w:ascii="Arial" w:cs="Arial" w:eastAsia="Arial" w:hAnsi="Arial"/>
          <w:color w:val="000000"/>
          <w:sz w:val="24"/>
          <w:szCs w:val="24"/>
          <w:rtl w:val="0"/>
        </w:rPr>
        <w:t xml:space="preserve">Subject to Paragraph 2.4, the Supplier shall indemnify CCS and any Replacement Supplier or Replacement Subcontractor against any Employee Liabilities arising from or as a result of: </w:t>
      </w:r>
    </w:p>
    <w:p w:rsidR="00000000" w:rsidDel="00000000" w:rsidP="00000000" w:rsidRDefault="00000000" w:rsidRPr="00000000" w14:paraId="00000133">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000000" w:rsidDel="00000000" w:rsidP="00000000" w:rsidRDefault="00000000" w:rsidRPr="00000000" w14:paraId="00000134">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breach or non-observance by the Supplier or any Subcontractor occurring on or before the Service Transfer Date of: </w:t>
      </w:r>
    </w:p>
    <w:p w:rsidR="00000000" w:rsidDel="00000000" w:rsidP="00000000" w:rsidRDefault="00000000" w:rsidRPr="00000000" w14:paraId="00000135">
      <w:pPr>
        <w:pStyle w:val="Heading5"/>
        <w:numPr>
          <w:ilvl w:val="4"/>
          <w:numId w:val="14"/>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or</w:t>
      </w:r>
    </w:p>
    <w:p w:rsidR="00000000" w:rsidDel="00000000" w:rsidP="00000000" w:rsidRDefault="00000000" w:rsidRPr="00000000" w14:paraId="00000136">
      <w:pPr>
        <w:pStyle w:val="Heading5"/>
        <w:numPr>
          <w:ilvl w:val="4"/>
          <w:numId w:val="14"/>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custom or practice with a trade union or staff association in respect of any Transferring Supplier Employees which the Supplier or any Subcontractor is contractually bound to honour;</w:t>
      </w:r>
    </w:p>
    <w:p w:rsidR="00000000" w:rsidDel="00000000" w:rsidP="00000000" w:rsidRDefault="00000000" w:rsidRPr="00000000" w14:paraId="00000137">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kgcv8k" w:id="24"/>
      <w:bookmarkEnd w:id="24"/>
      <w:r w:rsidDel="00000000" w:rsidR="00000000" w:rsidRPr="00000000">
        <w:rPr>
          <w:rFonts w:ascii="Arial" w:cs="Arial" w:eastAsia="Arial" w:hAnsi="Arial"/>
          <w:color w:val="000000"/>
          <w:sz w:val="24"/>
          <w:szCs w:val="24"/>
          <w:rtl w:val="0"/>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000000" w:rsidDel="00000000" w:rsidP="00000000" w:rsidRDefault="00000000" w:rsidRPr="00000000" w14:paraId="00000138">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proceeding, claim or demand by HMRC or any other statutory authority in respect of any financial obligation including, but not limited to, PAYE and primary and secondary national insurance contributions:</w:t>
      </w:r>
    </w:p>
    <w:p w:rsidR="00000000" w:rsidDel="00000000" w:rsidP="00000000" w:rsidRDefault="00000000" w:rsidRPr="00000000" w14:paraId="00000139">
      <w:pPr>
        <w:pStyle w:val="Heading5"/>
        <w:numPr>
          <w:ilvl w:val="4"/>
          <w:numId w:val="11"/>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Transferring Supplier Employee, to the extent that the proceeding, claim or demand by HMRC or such other statutory authority relates to financial obligations arising on or before the Service Transfer Date; and</w:t>
      </w:r>
    </w:p>
    <w:p w:rsidR="00000000" w:rsidDel="00000000" w:rsidP="00000000" w:rsidRDefault="00000000" w:rsidRPr="00000000" w14:paraId="0000013A">
      <w:pPr>
        <w:pStyle w:val="Heading5"/>
        <w:numPr>
          <w:ilvl w:val="4"/>
          <w:numId w:val="11"/>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employee who is not identified in the Supplier’s Final Supplier Personnel List, and in respect of whom it is later alleged or determined that the Employment Regulations applied so as to transfer his/her employment from the Supplier to CCS or any Replacement Supplier or Replacement Subcontractor, to the extent that the proceeding, claim or demand by HMRC or such other statutory authority relates to financial obligations arising on or before the Service Transfer Date;</w:t>
      </w:r>
    </w:p>
    <w:p w:rsidR="00000000" w:rsidDel="00000000" w:rsidP="00000000" w:rsidRDefault="00000000" w:rsidRPr="00000000" w14:paraId="0000013B">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000000" w:rsidDel="00000000" w:rsidP="00000000" w:rsidRDefault="00000000" w:rsidRPr="00000000" w14:paraId="0000013C">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any person employed or formerly employed by the Supplier or any Subcontractor other than a Transferring Supplier Employee identified in the Supplier’s Final Supplier Personnel List for whom it is alleged CCS or any Replacement Supplier or Replacement Subcontractor may be liable by virtue of the relevant Contract or the Employment Regulations; and</w:t>
      </w:r>
    </w:p>
    <w:p w:rsidR="00000000" w:rsidDel="00000000" w:rsidP="00000000" w:rsidRDefault="00000000" w:rsidRPr="00000000" w14:paraId="0000013D">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CCS or any Replacement Supplier or Replacement Subcontractor to comply with regulation 13(4) of the Employment Regulations.</w:t>
      </w:r>
    </w:p>
    <w:p w:rsidR="00000000" w:rsidDel="00000000" w:rsidP="00000000" w:rsidRDefault="00000000" w:rsidRPr="00000000" w14:paraId="0000013E">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34g0dwd" w:id="25"/>
      <w:bookmarkEnd w:id="25"/>
      <w:r w:rsidDel="00000000" w:rsidR="00000000" w:rsidRPr="00000000">
        <w:rPr>
          <w:rFonts w:ascii="Arial" w:cs="Arial" w:eastAsia="Arial" w:hAnsi="Arial"/>
          <w:color w:val="000000"/>
          <w:sz w:val="24"/>
          <w:szCs w:val="24"/>
          <w:rtl w:val="0"/>
        </w:rPr>
        <w:t xml:space="preserve">The indemnities in Paragraph 2.3 shall not apply to the extent that the Employee Liabilities arise or are attributable to any act or omission of any Replacement Supplier or Replacement Subcontractor, whether occurring or having its origin before, on or after the Service Transfer Date, including any Employee Liabilities: </w:t>
      </w:r>
    </w:p>
    <w:p w:rsidR="00000000" w:rsidDel="00000000" w:rsidP="00000000" w:rsidRDefault="00000000" w:rsidRPr="00000000" w14:paraId="0000013F">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arising out of the resignation of any Transferring Supplier Employee before the Service Transfer Date on account of substantial detrimental changes to his/her working conditions proposed by any Replacement Supplier or Replacement Subcontractor to occur in the period on or after the Service Transfer Date; or</w:t>
      </w:r>
    </w:p>
    <w:p w:rsidR="00000000" w:rsidDel="00000000" w:rsidP="00000000" w:rsidRDefault="00000000" w:rsidRPr="00000000" w14:paraId="00000140">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arising from any Replacement Supplier’s or Replacement Subcontractor’s failure to comply with its obligations under the Employment Regulations.</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before="120" w:lineRule="auto"/>
        <w:ind w:left="1134" w:hanging="1080"/>
        <w:rPr>
          <w:color w:val="000000"/>
        </w:rPr>
      </w:pPr>
      <w:r w:rsidDel="00000000" w:rsidR="00000000" w:rsidRPr="00000000">
        <w:rPr>
          <w:rtl w:val="0"/>
        </w:rPr>
      </w:r>
    </w:p>
    <w:p w:rsidR="00000000" w:rsidDel="00000000" w:rsidP="00000000" w:rsidRDefault="00000000" w:rsidRPr="00000000" w14:paraId="00000142">
      <w:pPr>
        <w:keepNext w:val="1"/>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1jlao46" w:id="26"/>
      <w:bookmarkEnd w:id="26"/>
      <w:r w:rsidDel="00000000" w:rsidR="00000000" w:rsidRPr="00000000">
        <w:rPr>
          <w:rFonts w:ascii="Arial" w:cs="Arial" w:eastAsia="Arial" w:hAnsi="Arial"/>
          <w:color w:val="000000"/>
          <w:sz w:val="24"/>
          <w:szCs w:val="24"/>
          <w:rtl w:val="0"/>
        </w:rPr>
        <w:t xml:space="preserve">If any person who is not identified in the Supplier's Final Supplier Personnel List claims, or it is determined in relation to any employees of the Supplier, that his/her contract of employment has been transferred from the Supplier to any Replacement Supplier or Replacement Subcontractor pursuant to the Employment Regulations, then:</w:t>
      </w:r>
    </w:p>
    <w:p w:rsidR="00000000" w:rsidDel="00000000" w:rsidP="00000000" w:rsidRDefault="00000000" w:rsidRPr="00000000" w14:paraId="00000143">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43ky6rz" w:id="27"/>
      <w:bookmarkEnd w:id="27"/>
      <w:r w:rsidDel="00000000" w:rsidR="00000000" w:rsidRPr="00000000">
        <w:rPr>
          <w:rFonts w:ascii="Arial" w:cs="Arial" w:eastAsia="Arial" w:hAnsi="Arial"/>
          <w:color w:val="000000"/>
          <w:sz w:val="24"/>
          <w:szCs w:val="24"/>
          <w:rtl w:val="0"/>
        </w:rPr>
        <w:t xml:space="preserve">CCS shall procure that the Replacement Supplier or Replacement Subcontractor (as the case may be) will, within 5 Working Days of becoming aware of that fact, notify CCS and the Supplier in writing; and </w:t>
      </w:r>
    </w:p>
    <w:p w:rsidR="00000000" w:rsidDel="00000000" w:rsidP="00000000" w:rsidRDefault="00000000" w:rsidRPr="00000000" w14:paraId="00000144">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2iq8gzs" w:id="28"/>
      <w:bookmarkEnd w:id="28"/>
      <w:r w:rsidDel="00000000" w:rsidR="00000000" w:rsidRPr="00000000">
        <w:rPr>
          <w:rFonts w:ascii="Arial" w:cs="Arial" w:eastAsia="Arial" w:hAnsi="Arial"/>
          <w:color w:val="000000"/>
          <w:sz w:val="24"/>
          <w:szCs w:val="24"/>
          <w:rtl w:val="0"/>
        </w:rPr>
        <w:t xml:space="preserve">the Supplier may offer (or may procure that a Subcontractor may offer) employment to such person, or take such other reasonable steps as it considers appropriate to deal with the matter provided always that such steps are in compliance with Law, within 15 Working Days of receipt of notice from the Replacement Supplier or Replacement Subcontractor. </w:t>
      </w:r>
    </w:p>
    <w:p w:rsidR="00000000" w:rsidDel="00000000" w:rsidP="00000000" w:rsidRDefault="00000000" w:rsidRPr="00000000" w14:paraId="00000145">
      <w:pPr>
        <w:keepNext w:val="1"/>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such offer is accepted, or if the situation has otherwise been resolved by the Supplier or a Subcontractor, CCS shall procure that the Replacement Supplier shall, or that the Replacement Supplier shall procure that the relevant Replacement Subcontractor shall, immediately release or procure the release of that person from his/her employment or alleged employment.</w:t>
      </w:r>
    </w:p>
    <w:p w:rsidR="00000000" w:rsidDel="00000000" w:rsidP="00000000" w:rsidRDefault="00000000" w:rsidRPr="00000000" w14:paraId="00000146">
      <w:pPr>
        <w:keepNext w:val="1"/>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xvir7l" w:id="29"/>
      <w:bookmarkEnd w:id="29"/>
      <w:r w:rsidDel="00000000" w:rsidR="00000000" w:rsidRPr="00000000">
        <w:rPr>
          <w:rFonts w:ascii="Arial" w:cs="Arial" w:eastAsia="Arial" w:hAnsi="Arial"/>
          <w:color w:val="000000"/>
          <w:sz w:val="24"/>
          <w:szCs w:val="24"/>
          <w:rtl w:val="0"/>
        </w:rPr>
        <w:t xml:space="preserve">If after the 15 Working Day period specified in Paragraph 2.5.2 has elapsed: </w:t>
      </w:r>
    </w:p>
    <w:p w:rsidR="00000000" w:rsidDel="00000000" w:rsidP="00000000" w:rsidRDefault="00000000" w:rsidRPr="00000000" w14:paraId="00000147">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such offer has been made; </w:t>
      </w:r>
    </w:p>
    <w:p w:rsidR="00000000" w:rsidDel="00000000" w:rsidP="00000000" w:rsidRDefault="00000000" w:rsidRPr="00000000" w14:paraId="00000148">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offer has been made but not accepted; or </w:t>
      </w:r>
    </w:p>
    <w:p w:rsidR="00000000" w:rsidDel="00000000" w:rsidP="00000000" w:rsidRDefault="00000000" w:rsidRPr="00000000" w14:paraId="00000149">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situation has not otherwise been resolved</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Rule="auto"/>
        <w:ind w:left="709" w:firstLine="10.99999999999994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shall advise the Replacement Supplier or Replacement Subcontractor (as the case may be) that it may within 5 Working Days give notice to terminate the employment or alleged employment of such person;</w:t>
      </w:r>
    </w:p>
    <w:p w:rsidR="00000000" w:rsidDel="00000000" w:rsidP="00000000" w:rsidRDefault="00000000" w:rsidRPr="00000000" w14:paraId="0000014B">
      <w:pPr>
        <w:keepNext w:val="1"/>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the relevant Replacement Supplier or Replacement Subcontractor acting in accordance with the provisions of Paragraphs 2.5 to 2.7 and in accordance with all applicable proper employment procedures set out in applicable Law and subject to Paragraph 2.9 below, the Supplier will indemnify the Replacement Supplier or Replacement Subcontractor (as the case may be) against all Employee Liabilities arising out of the termination of the employment of any of the Supplier's  employees pursuant to the provisions of Paragraph 2.7 provided that the Replacement Supplier takes, or shall procure that the relevant Replacement Subcontractor takes, all reasonable steps to minimise any such Employee Liabilities. </w:t>
      </w:r>
    </w:p>
    <w:p w:rsidR="00000000" w:rsidDel="00000000" w:rsidP="00000000" w:rsidRDefault="00000000" w:rsidRPr="00000000" w14:paraId="0000014C">
      <w:pPr>
        <w:keepNext w:val="1"/>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3hv69ve" w:id="30"/>
      <w:bookmarkEnd w:id="30"/>
      <w:r w:rsidDel="00000000" w:rsidR="00000000" w:rsidRPr="00000000">
        <w:rPr>
          <w:rFonts w:ascii="Arial" w:cs="Arial" w:eastAsia="Arial" w:hAnsi="Arial"/>
          <w:color w:val="000000"/>
          <w:sz w:val="24"/>
          <w:szCs w:val="24"/>
          <w:rtl w:val="0"/>
        </w:rPr>
        <w:t xml:space="preserve">The indemnity in Paragraph 2.8: </w:t>
      </w:r>
    </w:p>
    <w:p w:rsidR="00000000" w:rsidDel="00000000" w:rsidP="00000000" w:rsidRDefault="00000000" w:rsidRPr="00000000" w14:paraId="0000014D">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shall not apply to:</w:t>
      </w:r>
    </w:p>
    <w:p w:rsidR="00000000" w:rsidDel="00000000" w:rsidP="00000000" w:rsidRDefault="00000000" w:rsidRPr="00000000" w14:paraId="0000014E">
      <w:pPr>
        <w:numPr>
          <w:ilvl w:val="3"/>
          <w:numId w:val="8"/>
        </w:numPr>
        <w:pBdr>
          <w:top w:space="0" w:sz="0" w:val="nil"/>
          <w:left w:space="0" w:sz="0" w:val="nil"/>
          <w:bottom w:space="0" w:sz="0" w:val="nil"/>
          <w:right w:space="0" w:sz="0" w:val="nil"/>
          <w:between w:space="0" w:sz="0" w:val="nil"/>
        </w:pBdr>
        <w:spacing w:after="120" w:before="120" w:lineRule="auto"/>
        <w:ind w:left="288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for: </w:t>
      </w:r>
    </w:p>
    <w:p w:rsidR="00000000" w:rsidDel="00000000" w:rsidP="00000000" w:rsidRDefault="00000000" w:rsidRPr="00000000" w14:paraId="0000014F">
      <w:pPr>
        <w:numPr>
          <w:ilvl w:val="5"/>
          <w:numId w:val="8"/>
        </w:numPr>
        <w:pBdr>
          <w:top w:space="0" w:sz="0" w:val="nil"/>
          <w:left w:space="0" w:sz="0" w:val="nil"/>
          <w:bottom w:space="0" w:sz="0" w:val="nil"/>
          <w:right w:space="0" w:sz="0" w:val="nil"/>
          <w:between w:space="0" w:sz="0" w:val="nil"/>
        </w:pBdr>
        <w:ind w:left="43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discrimination, including on the grounds of sex, race, disability, age, gender reassignment, marriage or civil partnership, pregnancy or maternity, sexual orientation, or religion or belief; or</w:t>
      </w:r>
    </w:p>
    <w:p w:rsidR="00000000" w:rsidDel="00000000" w:rsidP="00000000" w:rsidRDefault="00000000" w:rsidRPr="00000000" w14:paraId="00000150">
      <w:pPr>
        <w:numPr>
          <w:ilvl w:val="5"/>
          <w:numId w:val="8"/>
        </w:numPr>
        <w:pBdr>
          <w:top w:space="0" w:sz="0" w:val="nil"/>
          <w:left w:space="0" w:sz="0" w:val="nil"/>
          <w:bottom w:space="0" w:sz="0" w:val="nil"/>
          <w:right w:space="0" w:sz="0" w:val="nil"/>
          <w:between w:space="0" w:sz="0" w:val="nil"/>
        </w:pBdr>
        <w:ind w:left="43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equal pay or compensation for less favourable treatment of part-time workers or fixed-term employees, </w:t>
      </w:r>
    </w:p>
    <w:p w:rsidR="00000000" w:rsidDel="00000000" w:rsidP="00000000" w:rsidRDefault="00000000" w:rsidRPr="00000000" w14:paraId="00000151">
      <w:pPr>
        <w:pBdr>
          <w:top w:space="0" w:sz="0" w:val="nil"/>
          <w:left w:space="0" w:sz="0" w:val="nil"/>
          <w:bottom w:space="0" w:sz="0" w:val="nil"/>
          <w:right w:space="0" w:sz="0" w:val="nil"/>
          <w:between w:space="0" w:sz="0" w:val="nil"/>
        </w:pBdr>
        <w:ind w:left="36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any case in relation to any alleged act or omission of any Replacement Supplier or Replacement Subcontractor; or</w:t>
      </w:r>
    </w:p>
    <w:p w:rsidR="00000000" w:rsidDel="00000000" w:rsidP="00000000" w:rsidRDefault="00000000" w:rsidRPr="00000000" w14:paraId="00000152">
      <w:pPr>
        <w:numPr>
          <w:ilvl w:val="3"/>
          <w:numId w:val="8"/>
        </w:numPr>
        <w:pBdr>
          <w:top w:space="0" w:sz="0" w:val="nil"/>
          <w:left w:space="0" w:sz="0" w:val="nil"/>
          <w:bottom w:space="0" w:sz="0" w:val="nil"/>
          <w:right w:space="0" w:sz="0" w:val="nil"/>
          <w:between w:space="0" w:sz="0" w:val="nil"/>
        </w:pBdr>
        <w:spacing w:after="120" w:before="120" w:lineRule="auto"/>
        <w:ind w:left="288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that the termination of employment was unfair because the relevant Replacement Supplier or Replacement Subcontractor neglected to follow a fair dismissal procedure; and </w:t>
      </w:r>
    </w:p>
    <w:p w:rsidR="00000000" w:rsidDel="00000000" w:rsidP="00000000" w:rsidRDefault="00000000" w:rsidRPr="00000000" w14:paraId="00000153">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bookmarkStart w:colFirst="0" w:colLast="0" w:name="_heading=h.1x0gk37" w:id="31"/>
      <w:bookmarkEnd w:id="31"/>
      <w:r w:rsidDel="00000000" w:rsidR="00000000" w:rsidRPr="00000000">
        <w:rPr>
          <w:rFonts w:ascii="Arial" w:cs="Arial" w:eastAsia="Arial" w:hAnsi="Arial"/>
          <w:color w:val="000000"/>
          <w:sz w:val="24"/>
          <w:szCs w:val="24"/>
          <w:rtl w:val="0"/>
        </w:rPr>
        <w:t xml:space="preserve">shall apply only where the notification referred to in Paragraph 2.5.1 is made by the relevant Replacement Supplier or Replacement Subcontractor to the Supplier within 6 months of the applicable Service Transfer Date.</w:t>
      </w:r>
    </w:p>
    <w:p w:rsidR="00000000" w:rsidDel="00000000" w:rsidP="00000000" w:rsidRDefault="00000000" w:rsidRPr="00000000" w14:paraId="00000154">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such person as is described in Paragraph 2.5 is neither re-employed by the Supplier or any Subcontractor nor dismissed by the relevant Replacement Supplier or Replacement Subcontractor within the timescales set out in Paragraphs 2.5 to 2.7, such person shall be treated as a Transferring Supplier Employee.</w:t>
      </w:r>
    </w:p>
    <w:p w:rsidR="00000000" w:rsidDel="00000000" w:rsidP="00000000" w:rsidRDefault="00000000" w:rsidRPr="00000000" w14:paraId="00000155">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comply, and shall procure that each Subcontractor shall comply, with all their respective obligations under the Employment Regulations and shall perform and discharge, and shall procure that each Subcontractor shall perform and discharge, all their respective obligations in respect of any person identified in the Supplier’s Final Supplier Personnel List before and on the Service Transfer Date (including the payment of all remuneration, benefits, entitlements, outgoings, wages, accrued but untaken holiday pay, bonuses, commissions, payments of PAYE, national insurance contributions and pension contributions and such sums as may be due as a result of any Fair Deal Employee’s participation in any of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000000" w:rsidDel="00000000" w:rsidP="00000000" w:rsidRDefault="00000000" w:rsidRPr="00000000" w14:paraId="00000156">
      <w:pPr>
        <w:pStyle w:val="Heading4"/>
        <w:numPr>
          <w:ilvl w:val="3"/>
          <w:numId w:val="5"/>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or any relevant Subcontractor; and</w:t>
      </w:r>
    </w:p>
    <w:p w:rsidR="00000000" w:rsidDel="00000000" w:rsidP="00000000" w:rsidRDefault="00000000" w:rsidRPr="00000000" w14:paraId="00000157">
      <w:pPr>
        <w:pStyle w:val="Heading4"/>
        <w:numPr>
          <w:ilvl w:val="3"/>
          <w:numId w:val="5"/>
        </w:numPr>
        <w:pBdr>
          <w:top w:space="0" w:sz="0" w:val="nil"/>
          <w:left w:space="0" w:sz="0" w:val="nil"/>
          <w:bottom w:space="0" w:sz="0" w:val="nil"/>
          <w:right w:space="0" w:sz="0" w:val="nil"/>
          <w:between w:space="0" w:sz="0" w:val="nil"/>
        </w:pBdr>
        <w:tabs>
          <w:tab w:val="left" w:leader="none" w:pos="993"/>
        </w:tabs>
        <w:spacing w:after="120" w:before="120" w:lineRule="auto"/>
        <w:ind w:left="720" w:hanging="10.999999999999943"/>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relevant Replacement Supplier or Replacement Subcontractor.</w:t>
      </w:r>
      <w:r w:rsidDel="00000000" w:rsidR="00000000" w:rsidRPr="00000000">
        <w:rPr>
          <w:rtl w:val="0"/>
        </w:rPr>
      </w:r>
    </w:p>
    <w:p w:rsidR="00000000" w:rsidDel="00000000" w:rsidP="00000000" w:rsidRDefault="00000000" w:rsidRPr="00000000" w14:paraId="00000158">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4h042r0" w:id="32"/>
      <w:bookmarkEnd w:id="32"/>
      <w:r w:rsidDel="00000000" w:rsidR="00000000" w:rsidRPr="00000000">
        <w:rPr>
          <w:rFonts w:ascii="Arial" w:cs="Arial" w:eastAsia="Arial" w:hAnsi="Arial"/>
          <w:color w:val="000000"/>
          <w:sz w:val="24"/>
          <w:szCs w:val="24"/>
          <w:rtl w:val="0"/>
        </w:rPr>
        <w:t xml:space="preserve">The Supplier shall, and shall procure that each Subcontractor shall, promptly provide CCS and any Replacement Supplier or Replacement Subcontractor, in writing, with such information as is necessary to enable CCS and that Replacement Supplier or Replacement Subcontractor to carry out their respective duties under regulation 13 of the Employment Regulations. CCS shall procure that any Replacement Supplier shall, and that any Replacement Supplier shall procure that any relevant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000000" w:rsidDel="00000000" w:rsidP="00000000" w:rsidRDefault="00000000" w:rsidRPr="00000000" w14:paraId="00000159">
      <w:pPr>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720" w:hanging="720"/>
        <w:rPr>
          <w:rFonts w:ascii="Arial" w:cs="Arial" w:eastAsia="Arial" w:hAnsi="Arial"/>
          <w:color w:val="000000"/>
          <w:sz w:val="24"/>
          <w:szCs w:val="24"/>
        </w:rPr>
      </w:pPr>
      <w:bookmarkStart w:colFirst="0" w:colLast="0" w:name="_heading=h.2w5ecyt" w:id="33"/>
      <w:bookmarkEnd w:id="33"/>
      <w:r w:rsidDel="00000000" w:rsidR="00000000" w:rsidRPr="00000000">
        <w:rPr>
          <w:rFonts w:ascii="Arial" w:cs="Arial" w:eastAsia="Arial" w:hAnsi="Arial"/>
          <w:color w:val="000000"/>
          <w:sz w:val="24"/>
          <w:szCs w:val="24"/>
          <w:rtl w:val="0"/>
        </w:rPr>
        <w:t xml:space="preserve">Subject to Paragraph 2.14, CCS shall procure that each Replacement Supplier indemnifies the Supplier on its own behalf and on behalf of its Replacement Subcontractors (if any) against any Employee Liabilities arising from or as a result of: </w:t>
      </w:r>
    </w:p>
    <w:p w:rsidR="00000000" w:rsidDel="00000000" w:rsidP="00000000" w:rsidRDefault="00000000" w:rsidRPr="00000000" w14:paraId="0000015A">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 or omission of the Replacement Supplier or any such Replacement Subcontractor in respect of any Transferring Supplier Employee in the Supplier’s Final Supplier Personnel List or any appropriate employee representative (as defined in the Employment Regulations) of any such Transferring Supplier Employee; </w:t>
      </w:r>
    </w:p>
    <w:p w:rsidR="00000000" w:rsidDel="00000000" w:rsidP="00000000" w:rsidRDefault="00000000" w:rsidRPr="00000000" w14:paraId="0000015B">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breach or non-observance by the Replacement Supplier or any such Replacement Subcontractor on or after the Service Transfer Date of: </w:t>
      </w:r>
    </w:p>
    <w:p w:rsidR="00000000" w:rsidDel="00000000" w:rsidP="00000000" w:rsidRDefault="00000000" w:rsidRPr="00000000" w14:paraId="0000015C">
      <w:pPr>
        <w:pStyle w:val="Heading5"/>
        <w:numPr>
          <w:ilvl w:val="4"/>
          <w:numId w:val="5"/>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identified in the Supplier’s Final Supplier Personnel List; or </w:t>
      </w:r>
    </w:p>
    <w:p w:rsidR="00000000" w:rsidDel="00000000" w:rsidP="00000000" w:rsidRDefault="00000000" w:rsidRPr="00000000" w14:paraId="0000015D">
      <w:pPr>
        <w:pStyle w:val="Heading5"/>
        <w:numPr>
          <w:ilvl w:val="4"/>
          <w:numId w:val="5"/>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custom or practice in respect of any Transferring Supplier Employees identified in the Supplier’s Final Supplier Personnel List which the Replacement Supplier or any such Replacement Subcontractor is contractually bound to honour;</w:t>
      </w:r>
    </w:p>
    <w:p w:rsidR="00000000" w:rsidDel="00000000" w:rsidP="00000000" w:rsidRDefault="00000000" w:rsidRPr="00000000" w14:paraId="0000015E">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by any trade union or other body or person representing any Transferring Supplier Employees identified in the Supplier’s Final Supplier Personnel List arising from or connected with any failure by the Replacement Supplier or any such Replacement Subcontractor to comply with any legal obligation to such trade union, body or person arising on or after the Service Transfer Date;</w:t>
      </w:r>
    </w:p>
    <w:p w:rsidR="00000000" w:rsidDel="00000000" w:rsidP="00000000" w:rsidRDefault="00000000" w:rsidRPr="00000000" w14:paraId="0000015F">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proposal by the Replacement Supplier or any such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with such proposed changes; </w:t>
      </w:r>
    </w:p>
    <w:p w:rsidR="00000000" w:rsidDel="00000000" w:rsidP="00000000" w:rsidRDefault="00000000" w:rsidRPr="00000000" w14:paraId="00000160">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action undertaken by the Replacement Supplier or any such Replacement Subcontractor in respect of, or any statement communicated by the Replacement Supplier or any such Replacement Subcontractor to, any Transferring Supplier Employee identified in the Supplier’s Final Supplier Personnel List on or before the Service Transfer Date regarding the Relevant Transfer which has not been agreed in advance with CCS and the Supplier in writing;</w:t>
      </w:r>
    </w:p>
    <w:p w:rsidR="00000000" w:rsidDel="00000000" w:rsidP="00000000" w:rsidRDefault="00000000" w:rsidRPr="00000000" w14:paraId="00000161">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proceeding, claim or demand by HMRC or any other statutory authority in respect of any financial obligation including, but not limited to, PAYE and primary and secondary national insurance contributions:</w:t>
      </w:r>
    </w:p>
    <w:p w:rsidR="00000000" w:rsidDel="00000000" w:rsidP="00000000" w:rsidRDefault="00000000" w:rsidRPr="00000000" w14:paraId="00000162">
      <w:pPr>
        <w:pStyle w:val="Heading5"/>
        <w:numPr>
          <w:ilvl w:val="4"/>
          <w:numId w:val="7"/>
        </w:numPr>
        <w:ind w:left="3544" w:hanging="1276"/>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Transferring Supplier Employee identified in the Supplier’s Final Supplier Personnel List, to the extent that the proceeding, claim or demand by HMRC or such other statutory authority relates to financial obligations arising after the Service Transfer Date; and</w:t>
      </w:r>
    </w:p>
    <w:p w:rsidR="00000000" w:rsidDel="00000000" w:rsidP="00000000" w:rsidRDefault="00000000" w:rsidRPr="00000000" w14:paraId="00000163">
      <w:pPr>
        <w:pStyle w:val="Heading5"/>
        <w:numPr>
          <w:ilvl w:val="4"/>
          <w:numId w:val="7"/>
        </w:numPr>
        <w:ind w:left="3544" w:hanging="1276"/>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any Subcontractor to any Replacement Supplier or Replacement Subcontractor, to the extent that the proceeding, claim or demand by HMRC or such other statutory authority relates to financial obligations arising after the Service Transfer Date;</w:t>
      </w:r>
    </w:p>
    <w:p w:rsidR="00000000" w:rsidDel="00000000" w:rsidP="00000000" w:rsidRDefault="00000000" w:rsidRPr="00000000" w14:paraId="00000164">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failure of the Replacement Supplier or any such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000000" w:rsidDel="00000000" w:rsidP="00000000" w:rsidRDefault="00000000" w:rsidRPr="00000000" w14:paraId="00000165">
      <w:pPr>
        <w:numPr>
          <w:ilvl w:val="2"/>
          <w:numId w:val="8"/>
        </w:numPr>
        <w:pBdr>
          <w:top w:space="0" w:sz="0" w:val="nil"/>
          <w:left w:space="0" w:sz="0" w:val="nil"/>
          <w:bottom w:space="0" w:sz="0" w:val="nil"/>
          <w:right w:space="0" w:sz="0" w:val="nil"/>
          <w:between w:space="0" w:sz="0" w:val="nil"/>
        </w:pBdr>
        <w:spacing w:after="120" w:before="120" w:lineRule="auto"/>
        <w:ind w:left="2214"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any such Replacement Subcontractor in relation to obligations under regulation 13 of the Employment Regulations.</w:t>
      </w:r>
    </w:p>
    <w:p w:rsidR="00000000" w:rsidDel="00000000" w:rsidP="00000000" w:rsidRDefault="00000000" w:rsidRPr="00000000" w14:paraId="00000166">
      <w:pPr>
        <w:keepNext w:val="1"/>
        <w:numPr>
          <w:ilvl w:val="1"/>
          <w:numId w:val="8"/>
        </w:numPr>
        <w:pBdr>
          <w:top w:space="0" w:sz="0" w:val="nil"/>
          <w:left w:space="0" w:sz="0" w:val="nil"/>
          <w:bottom w:space="0" w:sz="0" w:val="nil"/>
          <w:right w:space="0" w:sz="0" w:val="nil"/>
          <w:between w:space="0" w:sz="0" w:val="nil"/>
        </w:pBdr>
        <w:tabs>
          <w:tab w:val="left" w:leader="none" w:pos="993"/>
        </w:tabs>
        <w:spacing w:after="120" w:before="120" w:lineRule="auto"/>
        <w:ind w:left="35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indemnities in Paragraph 2.13 shall not apply to the extent that the Employee Liabilities arise or are attributable to any act or omission of the Supplier or any Subcontractor, whether occurring or having its origin before, on or after the Service Transfer Date, including any Employee Liabilities arising from any failure by the Supplier or any Subcontractor to comply with its obligations under the Employment Regulations.</w:t>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Times New Roman"/>
  <w:font w:name="Arial"/>
  <w:font w:name="Georgia"/>
  <w:font w:name="Courier New"/>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16F">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1">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173">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w:t>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5">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10 (Staff Transfer)</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Fonts w:ascii="Arial" w:cs="Arial" w:eastAsia="Arial" w:hAnsi="Arial"/>
        <w:color w:val="000000"/>
        <w:sz w:val="20"/>
        <w:szCs w:val="20"/>
        <w:rtl w:val="0"/>
      </w:rPr>
      <w:t xml:space="preserve">Framework Ref: RM6297</w:t>
    </w:r>
    <w:r w:rsidDel="00000000" w:rsidR="00000000" w:rsidRPr="00000000">
      <w:rPr>
        <w:rFonts w:ascii="Arial" w:cs="Arial" w:eastAsia="Arial" w:hAnsi="Arial"/>
        <w:sz w:val="20"/>
        <w:szCs w:val="20"/>
        <w:rtl w:val="0"/>
      </w:rPr>
      <w:t xml:space="preserve"> Print and Digital Communications</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24</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2">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Arial" w:cs="Arial" w:eastAsia="Arial" w:hAnsi="Arial"/>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Arial" w:cs="Arial" w:eastAsia="Arial" w:hAnsi="Arial"/>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Arial" w:cs="Arial" w:eastAsia="Arial" w:hAnsi="Arial"/>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lvl w:ilvl="0">
      <w:start w:val="6"/>
      <w:numFmt w:val="decimal"/>
      <w:lvlText w:val=""/>
      <w:lvlJc w:val="center"/>
      <w:pPr>
        <w:ind w:left="0" w:hanging="57"/>
      </w:pPr>
      <w:rPr/>
    </w:lvl>
    <w:lvl w:ilvl="1">
      <w:start w:val="12"/>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Arial" w:cs="Arial" w:eastAsia="Arial" w:hAnsi="Arial"/>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Trebuchet MS" w:cs="Trebuchet MS" w:eastAsia="Trebuchet MS" w:hAnsi="Trebuchet MS"/>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1"/>
    </w:pPr>
    <w:rPr>
      <w:rFonts w:ascii="Trebuchet MS" w:cs="Trebuchet MS" w:eastAsia="Trebuchet MS" w:hAnsi="Trebuchet MS"/>
      <w:b w:val="1"/>
    </w:rPr>
  </w:style>
  <w:style w:type="paragraph" w:styleId="Heading3">
    <w:name w:val="heading 3"/>
    <w:basedOn w:val="Normal"/>
    <w:next w:val="Normal"/>
    <w:pPr>
      <w:keepLines w:val="1"/>
    </w:pPr>
    <w:rPr>
      <w:rFonts w:ascii="Trebuchet MS" w:cs="Trebuchet MS" w:eastAsia="Trebuchet MS" w:hAnsi="Trebuchet MS"/>
    </w:rPr>
  </w:style>
  <w:style w:type="paragraph" w:styleId="Heading4">
    <w:name w:val="heading 4"/>
    <w:basedOn w:val="Normal"/>
    <w:next w:val="Normal"/>
    <w:pPr>
      <w:keepLines w:val="1"/>
    </w:pPr>
    <w:rPr>
      <w:rFonts w:ascii="Trebuchet MS" w:cs="Trebuchet MS" w:eastAsia="Trebuchet MS" w:hAnsi="Trebuchet MS"/>
    </w:rPr>
  </w:style>
  <w:style w:type="paragraph" w:styleId="Heading5">
    <w:name w:val="heading 5"/>
    <w:basedOn w:val="Normal"/>
    <w:next w:val="Normal"/>
    <w:pPr>
      <w:keepLines w:val="1"/>
    </w:pPr>
    <w:rPr>
      <w:rFonts w:ascii="Trebuchet MS" w:cs="Trebuchet MS" w:eastAsia="Trebuchet MS" w:hAnsi="Trebuchet MS"/>
    </w:rPr>
  </w:style>
  <w:style w:type="paragraph" w:styleId="Heading6">
    <w:name w:val="heading 6"/>
    <w:basedOn w:val="Normal"/>
    <w:next w:val="Normal"/>
    <w:pPr>
      <w:keepLines w:val="0"/>
      <w:spacing w:line="360" w:lineRule="auto"/>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textAlignment w:val="baseline"/>
    </w:pPr>
    <w:rPr>
      <w:rFonts w:cs="Arial" w:eastAsia="Times New Roman"/>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val="1"/>
    <w:pPr>
      <w:jc w:val="center"/>
      <w:outlineLvl w:val="0"/>
    </w:pPr>
    <w:rPr>
      <w:rFonts w:ascii="Trebuchet MS" w:eastAsia="Times New Roman" w:hAnsi="Trebuchet MS"/>
      <w:b w:val="1"/>
      <w:caps w:val="1"/>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val="1"/>
    <w:qFormat w:val="1"/>
    <w:pPr>
      <w:keepNext w:val="1"/>
      <w:keepLines w:val="1"/>
      <w:outlineLvl w:val="1"/>
    </w:pPr>
    <w:rPr>
      <w:rFonts w:ascii="Trebuchet MS" w:eastAsia="HGGothicM" w:hAnsi="Trebuchet MS"/>
      <w:b w:val="1"/>
      <w:bCs w:val="1"/>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val="1"/>
    <w:qFormat w:val="1"/>
    <w:pPr>
      <w:keepLines w:val="1"/>
      <w:outlineLvl w:val="2"/>
    </w:pPr>
    <w:rPr>
      <w:rFonts w:ascii="Trebuchet MS" w:eastAsia="HGGothicM" w:hAnsi="Trebuchet MS"/>
      <w:bCs w:val="1"/>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val="1"/>
    <w:qFormat w:val="1"/>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val="1"/>
    <w:qFormat w:val="1"/>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val="1"/>
    <w:unhideWhenUsed w:val="1"/>
    <w:qFormat w:val="1"/>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val="1"/>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val="1"/>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val="1"/>
    <w:pPr>
      <w:numPr>
        <w:ilvl w:val="3"/>
        <w:numId w:val="1"/>
      </w:numPr>
      <w:outlineLvl w:val="8"/>
    </w:pPr>
    <w:rPr>
      <w:rFonts w:ascii="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pPr>
      <w:spacing w:after="60" w:before="240" w:line="360" w:lineRule="auto"/>
      <w:jc w:val="center"/>
    </w:pPr>
    <w:rPr>
      <w:rFonts w:ascii="Arial" w:hAnsi="Arial"/>
      <w:b w:val="1"/>
      <w:kern w:val="28"/>
      <w:sz w:val="32"/>
      <w:szCs w:val="20"/>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val="1"/>
      <w:caps w:val="1"/>
      <w:sz w:val="22"/>
      <w:szCs w:val="2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cs="Arial" w:eastAsia="HGGothicM" w:hAnsi="Trebuchet MS"/>
      <w:b w:val="1"/>
      <w:bCs w:val="1"/>
      <w:sz w:val="22"/>
      <w:szCs w:val="22"/>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cs="Arial" w:eastAsia="HGGothicM" w:hAnsi="Trebuchet MS"/>
      <w:bCs w:val="1"/>
      <w:sz w:val="22"/>
      <w:szCs w:val="22"/>
      <w:lang w:eastAsia="en-U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cs="Arial" w:eastAsia="HGGothicM" w:hAnsi="Trebuchet MS"/>
      <w:bCs w:val="1"/>
      <w:sz w:val="22"/>
      <w:szCs w:val="22"/>
      <w:lang w:eastAsia="en-U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cs="Arial" w:eastAsia="HGGothicM" w:hAnsi="Trebuchet MS"/>
      <w:bCs w:val="1"/>
      <w:sz w:val="22"/>
      <w:szCs w:val="22"/>
      <w:lang w:eastAsia="en-US"/>
    </w:rPr>
  </w:style>
  <w:style w:type="character" w:styleId="Heading7Char" w:customStyle="1">
    <w:name w:val="Heading 7 Char"/>
    <w:aliases w:val="3AP Char,Heading 7(unused) Char,Legal Level 1.1. Char,L2 PIP Char,Lev 7 Char,H7DO NOT USE Char,PA Appendix Major Char,Blank 3 Char,Heading 7 (Do Not Use) Char,Appendix Major Char"/>
    <w:link w:val="Heading7"/>
    <w:rPr>
      <w:rFonts w:ascii="Trebuchet MS" w:cs="Arial" w:eastAsia="Trebuchet MS" w:hAnsi="Trebuchet MS"/>
      <w:sz w:val="22"/>
      <w:szCs w:val="22"/>
      <w:lang w:eastAsia="en-US"/>
    </w:rPr>
  </w:style>
  <w:style w:type="character" w:styleId="Heading8Char" w:customStyle="1">
    <w:name w:val="Heading 8 Char"/>
    <w:aliases w:val="4AP Char,Legal Level 1.1.1. Char,Lev 8 Char,h8 DO NOT USE Char,PA Appendix Minor Char,Blank 4 Char,h8 Char,Heading 8 (Do Not Use) Char,Appendix Minor Char"/>
    <w:link w:val="Heading8"/>
    <w:rPr>
      <w:rFonts w:ascii="Trebuchet MS" w:cs="Arial" w:eastAsia="Trebuchet MS" w:hAnsi="Trebuchet MS"/>
      <w:sz w:val="22"/>
      <w:szCs w:val="22"/>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link w:val="Heading9"/>
    <w:rPr>
      <w:rFonts w:ascii="Trebuchet MS" w:cs="Arial" w:eastAsia="Trebuchet MS" w:hAnsi="Trebuchet MS"/>
      <w:sz w:val="22"/>
      <w:szCs w:val="22"/>
      <w:lang w:eastAsia="en-US"/>
    </w:rPr>
  </w:style>
  <w:style w:type="paragraph" w:styleId="MarginText" w:customStyle="1">
    <w:name w:val="Margin Text"/>
    <w:basedOn w:val="BodyText"/>
    <w:link w:val="MarginTextChar"/>
    <w:pPr>
      <w:spacing w:after="240"/>
      <w:ind w:left="709"/>
    </w:pPr>
    <w:rPr>
      <w:rFonts w:ascii="Trebuchet MS" w:eastAsia="Trebuchet MS" w:hAnsi="Trebuchet MS"/>
    </w:rPr>
  </w:style>
  <w:style w:type="character" w:styleId="MarginTextChar" w:customStyle="1">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link w:val="Footer"/>
    <w:uiPriority w:val="99"/>
    <w:rPr>
      <w:rFonts w:cs="Arial" w:eastAsia="Times New Roman"/>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styleId="BodyTextIndentChar" w:customStyle="1">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styleId="BodyTextIndent2Char" w:customStyle="1">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link w:val="Header"/>
    <w:uiPriority w:val="99"/>
    <w:rPr>
      <w:rFonts w:cs="Arial" w:eastAsia="Times New Roman"/>
      <w:sz w:val="22"/>
      <w:szCs w:val="22"/>
      <w:lang w:eastAsia="en-US"/>
    </w:rPr>
  </w:style>
  <w:style w:type="paragraph" w:styleId="SchHeadDes" w:customStyle="1">
    <w:name w:val="SchHeadDes"/>
    <w:basedOn w:val="Normal"/>
    <w:next w:val="Normal"/>
    <w:pPr>
      <w:keepNext w:val="1"/>
      <w:spacing w:after="120" w:before="120"/>
      <w:jc w:val="center"/>
    </w:pPr>
    <w:rPr>
      <w:rFonts w:ascii="Trebuchet MS" w:hAnsi="Trebuchet MS"/>
      <w:b w:val="1"/>
    </w:rPr>
  </w:style>
  <w:style w:type="paragraph" w:styleId="Guidancenoteparagraphtext" w:customStyle="1">
    <w:name w:val="Guidance note paragraph text"/>
    <w:basedOn w:val="MarginText"/>
    <w:link w:val="GuidancenoteparagraphtextChar"/>
    <w:qFormat w:val="1"/>
    <w:rPr>
      <w:rFonts w:ascii="Arial" w:eastAsia="STZhongsong" w:hAnsi="Arial"/>
      <w:b w:val="1"/>
      <w:i w:val="1"/>
      <w:color w:val="000000"/>
      <w:sz w:val="20"/>
      <w:szCs w:val="24"/>
      <w:lang w:eastAsia="zh-CN"/>
    </w:rPr>
  </w:style>
  <w:style w:type="character" w:styleId="GuidancenoteparagraphtextChar" w:customStyle="1">
    <w:name w:val="Guidance note paragraph text Char"/>
    <w:link w:val="Guidancenoteparagraphtext"/>
    <w:rPr>
      <w:rFonts w:ascii="Arial" w:eastAsia="STZhongsong" w:hAnsi="Arial"/>
      <w:b w:val="1"/>
      <w:i w:val="1"/>
      <w:color w:val="000000"/>
      <w:szCs w:val="24"/>
      <w:lang w:eastAsia="zh-CN"/>
    </w:rPr>
  </w:style>
  <w:style w:type="paragraph" w:styleId="PartDes" w:customStyle="1">
    <w:name w:val="PartDes"/>
    <w:basedOn w:val="Normal"/>
    <w:qFormat w:val="1"/>
    <w:pPr>
      <w:spacing w:after="120" w:before="120"/>
      <w:jc w:val="center"/>
    </w:pPr>
    <w:rPr>
      <w:rFonts w:ascii="Trebuchet MS" w:cs="Times New Roman" w:eastAsia="Trebuchet MS" w:hAnsi="Trebuchet MS"/>
      <w:b w:val="1"/>
      <w:bCs w:val="1"/>
    </w:rPr>
  </w:style>
  <w:style w:type="paragraph" w:styleId="TableNormal1" w:customStyle="1">
    <w:name w:val="Table Normal1"/>
    <w:basedOn w:val="Normal"/>
    <w:pPr>
      <w:spacing w:after="120" w:before="120"/>
      <w:ind w:left="34"/>
    </w:pPr>
    <w:rPr>
      <w:rFonts w:ascii="Trebuchet MS" w:cs="Times New Roman" w:eastAsia="Trebuchet MS" w:hAnsi="Trebuchet MS"/>
    </w:rPr>
  </w:style>
  <w:style w:type="paragraph" w:styleId="BodyText">
    <w:name w:val="Body Text"/>
    <w:basedOn w:val="Normal"/>
    <w:link w:val="BodyTextChar"/>
    <w:uiPriority w:val="99"/>
    <w:unhideWhenUsed w:val="1"/>
    <w:pPr>
      <w:spacing w:after="120"/>
    </w:pPr>
  </w:style>
  <w:style w:type="character" w:styleId="BodyTextChar" w:customStyle="1">
    <w:name w:val="Body Text Char"/>
    <w:link w:val="BodyText"/>
    <w:uiPriority w:val="99"/>
    <w:rPr>
      <w:sz w:val="22"/>
      <w:szCs w:val="22"/>
      <w:lang w:eastAsia="en-US"/>
    </w:rPr>
  </w:style>
  <w:style w:type="paragraph" w:styleId="FootnoteText">
    <w:name w:val="footnote text"/>
    <w:basedOn w:val="Normal"/>
    <w:link w:val="FootnoteTextChar"/>
    <w:uiPriority w:val="99"/>
    <w:unhideWhenUsed w:val="1"/>
    <w:rPr>
      <w:sz w:val="20"/>
      <w:szCs w:val="20"/>
    </w:rPr>
  </w:style>
  <w:style w:type="character" w:styleId="FootnoteTextChar" w:customStyle="1">
    <w:name w:val="Footnote Text Char"/>
    <w:link w:val="FootnoteText"/>
    <w:uiPriority w:val="99"/>
    <w:rPr>
      <w:lang w:eastAsia="en-US"/>
    </w:rPr>
  </w:style>
  <w:style w:type="character" w:styleId="FootnoteReference">
    <w:name w:val="footnote reference"/>
    <w:uiPriority w:val="99"/>
    <w:unhideWhenUsed w:val="1"/>
    <w:rPr>
      <w:vertAlign w:val="superscript"/>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link w:val="BalloonText"/>
    <w:uiPriority w:val="99"/>
    <w:semiHidden w:val="1"/>
    <w:rPr>
      <w:rFonts w:ascii="Tahoma" w:cs="Tahoma" w:eastAsia="Times New Roman" w:hAnsi="Tahoma"/>
      <w:sz w:val="16"/>
      <w:szCs w:val="16"/>
      <w:lang w:eastAsia="en-US"/>
    </w:rPr>
  </w:style>
  <w:style w:type="character" w:styleId="CommentReference">
    <w:name w:val="annotation reference"/>
    <w:uiPriority w:val="99"/>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link w:val="CommentText"/>
    <w:uiPriority w:val="99"/>
    <w:rPr>
      <w:rFonts w:cs="Arial" w:eastAsia="Times New Roman"/>
      <w:lang w:eastAsia="en-US"/>
    </w:rPr>
  </w:style>
  <w:style w:type="paragraph" w:styleId="CommentSubject">
    <w:name w:val="annotation subject"/>
    <w:basedOn w:val="CommentText"/>
    <w:next w:val="CommentText"/>
    <w:link w:val="CommentSubjectChar"/>
    <w:uiPriority w:val="99"/>
    <w:unhideWhenUsed w:val="1"/>
    <w:rPr>
      <w:b w:val="1"/>
      <w:bCs w:val="1"/>
    </w:rPr>
  </w:style>
  <w:style w:type="character" w:styleId="CommentSubjectChar" w:customStyle="1">
    <w:name w:val="Comment Subject Char"/>
    <w:link w:val="CommentSubject"/>
    <w:uiPriority w:val="99"/>
    <w:rPr>
      <w:rFonts w:cs="Arial" w:eastAsia="Times New Roman"/>
      <w:b w:val="1"/>
      <w:bCs w:val="1"/>
      <w:lang w:eastAsia="en-US"/>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styleId="BodyTextIndent3Char" w:customStyle="1">
    <w:name w:val="Body Text Indent 3 Char"/>
    <w:link w:val="BodyTextIndent3"/>
    <w:rPr>
      <w:rFonts w:ascii="Times New Roman" w:eastAsia="Times New Roman" w:hAnsi="Times New Roman"/>
      <w:sz w:val="22"/>
      <w:lang w:eastAsia="en-US"/>
    </w:rPr>
  </w:style>
  <w:style w:type="paragraph" w:styleId="BodyTextIndent4" w:customStyle="1">
    <w:name w:val="Body Text Indent 4"/>
    <w:basedOn w:val="Normal"/>
    <w:pPr>
      <w:spacing w:line="360" w:lineRule="auto"/>
      <w:ind w:left="2880"/>
    </w:pPr>
    <w:rPr>
      <w:rFonts w:ascii="Times New Roman" w:hAnsi="Times New Roman"/>
      <w:szCs w:val="20"/>
    </w:rPr>
  </w:style>
  <w:style w:type="paragraph" w:styleId="BodyTextIndent5" w:customStyle="1">
    <w:name w:val="Body Text Indent 5"/>
    <w:basedOn w:val="Normal"/>
    <w:pPr>
      <w:spacing w:line="360" w:lineRule="auto"/>
      <w:ind w:left="3600"/>
    </w:pPr>
    <w:rPr>
      <w:rFonts w:ascii="Times New Roman" w:hAnsi="Times New Roman"/>
      <w:szCs w:val="20"/>
    </w:rPr>
  </w:style>
  <w:style w:type="paragraph" w:styleId="BodyTextIndent6" w:customStyle="1">
    <w:name w:val="Body Text Indent 6"/>
    <w:basedOn w:val="BodyTextIndent5"/>
    <w:pPr>
      <w:ind w:left="4320"/>
    </w:pPr>
  </w:style>
  <w:style w:type="paragraph" w:styleId="BodyTextIndent7" w:customStyle="1">
    <w:name w:val="Body Text Indent 7"/>
    <w:basedOn w:val="BodyTextIndent6"/>
  </w:style>
  <w:style w:type="paragraph" w:styleId="SchHead" w:customStyle="1">
    <w:name w:val="SchHead"/>
    <w:basedOn w:val="MarginText"/>
    <w:next w:val="SchHeadDes"/>
    <w:pPr>
      <w:spacing w:line="360" w:lineRule="auto"/>
      <w:ind w:left="0"/>
      <w:jc w:val="center"/>
    </w:pPr>
    <w:rPr>
      <w:rFonts w:ascii="Times New Roman" w:eastAsia="Times New Roman" w:hAnsi="Times New Roman"/>
      <w:b w:val="1"/>
      <w:caps w:val="1"/>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val="1"/>
    <w:pPr>
      <w:spacing w:before="120" w:line="360" w:lineRule="auto"/>
    </w:pPr>
    <w:rPr>
      <w:rFonts w:ascii="Times New Roman" w:hAnsi="Times New Roman"/>
      <w:b w:val="1"/>
      <w:szCs w:val="20"/>
    </w:rPr>
  </w:style>
  <w:style w:type="character" w:styleId="TitleChar" w:customStyle="1">
    <w:name w:val="Title Char"/>
    <w:link w:val="Title"/>
    <w:rPr>
      <w:rFonts w:ascii="Arial" w:eastAsia="Times New Roman" w:hAnsi="Arial"/>
      <w:b w:val="1"/>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styleId="BBLegal2" w:customStyle="1">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styleId="msolistparagraph0" w:customStyle="1">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val="1"/>
    <w:pPr>
      <w:spacing w:line="360" w:lineRule="auto"/>
    </w:pPr>
    <w:rPr>
      <w:rFonts w:ascii="Times New Roman" w:hAnsi="Times New Roman"/>
      <w:szCs w:val="20"/>
    </w:rPr>
  </w:style>
  <w:style w:type="paragraph" w:styleId="TOC2">
    <w:name w:val="toc 2"/>
    <w:basedOn w:val="Normal"/>
    <w:next w:val="Normal"/>
    <w:autoRedefine w:val="1"/>
    <w:pPr>
      <w:spacing w:line="360" w:lineRule="auto"/>
      <w:ind w:left="220"/>
    </w:pPr>
    <w:rPr>
      <w:rFonts w:ascii="Times New Roman" w:hAnsi="Times New Roman"/>
      <w:szCs w:val="20"/>
    </w:rPr>
  </w:style>
  <w:style w:type="paragraph" w:styleId="TOC3">
    <w:name w:val="toc 3"/>
    <w:basedOn w:val="Normal"/>
    <w:next w:val="Normal"/>
    <w:autoRedefine w:val="1"/>
    <w:pPr>
      <w:spacing w:line="360" w:lineRule="auto"/>
      <w:ind w:left="440"/>
    </w:pPr>
    <w:rPr>
      <w:rFonts w:ascii="Times New Roman" w:hAnsi="Times New Roman"/>
      <w:szCs w:val="20"/>
    </w:rPr>
  </w:style>
  <w:style w:type="paragraph" w:styleId="TOC4">
    <w:name w:val="toc 4"/>
    <w:basedOn w:val="Normal"/>
    <w:next w:val="Normal"/>
    <w:autoRedefine w:val="1"/>
    <w:pPr>
      <w:spacing w:line="360" w:lineRule="auto"/>
      <w:ind w:left="660"/>
    </w:pPr>
    <w:rPr>
      <w:rFonts w:ascii="Times New Roman" w:hAnsi="Times New Roman"/>
      <w:szCs w:val="20"/>
    </w:rPr>
  </w:style>
  <w:style w:type="paragraph" w:styleId="TOC5">
    <w:name w:val="toc 5"/>
    <w:basedOn w:val="Normal"/>
    <w:next w:val="Normal"/>
    <w:autoRedefine w:val="1"/>
    <w:pPr>
      <w:spacing w:line="360" w:lineRule="auto"/>
      <w:ind w:left="880"/>
    </w:pPr>
    <w:rPr>
      <w:rFonts w:ascii="Times New Roman" w:hAnsi="Times New Roman"/>
      <w:szCs w:val="20"/>
    </w:rPr>
  </w:style>
  <w:style w:type="paragraph" w:styleId="TOC6">
    <w:name w:val="toc 6"/>
    <w:basedOn w:val="Normal"/>
    <w:next w:val="Normal"/>
    <w:autoRedefine w:val="1"/>
    <w:uiPriority w:val="39"/>
    <w:pPr>
      <w:spacing w:line="360" w:lineRule="auto"/>
      <w:ind w:left="1100"/>
    </w:pPr>
    <w:rPr>
      <w:rFonts w:ascii="Times New Roman" w:hAnsi="Times New Roman"/>
      <w:szCs w:val="20"/>
    </w:rPr>
  </w:style>
  <w:style w:type="paragraph" w:styleId="TOC7">
    <w:name w:val="toc 7"/>
    <w:basedOn w:val="Normal"/>
    <w:next w:val="Normal"/>
    <w:autoRedefine w:val="1"/>
    <w:pPr>
      <w:spacing w:line="360" w:lineRule="auto"/>
      <w:ind w:left="1320"/>
    </w:pPr>
    <w:rPr>
      <w:rFonts w:ascii="Times New Roman" w:hAnsi="Times New Roman"/>
      <w:szCs w:val="20"/>
    </w:rPr>
  </w:style>
  <w:style w:type="paragraph" w:styleId="TOC8">
    <w:name w:val="toc 8"/>
    <w:basedOn w:val="Normal"/>
    <w:next w:val="Normal"/>
    <w:autoRedefine w:val="1"/>
    <w:pPr>
      <w:spacing w:line="360" w:lineRule="auto"/>
      <w:ind w:left="1540"/>
    </w:pPr>
    <w:rPr>
      <w:rFonts w:ascii="Times New Roman" w:hAnsi="Times New Roman"/>
      <w:szCs w:val="20"/>
    </w:rPr>
  </w:style>
  <w:style w:type="paragraph" w:styleId="TOC9">
    <w:name w:val="toc 9"/>
    <w:basedOn w:val="Normal"/>
    <w:next w:val="Normal"/>
    <w:autoRedefine w:val="1"/>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val="1"/>
      <w:spacing w:after="0"/>
      <w:ind w:left="5040" w:right="-334"/>
    </w:pPr>
    <w:rPr>
      <w:rFonts w:ascii="Times New Roman" w:hAnsi="Times New Roman"/>
      <w:b w:val="1"/>
      <w:spacing w:val="-3"/>
      <w:sz w:val="24"/>
      <w:szCs w:val="20"/>
    </w:rPr>
  </w:style>
  <w:style w:type="paragraph" w:styleId="BulletDash" w:customStyle="1">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color="auto" w:fill="000080" w:val="clear"/>
      <w:spacing w:line="360" w:lineRule="auto"/>
    </w:pPr>
    <w:rPr>
      <w:rFonts w:ascii="Tahoma" w:cs="Tahoma" w:hAnsi="Tahoma"/>
      <w:sz w:val="20"/>
      <w:szCs w:val="20"/>
    </w:rPr>
  </w:style>
  <w:style w:type="character" w:styleId="DocumentMapChar" w:customStyle="1">
    <w:name w:val="Document Map Char"/>
    <w:link w:val="DocumentMap"/>
    <w:rPr>
      <w:rFonts w:ascii="Tahoma" w:cs="Tahoma" w:eastAsia="Times New Roman" w:hAnsi="Tahoma"/>
      <w:shd w:color="auto" w:fill="000080" w:val="clear"/>
      <w:lang w:eastAsia="en-US"/>
    </w:rPr>
  </w:style>
  <w:style w:type="paragraph" w:styleId="blueheading" w:customStyle="1">
    <w:name w:val="blueheading"/>
    <w:basedOn w:val="Normal"/>
    <w:pPr>
      <w:spacing w:after="100" w:afterAutospacing="1" w:before="100" w:beforeAutospacing="1"/>
    </w:pPr>
    <w:rPr>
      <w:rFonts w:ascii="Times New Roman" w:hAnsi="Times New Roman"/>
      <w:sz w:val="24"/>
      <w:szCs w:val="24"/>
      <w:lang w:eastAsia="en-GB"/>
    </w:rPr>
  </w:style>
  <w:style w:type="paragraph" w:styleId="Default" w:customStyle="1">
    <w:name w:val="Default"/>
    <w:uiPriority w:val="99"/>
    <w:pPr>
      <w:autoSpaceDE w:val="0"/>
      <w:autoSpaceDN w:val="0"/>
      <w:adjustRightInd w:val="0"/>
    </w:pPr>
    <w:rPr>
      <w:rFonts w:ascii="Times New Roman" w:eastAsia="Times New Roman" w:hAnsi="Times New Roman"/>
      <w:color w:val="000000"/>
      <w:sz w:val="24"/>
      <w:szCs w:val="24"/>
      <w:lang w:eastAsia="en-US" w:val="en-US"/>
    </w:rPr>
  </w:style>
  <w:style w:type="paragraph" w:styleId="EndnoteText">
    <w:name w:val="endnote text"/>
    <w:basedOn w:val="Normal"/>
    <w:link w:val="EndnoteTextChar"/>
    <w:pPr>
      <w:widowControl w:val="0"/>
      <w:spacing w:after="0"/>
    </w:pPr>
    <w:rPr>
      <w:rFonts w:ascii="Courier" w:hAnsi="Courier"/>
      <w:sz w:val="24"/>
      <w:szCs w:val="20"/>
    </w:rPr>
  </w:style>
  <w:style w:type="character" w:styleId="EndnoteTextChar" w:customStyle="1">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 w:customStyle="1">
    <w:name w:val="bullet"/>
    <w:basedOn w:val="Normal"/>
    <w:pPr>
      <w:tabs>
        <w:tab w:val="num" w:pos="360"/>
      </w:tabs>
      <w:spacing w:after="0" w:before="120"/>
      <w:ind w:left="360" w:hanging="360"/>
    </w:pPr>
    <w:rPr>
      <w:rFonts w:ascii="Times New Roman" w:hAnsi="Times New Roman"/>
      <w:snapToGrid w:val="0"/>
      <w:sz w:val="24"/>
      <w:szCs w:val="20"/>
    </w:rPr>
  </w:style>
  <w:style w:type="paragraph" w:styleId="text1" w:customStyle="1">
    <w:name w:val="text 1"/>
    <w:basedOn w:val="Normal"/>
    <w:pPr>
      <w:spacing w:after="0" w:before="320" w:line="320" w:lineRule="atLeast"/>
      <w:ind w:left="720"/>
    </w:pPr>
    <w:rPr>
      <w:rFonts w:ascii="Arial" w:hAnsi="Arial"/>
      <w:szCs w:val="20"/>
    </w:rPr>
  </w:style>
  <w:style w:type="paragraph" w:styleId="text0" w:customStyle="1">
    <w:name w:val="text 0"/>
    <w:basedOn w:val="Normal"/>
    <w:link w:val="text0Char"/>
    <w:uiPriority w:val="99"/>
    <w:pPr>
      <w:spacing w:after="0" w:before="320" w:line="320" w:lineRule="atLeast"/>
    </w:pPr>
    <w:rPr>
      <w:rFonts w:ascii="Arial" w:hAnsi="Arial"/>
      <w:szCs w:val="20"/>
    </w:rPr>
  </w:style>
  <w:style w:type="character" w:styleId="text0Char" w:customStyle="1">
    <w:name w:val="text 0 Char"/>
    <w:link w:val="text0"/>
    <w:uiPriority w:val="99"/>
    <w:locked w:val="1"/>
    <w:rPr>
      <w:rFonts w:ascii="Arial" w:eastAsia="Times New Roman" w:hAnsi="Arial"/>
      <w:sz w:val="22"/>
      <w:lang w:eastAsia="en-US"/>
    </w:rPr>
  </w:style>
  <w:style w:type="paragraph" w:styleId="NtocHeading1" w:customStyle="1">
    <w:name w:val="NtocHeading 1"/>
    <w:basedOn w:val="Normal"/>
    <w:next w:val="text0"/>
    <w:pPr>
      <w:widowControl w:val="0"/>
      <w:spacing w:after="0" w:before="320" w:line="320" w:lineRule="atLeast"/>
    </w:pPr>
    <w:rPr>
      <w:rFonts w:ascii="Arial" w:hAnsi="Arial"/>
      <w:b w:val="1"/>
      <w:szCs w:val="20"/>
    </w:rPr>
  </w:style>
  <w:style w:type="paragraph" w:styleId="ScheduleHeading1" w:customStyle="1">
    <w:name w:val="Schedule Heading 1"/>
    <w:next w:val="ScheduleNumber1"/>
    <w:pPr>
      <w:widowControl w:val="0"/>
      <w:spacing w:before="320" w:line="320" w:lineRule="atLeast"/>
    </w:pPr>
    <w:rPr>
      <w:rFonts w:ascii="Arial" w:eastAsia="Times New Roman" w:hAnsi="Arial"/>
      <w:color w:val="ff0000"/>
      <w:lang w:eastAsia="en-US"/>
    </w:rPr>
  </w:style>
  <w:style w:type="paragraph" w:styleId="ScheduleNumber1" w:customStyle="1">
    <w:name w:val="Schedule Number 1"/>
    <w:pPr>
      <w:keepNext w:val="1"/>
      <w:keepLines w:val="1"/>
      <w:tabs>
        <w:tab w:val="num" w:pos="360"/>
      </w:tabs>
      <w:spacing w:before="320" w:line="320" w:lineRule="atLeast"/>
    </w:pPr>
    <w:rPr>
      <w:rFonts w:ascii="Arial" w:eastAsia="Times New Roman" w:hAnsi="Arial"/>
      <w:lang w:eastAsia="en-US"/>
    </w:rPr>
  </w:style>
  <w:style w:type="paragraph" w:styleId="ScheduleNumber2" w:customStyle="1">
    <w:name w:val="Schedule Number 2"/>
    <w:basedOn w:val="ScheduleNumber1"/>
    <w:pPr>
      <w:tabs>
        <w:tab w:val="clear" w:pos="360"/>
      </w:tabs>
      <w:ind w:left="1440" w:hanging="720"/>
    </w:pPr>
  </w:style>
  <w:style w:type="paragraph" w:styleId="ScheduleNumber3" w:customStyle="1">
    <w:name w:val="Schedule Number 3"/>
    <w:basedOn w:val="ScheduleNumber2"/>
    <w:pPr>
      <w:ind w:left="2160"/>
    </w:pPr>
  </w:style>
  <w:style w:type="paragraph" w:styleId="ScheduleNumber4" w:customStyle="1">
    <w:name w:val="Schedule Number 4"/>
    <w:basedOn w:val="ScheduleNumber3"/>
    <w:pPr>
      <w:ind w:left="2880"/>
    </w:pPr>
  </w:style>
  <w:style w:type="paragraph" w:styleId="TableStyle" w:customStyle="1">
    <w:name w:val="Table Style"/>
    <w:basedOn w:val="Normal"/>
    <w:pPr>
      <w:widowControl w:val="0"/>
      <w:spacing w:after="60" w:before="60"/>
    </w:pPr>
    <w:rPr>
      <w:rFonts w:ascii="Arial" w:hAnsi="Arial"/>
      <w:szCs w:val="20"/>
    </w:rPr>
  </w:style>
  <w:style w:type="paragraph" w:styleId="ScheduleNumber5" w:customStyle="1">
    <w:name w:val="Schedule Number 5"/>
    <w:basedOn w:val="ScheduleNumber4"/>
    <w:pPr>
      <w:ind w:left="3600"/>
    </w:pPr>
  </w:style>
  <w:style w:type="paragraph" w:styleId="ScheduleNumber6" w:customStyle="1">
    <w:name w:val="Schedule Number 6"/>
    <w:basedOn w:val="ScheduleNumber5"/>
    <w:pPr>
      <w:ind w:left="4320"/>
    </w:pPr>
  </w:style>
  <w:style w:type="paragraph" w:styleId="ColorfulList-Accent11" w:customStyle="1">
    <w:name w:val="Colorful List - Accent 11"/>
    <w:basedOn w:val="Normal"/>
    <w:uiPriority w:val="99"/>
    <w:qFormat w:val="1"/>
    <w:pPr>
      <w:spacing w:line="360" w:lineRule="auto"/>
      <w:ind w:left="720"/>
    </w:pPr>
    <w:rPr>
      <w:rFonts w:ascii="Times New Roman" w:hAnsi="Times New Roman"/>
      <w:szCs w:val="20"/>
    </w:rPr>
  </w:style>
  <w:style w:type="character" w:styleId="st1" w:customStyle="1">
    <w:name w:val="st1"/>
  </w:style>
  <w:style w:type="paragraph" w:styleId="NumText" w:customStyle="1">
    <w:name w:val="NumText"/>
    <w:basedOn w:val="Normal"/>
    <w:uiPriority w:val="99"/>
    <w:pPr>
      <w:spacing w:after="284"/>
    </w:pPr>
    <w:rPr>
      <w:rFonts w:eastAsia="MS Mincho"/>
      <w:lang w:eastAsia="ja-JP"/>
    </w:rPr>
  </w:style>
  <w:style w:type="paragraph" w:styleId="DLFrontPage" w:customStyle="1">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val="1"/>
    <w:pPr>
      <w:spacing w:after="0"/>
    </w:pPr>
    <w:rPr>
      <w:rFonts w:ascii="Times New Roman" w:hAnsi="Times New Roman"/>
      <w:sz w:val="24"/>
      <w:szCs w:val="24"/>
      <w:lang w:eastAsia="en-GB"/>
    </w:rPr>
  </w:style>
  <w:style w:type="character" w:styleId="Emphasis">
    <w:name w:val="Emphasis"/>
    <w:qFormat w:val="1"/>
    <w:rPr>
      <w:i w:val="1"/>
      <w:iCs w:val="1"/>
    </w:rPr>
  </w:style>
  <w:style w:type="character" w:styleId="Strong">
    <w:name w:val="Strong"/>
    <w:uiPriority w:val="22"/>
    <w:qFormat w:val="1"/>
    <w:rPr>
      <w:b w:val="1"/>
      <w:bCs w:val="1"/>
    </w:rPr>
  </w:style>
  <w:style w:type="paragraph" w:styleId="Level2" w:customStyle="1">
    <w:name w:val="Level 2"/>
    <w:basedOn w:val="Normal"/>
    <w:uiPriority w:val="99"/>
    <w:pPr>
      <w:tabs>
        <w:tab w:val="num" w:pos="851"/>
      </w:tabs>
      <w:ind w:left="851" w:hanging="851"/>
      <w:outlineLvl w:val="1"/>
    </w:pPr>
    <w:rPr>
      <w:rFonts w:ascii="Arial" w:hAnsi="Arial"/>
      <w:sz w:val="20"/>
      <w:szCs w:val="20"/>
      <w:lang w:eastAsia="en-GB"/>
    </w:rPr>
  </w:style>
  <w:style w:type="paragraph" w:styleId="Level3" w:customStyle="1">
    <w:name w:val="Level 3"/>
    <w:basedOn w:val="Normal"/>
    <w:uiPriority w:val="99"/>
    <w:pPr>
      <w:tabs>
        <w:tab w:val="num" w:pos="1702"/>
      </w:tabs>
      <w:ind w:left="1702" w:hanging="851"/>
      <w:outlineLvl w:val="2"/>
    </w:pPr>
    <w:rPr>
      <w:rFonts w:ascii="Arial" w:hAnsi="Arial"/>
      <w:sz w:val="20"/>
      <w:szCs w:val="20"/>
      <w:lang w:eastAsia="en-GB"/>
    </w:rPr>
  </w:style>
  <w:style w:type="paragraph" w:styleId="Level4" w:customStyle="1">
    <w:name w:val="Level 4"/>
    <w:basedOn w:val="Normal"/>
    <w:uiPriority w:val="99"/>
    <w:pPr>
      <w:tabs>
        <w:tab w:val="num" w:pos="2553"/>
      </w:tabs>
      <w:ind w:left="2553" w:hanging="851"/>
      <w:outlineLvl w:val="3"/>
    </w:pPr>
    <w:rPr>
      <w:rFonts w:ascii="Arial" w:hAnsi="Arial"/>
      <w:sz w:val="20"/>
      <w:szCs w:val="20"/>
      <w:lang w:eastAsia="en-GB"/>
    </w:rPr>
  </w:style>
  <w:style w:type="paragraph" w:styleId="Level5" w:customStyle="1">
    <w:name w:val="Level 5"/>
    <w:basedOn w:val="Normal"/>
    <w:uiPriority w:val="99"/>
    <w:pPr>
      <w:tabs>
        <w:tab w:val="num" w:pos="3404"/>
      </w:tabs>
      <w:ind w:left="3404" w:hanging="851"/>
      <w:outlineLvl w:val="4"/>
    </w:pPr>
    <w:rPr>
      <w:rFonts w:ascii="Arial" w:hAnsi="Arial"/>
      <w:sz w:val="20"/>
      <w:szCs w:val="20"/>
      <w:lang w:eastAsia="en-GB"/>
    </w:rPr>
  </w:style>
  <w:style w:type="paragraph" w:styleId="Level6" w:customStyle="1">
    <w:name w:val="Level 6"/>
    <w:basedOn w:val="Normal"/>
    <w:uiPriority w:val="99"/>
    <w:pPr>
      <w:tabs>
        <w:tab w:val="num" w:pos="4255"/>
      </w:tabs>
      <w:ind w:left="4255" w:hanging="851"/>
      <w:outlineLvl w:val="5"/>
    </w:pPr>
    <w:rPr>
      <w:rFonts w:ascii="Arial" w:hAnsi="Arial"/>
      <w:sz w:val="20"/>
      <w:szCs w:val="20"/>
      <w:lang w:eastAsia="en-GB"/>
    </w:rPr>
  </w:style>
  <w:style w:type="paragraph" w:styleId="MOJStyle0" w:customStyle="1">
    <w:name w:val="MOJ Style0"/>
    <w:basedOn w:val="Normal"/>
    <w:autoRedefine w:val="1"/>
    <w:uiPriority w:val="99"/>
    <w:pPr>
      <w:numPr>
        <w:numId w:val="5"/>
      </w:numPr>
      <w:suppressAutoHyphens w:val="1"/>
      <w:spacing w:after="0" w:line="360" w:lineRule="auto"/>
    </w:pPr>
    <w:rPr>
      <w:rFonts w:ascii="Arial" w:eastAsia="MS Mincho" w:hAnsi="Arial"/>
      <w:b w:val="1"/>
      <w:lang w:eastAsia="ja-JP"/>
    </w:rPr>
  </w:style>
  <w:style w:type="paragraph" w:styleId="MOJLevel1" w:customStyle="1">
    <w:name w:val="MOJ Level 1"/>
    <w:basedOn w:val="Normal"/>
    <w:next w:val="MOJLevel2"/>
    <w:autoRedefine w:val="1"/>
    <w:uiPriority w:val="99"/>
    <w:pPr>
      <w:numPr>
        <w:ilvl w:val="1"/>
        <w:numId w:val="5"/>
      </w:numPr>
      <w:suppressAutoHyphens w:val="1"/>
      <w:spacing w:after="0" w:before="240" w:line="360" w:lineRule="auto"/>
    </w:pPr>
    <w:rPr>
      <w:rFonts w:ascii="Arial" w:eastAsia="MS Mincho" w:hAnsi="Arial"/>
      <w:b w:val="1"/>
      <w:lang w:eastAsia="ja-JP"/>
    </w:rPr>
  </w:style>
  <w:style w:type="paragraph" w:styleId="MOJLevel2" w:customStyle="1">
    <w:name w:val="MOJ Level 2"/>
    <w:basedOn w:val="Normal"/>
    <w:autoRedefine w:val="1"/>
    <w:uiPriority w:val="99"/>
    <w:pPr>
      <w:numPr>
        <w:ilvl w:val="2"/>
        <w:numId w:val="5"/>
      </w:numPr>
      <w:spacing w:after="0" w:line="360" w:lineRule="auto"/>
    </w:pPr>
    <w:rPr>
      <w:rFonts w:ascii="Arial" w:eastAsia="MS Mincho" w:hAnsi="Arial"/>
      <w:bCs w:val="1"/>
      <w:lang w:eastAsia="ja-JP"/>
    </w:rPr>
  </w:style>
  <w:style w:type="paragraph" w:styleId="MOJLevel3" w:customStyle="1">
    <w:name w:val="MOJ Level 3"/>
    <w:basedOn w:val="Normal"/>
    <w:autoRedefine w:val="1"/>
    <w:uiPriority w:val="99"/>
    <w:pPr>
      <w:numPr>
        <w:ilvl w:val="3"/>
        <w:numId w:val="5"/>
      </w:numPr>
      <w:tabs>
        <w:tab w:val="num" w:pos="1620"/>
      </w:tabs>
      <w:spacing w:after="0" w:line="360" w:lineRule="auto"/>
    </w:pPr>
    <w:rPr>
      <w:rFonts w:ascii="Arial" w:eastAsia="MS Mincho" w:hAnsi="Arial"/>
      <w:bCs w:val="1"/>
      <w:lang w:eastAsia="ja-JP"/>
    </w:rPr>
  </w:style>
  <w:style w:type="paragraph" w:styleId="MOJLevel4" w:customStyle="1">
    <w:name w:val="MOJ Level 4"/>
    <w:basedOn w:val="Normal"/>
    <w:autoRedefine w:val="1"/>
    <w:uiPriority w:val="99"/>
    <w:pPr>
      <w:numPr>
        <w:ilvl w:val="4"/>
        <w:numId w:val="5"/>
      </w:numPr>
      <w:spacing w:after="0" w:line="360" w:lineRule="auto"/>
    </w:pPr>
    <w:rPr>
      <w:rFonts w:ascii="Arial" w:eastAsia="MS Mincho" w:hAnsi="Arial"/>
      <w:lang w:eastAsia="ja-JP"/>
    </w:rPr>
  </w:style>
  <w:style w:type="paragraph" w:styleId="DefinitionNumbering1" w:customStyle="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styleId="DefinitionNumbering2" w:customStyle="1">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styleId="DefinitionNumbering3" w:customStyle="1">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styleId="DefinitionNumbering4" w:customStyle="1">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styleId="DefinitionNumbering5" w:customStyle="1">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styleId="DefinitionNumbering6" w:customStyle="1">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styleId="DefinitionNumbering7" w:customStyle="1">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styleId="DefinitionNumbering8" w:customStyle="1">
    <w:name w:val="Definition Numbering 8"/>
    <w:basedOn w:val="Normal"/>
    <w:pPr>
      <w:numPr>
        <w:ilvl w:val="7"/>
        <w:numId w:val="6"/>
      </w:numPr>
      <w:outlineLvl w:val="7"/>
    </w:pPr>
    <w:rPr>
      <w:rFonts w:ascii="Times New Roman" w:eastAsia="STZhongsong" w:hAnsi="Times New Roman"/>
      <w:szCs w:val="20"/>
      <w:lang w:eastAsia="zh-CN"/>
    </w:rPr>
  </w:style>
  <w:style w:type="paragraph" w:styleId="DefinitionNumbering9" w:customStyle="1">
    <w:name w:val="Definition Numbering 9"/>
    <w:basedOn w:val="Normal"/>
    <w:pPr>
      <w:numPr>
        <w:ilvl w:val="8"/>
        <w:numId w:val="6"/>
      </w:numPr>
      <w:outlineLvl w:val="8"/>
    </w:pPr>
    <w:rPr>
      <w:rFonts w:ascii="Times New Roman" w:eastAsia="STZhongsong" w:hAnsi="Times New Roman"/>
      <w:szCs w:val="20"/>
      <w:lang w:eastAsia="zh-CN"/>
    </w:rPr>
  </w:style>
  <w:style w:type="paragraph" w:styleId="SchPart" w:customStyle="1">
    <w:name w:val="SchPart"/>
    <w:basedOn w:val="Normal"/>
    <w:next w:val="MarginText"/>
    <w:pPr>
      <w:keepNext w:val="1"/>
      <w:ind w:left="3118"/>
      <w:jc w:val="center"/>
      <w:outlineLvl w:val="1"/>
    </w:pPr>
    <w:rPr>
      <w:rFonts w:ascii="Times New Roman" w:eastAsia="STZhongsong" w:hAnsi="Times New Roman"/>
      <w:b w:val="1"/>
      <w:szCs w:val="20"/>
      <w:lang w:eastAsia="zh-CN"/>
    </w:rPr>
  </w:style>
  <w:style w:type="paragraph" w:styleId="SchSection" w:customStyle="1">
    <w:name w:val="SchSection"/>
    <w:basedOn w:val="Normal"/>
    <w:next w:val="MarginText"/>
    <w:pPr>
      <w:keepNext w:val="1"/>
      <w:ind w:left="3118"/>
      <w:jc w:val="center"/>
      <w:outlineLvl w:val="2"/>
    </w:pPr>
    <w:rPr>
      <w:rFonts w:ascii="Times New Roman" w:eastAsia="STZhongsong" w:hAnsi="Times New Roman"/>
      <w:b w:val="1"/>
      <w:szCs w:val="20"/>
      <w:lang w:eastAsia="zh-CN"/>
    </w:rPr>
  </w:style>
  <w:style w:type="paragraph" w:styleId="Body" w:customStyle="1">
    <w:name w:val="Body"/>
    <w:basedOn w:val="Normal"/>
    <w:qFormat w:val="1"/>
    <w:rPr>
      <w:rFonts w:ascii="Arial" w:hAnsi="Arial"/>
      <w:szCs w:val="20"/>
    </w:rPr>
  </w:style>
  <w:style w:type="paragraph" w:styleId="heading2numberedbutnotbold" w:customStyle="1">
    <w:name w:val="heading 2 numbered but not bold"/>
    <w:basedOn w:val="Heading2"/>
    <w:link w:val="heading2numberedbutnotboldChar"/>
    <w:qFormat w:val="1"/>
    <w:pPr>
      <w:keepNext w:val="0"/>
      <w:keepLines w:val="0"/>
      <w:tabs>
        <w:tab w:val="num" w:pos="1713"/>
      </w:tabs>
      <w:ind w:left="1713"/>
    </w:pPr>
    <w:rPr>
      <w:rFonts w:ascii="Arial" w:eastAsia="STZhongsong" w:hAnsi="Arial"/>
      <w:b w:val="0"/>
      <w:bCs w:val="0"/>
      <w:sz w:val="20"/>
      <w:szCs w:val="20"/>
      <w:lang w:eastAsia="zh-CN"/>
    </w:rPr>
  </w:style>
  <w:style w:type="character" w:styleId="heading2numberedbutnotboldChar" w:customStyle="1">
    <w:name w:val="heading 2 numbered but not bold Char"/>
    <w:link w:val="heading2numberedbutnotbold"/>
    <w:rPr>
      <w:rFonts w:ascii="Arial" w:cs="Arial" w:eastAsia="STZhongsong" w:hAnsi="Arial"/>
      <w:lang w:eastAsia="zh-CN"/>
    </w:rPr>
  </w:style>
  <w:style w:type="paragraph" w:styleId="PartHeadingboldcentered" w:customStyle="1">
    <w:name w:val="Part Heading bold centered"/>
    <w:basedOn w:val="MarginText"/>
    <w:link w:val="PartHeadingboldcenteredChar"/>
    <w:qFormat w:val="1"/>
    <w:pPr>
      <w:keepNext w:val="1"/>
      <w:ind w:left="0"/>
      <w:jc w:val="center"/>
    </w:pPr>
    <w:rPr>
      <w:rFonts w:ascii="Arial" w:eastAsia="STZhongsong" w:hAnsi="Arial"/>
      <w:b w:val="1"/>
      <w:sz w:val="20"/>
      <w:szCs w:val="20"/>
      <w:lang w:eastAsia="zh-CN"/>
    </w:rPr>
  </w:style>
  <w:style w:type="character" w:styleId="PartHeadingboldcenteredChar" w:customStyle="1">
    <w:name w:val="Part Heading bold centered Char"/>
    <w:link w:val="PartHeadingboldcentered"/>
    <w:rPr>
      <w:rFonts w:ascii="Arial" w:eastAsia="STZhongsong" w:hAnsi="Arial"/>
      <w:b w:val="1"/>
      <w:lang w:eastAsia="zh-CN"/>
    </w:rPr>
  </w:style>
  <w:style w:type="paragraph" w:styleId="ScheduleL1" w:customStyle="1">
    <w:name w:val="Schedule L1"/>
    <w:basedOn w:val="Normal"/>
    <w:pPr>
      <w:keepNext w:val="1"/>
      <w:numPr>
        <w:numId w:val="16"/>
      </w:numPr>
      <w:overflowPunct w:val="1"/>
      <w:autoSpaceDE w:val="1"/>
      <w:autoSpaceDN w:val="1"/>
      <w:spacing w:before="120"/>
      <w:textAlignment w:val="auto"/>
      <w:outlineLvl w:val="0"/>
    </w:pPr>
    <w:rPr>
      <w:rFonts w:cs="Times New Roman" w:eastAsia="STZhongsong"/>
      <w:b w:val="1"/>
      <w:caps w:val="1"/>
      <w:szCs w:val="20"/>
      <w:lang w:eastAsia="zh-CN"/>
    </w:rPr>
  </w:style>
  <w:style w:type="paragraph" w:styleId="ScheduleL2" w:customStyle="1">
    <w:name w:val="Schedule L2"/>
    <w:basedOn w:val="Normal"/>
    <w:link w:val="ScheduleL2Char"/>
    <w:pPr>
      <w:numPr>
        <w:ilvl w:val="1"/>
        <w:numId w:val="16"/>
      </w:numPr>
      <w:tabs>
        <w:tab w:val="left" w:pos="993"/>
      </w:tabs>
      <w:overflowPunct w:val="1"/>
      <w:autoSpaceDE w:val="1"/>
      <w:autoSpaceDN w:val="1"/>
      <w:spacing w:after="120" w:before="120"/>
      <w:textAlignment w:val="auto"/>
      <w:outlineLvl w:val="1"/>
    </w:pPr>
    <w:rPr>
      <w:rFonts w:cs="Times New Roman" w:eastAsia="STZhongsong"/>
      <w:szCs w:val="20"/>
      <w:lang w:eastAsia="zh-CN" w:val="en-US"/>
    </w:rPr>
  </w:style>
  <w:style w:type="character" w:styleId="ScheduleL2Char" w:customStyle="1">
    <w:name w:val="Schedule L2 Char"/>
    <w:link w:val="ScheduleL2"/>
    <w:rPr>
      <w:rFonts w:eastAsia="STZhongsong"/>
      <w:sz w:val="22"/>
      <w:lang w:eastAsia="zh-CN" w:val="en-US"/>
    </w:rPr>
  </w:style>
  <w:style w:type="paragraph" w:styleId="ScheduleL3" w:customStyle="1">
    <w:name w:val="Schedule L3"/>
    <w:basedOn w:val="Normal"/>
    <w:pPr>
      <w:numPr>
        <w:ilvl w:val="2"/>
        <w:numId w:val="16"/>
      </w:numPr>
      <w:overflowPunct w:val="1"/>
      <w:autoSpaceDE w:val="1"/>
      <w:autoSpaceDN w:val="1"/>
      <w:spacing w:after="120" w:before="120"/>
      <w:textAlignment w:val="auto"/>
      <w:outlineLvl w:val="2"/>
    </w:pPr>
    <w:rPr>
      <w:rFonts w:cs="Times New Roman" w:eastAsia="STZhongsong"/>
      <w:szCs w:val="20"/>
      <w:lang w:eastAsia="zh-CN"/>
    </w:rPr>
  </w:style>
  <w:style w:type="paragraph" w:styleId="ScheduleL4" w:customStyle="1">
    <w:name w:val="Schedule L4"/>
    <w:basedOn w:val="Normal"/>
    <w:pPr>
      <w:numPr>
        <w:ilvl w:val="3"/>
        <w:numId w:val="16"/>
      </w:numPr>
      <w:overflowPunct w:val="1"/>
      <w:autoSpaceDE w:val="1"/>
      <w:autoSpaceDN w:val="1"/>
      <w:spacing w:after="120" w:before="120"/>
      <w:textAlignment w:val="auto"/>
      <w:outlineLvl w:val="3"/>
    </w:pPr>
    <w:rPr>
      <w:rFonts w:cs="Times New Roman" w:eastAsia="STZhongsong"/>
      <w:szCs w:val="20"/>
      <w:lang w:eastAsia="zh-CN"/>
    </w:rPr>
  </w:style>
  <w:style w:type="paragraph" w:styleId="ScheduleL5" w:customStyle="1">
    <w:name w:val="Schedule L5"/>
    <w:basedOn w:val="Normal"/>
    <w:pPr>
      <w:numPr>
        <w:ilvl w:val="4"/>
        <w:numId w:val="16"/>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16"/>
      </w:numPr>
      <w:outlineLvl w:val="5"/>
    </w:pPr>
    <w:rPr>
      <w:rFonts w:ascii="Times New Roman" w:eastAsia="STZhongsong" w:hAnsi="Times New Roman"/>
      <w:szCs w:val="20"/>
      <w:lang w:eastAsia="zh-CN"/>
    </w:rPr>
  </w:style>
  <w:style w:type="paragraph" w:styleId="ScheduleL7" w:customStyle="1">
    <w:name w:val="Schedule L7"/>
    <w:basedOn w:val="Normal"/>
    <w:pPr>
      <w:numPr>
        <w:ilvl w:val="6"/>
        <w:numId w:val="16"/>
      </w:numPr>
      <w:outlineLvl w:val="6"/>
    </w:pPr>
    <w:rPr>
      <w:rFonts w:ascii="Times New Roman" w:eastAsia="STZhongsong" w:hAnsi="Times New Roman"/>
      <w:szCs w:val="20"/>
      <w:lang w:eastAsia="zh-CN"/>
    </w:rPr>
  </w:style>
  <w:style w:type="paragraph" w:styleId="ScheduleL8" w:customStyle="1">
    <w:name w:val="Schedule L8"/>
    <w:basedOn w:val="Normal"/>
    <w:pPr>
      <w:numPr>
        <w:ilvl w:val="7"/>
        <w:numId w:val="16"/>
      </w:numPr>
      <w:outlineLvl w:val="7"/>
    </w:pPr>
    <w:rPr>
      <w:rFonts w:ascii="Times New Roman" w:eastAsia="STZhongsong" w:hAnsi="Times New Roman"/>
      <w:szCs w:val="20"/>
      <w:lang w:eastAsia="zh-CN"/>
    </w:rPr>
  </w:style>
  <w:style w:type="paragraph" w:styleId="ScheduleL9" w:customStyle="1">
    <w:name w:val="Schedule L9"/>
    <w:basedOn w:val="Normal"/>
    <w:pPr>
      <w:numPr>
        <w:ilvl w:val="8"/>
        <w:numId w:val="16"/>
      </w:numPr>
      <w:outlineLvl w:val="8"/>
    </w:pPr>
    <w:rPr>
      <w:rFonts w:ascii="Times New Roman" w:eastAsia="STZhongsong" w:hAnsi="Times New Roman"/>
      <w:szCs w:val="20"/>
      <w:lang w:eastAsia="zh-CN"/>
    </w:rPr>
  </w:style>
  <w:style w:type="paragraph" w:styleId="bodystrong" w:customStyle="1">
    <w:name w:val="body strong"/>
    <w:basedOn w:val="Body"/>
    <w:link w:val="bodystrongChar"/>
    <w:pPr>
      <w:spacing w:after="0"/>
      <w:jc w:val="left"/>
    </w:pPr>
    <w:rPr>
      <w:rFonts w:cs="Times New Roman" w:eastAsia="SimSun"/>
      <w:b w:val="1"/>
      <w:sz w:val="20"/>
      <w:szCs w:val="24"/>
    </w:rPr>
  </w:style>
  <w:style w:type="character" w:styleId="bodystrongChar" w:customStyle="1">
    <w:name w:val="body strong Char"/>
    <w:link w:val="bodystrong"/>
    <w:rPr>
      <w:rFonts w:ascii="Arial" w:eastAsia="SimSun" w:hAnsi="Arial"/>
      <w:b w:val="1"/>
      <w:szCs w:val="24"/>
      <w:lang w:eastAsia="en-US"/>
    </w:rPr>
  </w:style>
  <w:style w:type="character" w:styleId="searchword1" w:customStyle="1">
    <w:name w:val="searchword1"/>
    <w:rPr>
      <w:shd w:color="auto" w:fill="ffff00" w:val="clear"/>
    </w:rPr>
  </w:style>
  <w:style w:type="character" w:styleId="searchword2" w:customStyle="1">
    <w:name w:val="searchword2"/>
    <w:rPr>
      <w:shd w:color="auto" w:fill="ffff00" w:val="clear"/>
    </w:rPr>
  </w:style>
  <w:style w:type="character" w:styleId="searchword3" w:customStyle="1">
    <w:name w:val="searchword3"/>
    <w:rPr>
      <w:shd w:color="auto" w:fill="ffff00" w:val="clear"/>
    </w:rPr>
  </w:style>
  <w:style w:type="character" w:styleId="searchword4" w:customStyle="1">
    <w:name w:val="searchword4"/>
    <w:rPr>
      <w:shd w:color="auto" w:fill="ffff00" w:val="clear"/>
    </w:rPr>
  </w:style>
  <w:style w:type="character" w:styleId="Defterm" w:customStyle="1">
    <w:name w:val="Defterm"/>
    <w:rPr>
      <w:b w:val="1"/>
      <w:color w:val="000000"/>
      <w:sz w:val="22"/>
    </w:rPr>
  </w:style>
  <w:style w:type="paragraph" w:styleId="Sch1styleclause" w:customStyle="1">
    <w:name w:val="Sch  (1style) clause"/>
    <w:basedOn w:val="Normal"/>
    <w:pPr>
      <w:numPr>
        <w:ilvl w:val="2"/>
        <w:numId w:val="7"/>
      </w:numPr>
      <w:spacing w:after="0" w:before="320" w:line="300" w:lineRule="atLeast"/>
      <w:outlineLvl w:val="0"/>
    </w:pPr>
    <w:rPr>
      <w:rFonts w:ascii="Times New Roman" w:hAnsi="Times New Roman"/>
      <w:b w:val="1"/>
      <w:smallCaps w:val="1"/>
      <w:szCs w:val="20"/>
    </w:rPr>
  </w:style>
  <w:style w:type="paragraph" w:styleId="Sch1stylesubclause" w:customStyle="1">
    <w:name w:val="Sch  (1style) sub clause"/>
    <w:basedOn w:val="Normal"/>
    <w:pPr>
      <w:numPr>
        <w:ilvl w:val="3"/>
        <w:numId w:val="7"/>
      </w:numPr>
      <w:spacing w:after="120" w:before="280" w:line="300" w:lineRule="atLeast"/>
      <w:outlineLvl w:val="1"/>
    </w:pPr>
    <w:rPr>
      <w:rFonts w:ascii="Times New Roman" w:hAnsi="Times New Roman"/>
      <w:color w:val="000000"/>
      <w:szCs w:val="20"/>
    </w:rPr>
  </w:style>
  <w:style w:type="paragraph" w:styleId="Sch1stylepara" w:customStyle="1">
    <w:name w:val="Sch (1style) para"/>
    <w:basedOn w:val="Normal"/>
    <w:pPr>
      <w:tabs>
        <w:tab w:val="num" w:pos="1559"/>
      </w:tabs>
      <w:spacing w:after="120" w:line="300" w:lineRule="atLeast"/>
      <w:ind w:left="1559" w:hanging="567"/>
    </w:pPr>
    <w:rPr>
      <w:rFonts w:ascii="Times New Roman" w:hAnsi="Times New Roman"/>
      <w:szCs w:val="20"/>
    </w:rPr>
  </w:style>
  <w:style w:type="paragraph" w:styleId="Sch1stylesubpara" w:customStyle="1">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styleId="StyleHeading3ServiceConformance3Arial" w:customStyle="1">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styleId="StyleHeading3ServiceConformance3ArialCharChar" w:customStyle="1">
    <w:name w:val="Style Heading 3Service Conformance 3 + Arial Char Char"/>
    <w:link w:val="StyleHeading3ServiceConformance3Arial"/>
    <w:locked w:val="1"/>
    <w:rPr>
      <w:rFonts w:ascii="Times New Roman" w:eastAsia="Times New Roman" w:hAnsi="Times New Roman"/>
      <w:sz w:val="22"/>
      <w:lang w:eastAsia="en-US"/>
    </w:rPr>
  </w:style>
  <w:style w:type="paragraph" w:styleId="StyleHeading5ServiceConformance4HeadingHeading5unusedLev" w:customStyle="1">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styleId="StyleHeading5ServiceConformance4HeadingHeading5unusedLevChar" w:customStyle="1">
    <w:name w:val="Style Heading 5Service Conformance 4HeadingHeading 5(unused)Lev... Char"/>
    <w:link w:val="StyleHeading5ServiceConformance4HeadingHeading5unusedLev"/>
    <w:locked w:val="1"/>
    <w:rPr>
      <w:rFonts w:ascii="Times New Roman" w:cs="Arial" w:eastAsia="Times New Roman" w:hAnsi="Times New Roman"/>
      <w:sz w:val="22"/>
      <w:lang w:eastAsia="en-US"/>
    </w:rPr>
  </w:style>
  <w:style w:type="character" w:styleId="MediumGrid11" w:customStyle="1">
    <w:name w:val="Medium Grid 11"/>
    <w:uiPriority w:val="99"/>
    <w:semiHidden w:val="1"/>
    <w:rPr>
      <w:color w:val="808080"/>
    </w:rPr>
  </w:style>
  <w:style w:type="paragraph" w:styleId="FFWLevel1" w:customStyle="1">
    <w:name w:val="FFW Level 1"/>
    <w:basedOn w:val="Normal"/>
    <w:next w:val="FFWLevel2"/>
    <w:locked w:val="1"/>
    <w:pPr>
      <w:keepNext w:val="1"/>
      <w:numPr>
        <w:numId w:val="8"/>
      </w:numPr>
      <w:spacing w:after="0" w:before="240" w:line="260" w:lineRule="atLeast"/>
    </w:pPr>
    <w:rPr>
      <w:rFonts w:ascii="Arial" w:hAnsi="Arial"/>
      <w:b w:val="1"/>
      <w:sz w:val="20"/>
      <w:szCs w:val="24"/>
      <w:lang w:eastAsia="fr-FR"/>
    </w:rPr>
  </w:style>
  <w:style w:type="paragraph" w:styleId="FFWLevel2" w:customStyle="1">
    <w:name w:val="FFW Level 2"/>
    <w:basedOn w:val="Normal"/>
    <w:link w:val="FFWLevel2Char"/>
    <w:locked w:val="1"/>
    <w:pPr>
      <w:numPr>
        <w:ilvl w:val="1"/>
        <w:numId w:val="8"/>
      </w:numPr>
      <w:spacing w:after="0" w:before="240" w:line="260" w:lineRule="atLeast"/>
    </w:pPr>
    <w:rPr>
      <w:rFonts w:ascii="Arial" w:hAnsi="Arial"/>
      <w:sz w:val="20"/>
      <w:szCs w:val="24"/>
      <w:lang w:eastAsia="fr-FR"/>
    </w:rPr>
  </w:style>
  <w:style w:type="character" w:styleId="FFWLevel2Char" w:customStyle="1">
    <w:name w:val="FFW Level 2 Char"/>
    <w:link w:val="FFWLevel2"/>
    <w:rPr>
      <w:rFonts w:ascii="Arial" w:cs="Arial" w:eastAsia="Times New Roman" w:hAnsi="Arial"/>
      <w:szCs w:val="24"/>
      <w:lang w:eastAsia="fr-FR"/>
    </w:rPr>
  </w:style>
  <w:style w:type="paragraph" w:styleId="FFWLevel3" w:customStyle="1">
    <w:name w:val="FFW Level 3"/>
    <w:basedOn w:val="Normal"/>
    <w:locked w:val="1"/>
    <w:pPr>
      <w:numPr>
        <w:ilvl w:val="3"/>
        <w:numId w:val="8"/>
      </w:numPr>
      <w:spacing w:after="0" w:before="240" w:line="260" w:lineRule="atLeast"/>
    </w:pPr>
    <w:rPr>
      <w:rFonts w:ascii="Arial" w:hAnsi="Arial"/>
      <w:sz w:val="20"/>
      <w:szCs w:val="24"/>
      <w:lang w:eastAsia="fr-FR"/>
    </w:rPr>
  </w:style>
  <w:style w:type="paragraph" w:styleId="FFWLevel4" w:customStyle="1">
    <w:name w:val="FFW Level 4"/>
    <w:basedOn w:val="Normal"/>
    <w:link w:val="FFWLevel4Char"/>
    <w:locked w:val="1"/>
    <w:pPr>
      <w:tabs>
        <w:tab w:val="num" w:pos="1587"/>
      </w:tabs>
      <w:spacing w:after="0" w:before="240" w:line="260" w:lineRule="atLeast"/>
      <w:ind w:left="1587" w:hanging="793"/>
    </w:pPr>
    <w:rPr>
      <w:rFonts w:ascii="Arial" w:hAnsi="Arial"/>
      <w:sz w:val="20"/>
      <w:szCs w:val="24"/>
      <w:lang w:eastAsia="fr-FR"/>
    </w:rPr>
  </w:style>
  <w:style w:type="character" w:styleId="FFWLevel4Char" w:customStyle="1">
    <w:name w:val="FFW Level 4 Char"/>
    <w:link w:val="FFWLevel4"/>
    <w:rPr>
      <w:rFonts w:ascii="Arial" w:cs="Arial" w:eastAsia="Times New Roman" w:hAnsi="Arial"/>
      <w:szCs w:val="24"/>
      <w:lang w:eastAsia="fr-FR"/>
    </w:rPr>
  </w:style>
  <w:style w:type="paragraph" w:styleId="FFWLevel5" w:customStyle="1">
    <w:name w:val="FFW Level 5"/>
    <w:basedOn w:val="Normal"/>
    <w:locked w:val="1"/>
    <w:pPr>
      <w:tabs>
        <w:tab w:val="num" w:pos="2381"/>
      </w:tabs>
      <w:spacing w:after="0" w:before="240" w:line="260" w:lineRule="atLeast"/>
      <w:ind w:left="2381" w:hanging="794"/>
    </w:pPr>
    <w:rPr>
      <w:rFonts w:ascii="Arial" w:hAnsi="Arial"/>
      <w:sz w:val="20"/>
      <w:szCs w:val="24"/>
      <w:lang w:eastAsia="fr-FR"/>
    </w:rPr>
  </w:style>
  <w:style w:type="paragraph" w:styleId="FFWLevel6" w:customStyle="1">
    <w:name w:val="FFW Level 6"/>
    <w:basedOn w:val="Normal"/>
    <w:locked w:val="1"/>
    <w:pPr>
      <w:numPr>
        <w:ilvl w:val="5"/>
        <w:numId w:val="8"/>
      </w:numPr>
      <w:spacing w:after="0" w:before="240" w:line="260" w:lineRule="atLeast"/>
    </w:pPr>
    <w:rPr>
      <w:rFonts w:ascii="Arial" w:hAnsi="Arial"/>
      <w:sz w:val="20"/>
      <w:szCs w:val="24"/>
      <w:lang w:eastAsia="fr-FR"/>
    </w:rPr>
  </w:style>
  <w:style w:type="paragraph" w:styleId="FFWBody1" w:customStyle="1">
    <w:name w:val="FFW Body 1"/>
    <w:basedOn w:val="Normal"/>
    <w:locked w:val="1"/>
    <w:pPr>
      <w:spacing w:after="0" w:before="240" w:line="260" w:lineRule="atLeast"/>
      <w:ind w:left="794"/>
    </w:pPr>
    <w:rPr>
      <w:rFonts w:ascii="Arial" w:hAnsi="Arial"/>
      <w:sz w:val="20"/>
      <w:szCs w:val="24"/>
      <w:lang w:eastAsia="fr-FR"/>
    </w:rPr>
  </w:style>
  <w:style w:type="paragraph" w:styleId="FFWDefinitionColumnLevel1" w:customStyle="1">
    <w:name w:val="FFW Definition Column Level 1"/>
    <w:basedOn w:val="Normal"/>
    <w:locked w:val="1"/>
    <w:pPr>
      <w:numPr>
        <w:numId w:val="9"/>
      </w:numPr>
      <w:spacing w:after="0" w:before="240" w:line="260" w:lineRule="atLeast"/>
    </w:pPr>
    <w:rPr>
      <w:rFonts w:ascii="Arial" w:hAnsi="Arial"/>
      <w:sz w:val="20"/>
      <w:szCs w:val="24"/>
      <w:lang w:eastAsia="fr-FR"/>
    </w:rPr>
  </w:style>
  <w:style w:type="paragraph" w:styleId="FFWDefinitionColumnLevel2" w:customStyle="1">
    <w:name w:val="FFW Definition Column Level 2"/>
    <w:basedOn w:val="Normal"/>
    <w:locked w:val="1"/>
    <w:pPr>
      <w:numPr>
        <w:ilvl w:val="1"/>
        <w:numId w:val="9"/>
      </w:numPr>
      <w:spacing w:after="0" w:before="240" w:line="260" w:lineRule="atLeast"/>
    </w:pPr>
    <w:rPr>
      <w:rFonts w:ascii="Arial" w:hAnsi="Arial"/>
      <w:sz w:val="20"/>
      <w:szCs w:val="24"/>
      <w:lang w:eastAsia="fr-FR"/>
    </w:rPr>
  </w:style>
  <w:style w:type="paragraph" w:styleId="FFWBody3" w:customStyle="1">
    <w:name w:val="FFW Body 3"/>
    <w:basedOn w:val="Normal"/>
    <w:locked w:val="1"/>
    <w:pPr>
      <w:spacing w:after="0" w:before="240" w:line="260" w:lineRule="atLeast"/>
      <w:ind w:left="794"/>
    </w:pPr>
    <w:rPr>
      <w:rFonts w:ascii="Arial" w:hAnsi="Arial"/>
      <w:sz w:val="20"/>
      <w:szCs w:val="20"/>
    </w:rPr>
  </w:style>
  <w:style w:type="paragraph" w:styleId="FFWDefinitionLevel1" w:customStyle="1">
    <w:name w:val="FFW Definition Level 1"/>
    <w:basedOn w:val="Normal"/>
    <w:locked w:val="1"/>
    <w:pPr>
      <w:numPr>
        <w:numId w:val="10"/>
      </w:numPr>
      <w:spacing w:after="0" w:before="240" w:line="260" w:lineRule="atLeast"/>
    </w:pPr>
    <w:rPr>
      <w:rFonts w:ascii="Arial" w:hAnsi="Arial"/>
      <w:sz w:val="20"/>
      <w:szCs w:val="24"/>
      <w:lang w:eastAsia="en-GB"/>
    </w:rPr>
  </w:style>
  <w:style w:type="paragraph" w:styleId="MediumGrid21" w:customStyle="1">
    <w:name w:val="Medium Grid 21"/>
    <w:uiPriority w:val="1"/>
    <w:qFormat w:val="1"/>
    <w:rPr>
      <w:rFonts w:ascii="Arial" w:cs="Arial" w:eastAsia="Times New Roman" w:hAnsi="Arial"/>
      <w:sz w:val="24"/>
      <w:szCs w:val="24"/>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locked w:val="1"/>
    <w:rPr>
      <w:rFonts w:ascii="Arial Bold" w:eastAsia="STZhongsong" w:hAnsi="Arial Bold"/>
      <w:b w:val="1"/>
      <w:caps w:val="1"/>
      <w:sz w:val="22"/>
      <w:szCs w:val="22"/>
      <w:lang w:eastAsia="zh-CN"/>
    </w:rPr>
  </w:style>
  <w:style w:type="paragraph" w:styleId="FFWDefinitionLevel2" w:customStyle="1">
    <w:name w:val="FFW Definition Level 2"/>
    <w:basedOn w:val="Normal"/>
    <w:locked w:val="1"/>
    <w:pPr>
      <w:tabs>
        <w:tab w:val="num" w:pos="1587"/>
      </w:tabs>
      <w:spacing w:after="0" w:before="240" w:line="260" w:lineRule="atLeast"/>
      <w:ind w:left="1587" w:hanging="794"/>
    </w:pPr>
    <w:rPr>
      <w:rFonts w:ascii="Arial" w:hAnsi="Arial"/>
      <w:sz w:val="20"/>
      <w:szCs w:val="24"/>
      <w:lang w:eastAsia="fr-FR"/>
    </w:rPr>
  </w:style>
  <w:style w:type="table" w:styleId="TableGrid1" w:customStyle="1">
    <w:name w:val="Table Grid1"/>
    <w:basedOn w:val="TableNormal"/>
    <w:next w:val="TableGrid"/>
    <w:uiPriority w:val="59"/>
    <w:pPr>
      <w:ind w:left="360" w:hanging="36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DefinitionTerm" w:customStyle="1">
    <w:name w:val="GPS Definition Term"/>
    <w:basedOn w:val="Normal"/>
    <w:uiPriority w:val="99"/>
    <w:qFormat w:val="1"/>
    <w:pPr>
      <w:spacing w:after="120"/>
      <w:ind w:left="-108"/>
      <w:jc w:val="left"/>
    </w:pPr>
    <w:rPr>
      <w:b w:val="1"/>
    </w:rPr>
  </w:style>
  <w:style w:type="paragraph" w:styleId="BodyText2">
    <w:name w:val="Body Text 2"/>
    <w:basedOn w:val="Normal"/>
    <w:link w:val="BodyText2Char"/>
    <w:uiPriority w:val="99"/>
    <w:unhideWhenUsed w:val="1"/>
    <w:pPr>
      <w:spacing w:after="120" w:line="480" w:lineRule="auto"/>
    </w:pPr>
  </w:style>
  <w:style w:type="character" w:styleId="BodyText2Char" w:customStyle="1">
    <w:name w:val="Body Text 2 Char"/>
    <w:link w:val="BodyText2"/>
    <w:uiPriority w:val="99"/>
    <w:rPr>
      <w:sz w:val="22"/>
      <w:szCs w:val="22"/>
      <w:lang w:eastAsia="en-US"/>
    </w:rPr>
  </w:style>
  <w:style w:type="paragraph" w:styleId="GPSL1CLAUSEHEADING" w:customStyle="1">
    <w:name w:val="GPS L1 CLAUSE HEADING"/>
    <w:basedOn w:val="Normal"/>
    <w:next w:val="Normal"/>
    <w:link w:val="GPSL1CLAUSEHEADINGChar"/>
    <w:uiPriority w:val="99"/>
    <w:qFormat w:val="1"/>
    <w:pPr>
      <w:numPr>
        <w:numId w:val="15"/>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paragraph" w:styleId="GPSL3numberedclause" w:customStyle="1">
    <w:name w:val="GPS L3 numbered clause"/>
    <w:basedOn w:val="Normal"/>
    <w:link w:val="GPSL3numberedclauseChar"/>
    <w:qFormat w:val="1"/>
    <w:pPr>
      <w:numPr>
        <w:ilvl w:val="2"/>
        <w:numId w:val="15"/>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pPr>
  </w:style>
  <w:style w:type="character" w:styleId="GPSL2numberedclauseChar1" w:customStyle="1">
    <w:name w:val="GPS L2 numbered clause Char1"/>
    <w:link w:val="GPSL2numberedclause"/>
    <w:rPr>
      <w:rFonts w:cs="Arial" w:eastAsia="Times New Roman"/>
      <w:sz w:val="22"/>
      <w:szCs w:val="22"/>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6numbered" w:customStyle="1">
    <w:name w:val="GPS L6 numbered"/>
    <w:basedOn w:val="GPSL5numberedclause"/>
    <w:uiPriority w:val="99"/>
    <w:qFormat w:val="1"/>
    <w:pPr>
      <w:numPr>
        <w:ilvl w:val="5"/>
      </w:numPr>
      <w:tabs>
        <w:tab w:val="left" w:pos="3686"/>
      </w:tabs>
    </w:pPr>
  </w:style>
  <w:style w:type="character" w:styleId="GPSL3numberedclauseChar" w:customStyle="1">
    <w:name w:val="GPS L3 numbered clause Char"/>
    <w:link w:val="GPSL3numberedclause"/>
    <w:rPr>
      <w:rFonts w:cs="Arial" w:eastAsia="Times New Roman"/>
      <w:sz w:val="22"/>
      <w:szCs w:val="22"/>
      <w:lang w:eastAsia="zh-CN"/>
    </w:rPr>
  </w:style>
  <w:style w:type="paragraph" w:styleId="ColorfulShading-Accent11" w:customStyle="1">
    <w:name w:val="Colorful Shading - Accent 11"/>
    <w:hidden w:val="1"/>
    <w:uiPriority w:val="99"/>
    <w:semiHidden w:val="1"/>
    <w:rPr>
      <w:lang w:eastAsia="en-US"/>
    </w:rPr>
  </w:style>
  <w:style w:type="paragraph" w:styleId="GPSL2Numbered" w:customStyle="1">
    <w:name w:val="GPS L2 Numbered"/>
    <w:basedOn w:val="GPSL2NumberedBoldHeading"/>
    <w:link w:val="GPSL2NumberedChar"/>
    <w:qFormat w:val="1"/>
    <w:pPr>
      <w:numPr>
        <w:ilvl w:val="0"/>
        <w:numId w:val="0"/>
      </w:numPr>
      <w:tabs>
        <w:tab w:val="clear" w:pos="1134"/>
      </w:tabs>
    </w:pPr>
    <w:rPr>
      <w:b w:val="0"/>
    </w:rPr>
  </w:style>
  <w:style w:type="character" w:styleId="GPSL2NumberedChar" w:customStyle="1">
    <w:name w:val="GPS L2 Numbered Char"/>
    <w:link w:val="GPSL2Numbered"/>
    <w:locked w:val="1"/>
    <w:rPr>
      <w:rFonts w:cs="Arial" w:eastAsia="Times New Roman"/>
      <w:sz w:val="22"/>
      <w:szCs w:val="22"/>
      <w:lang w:eastAsia="zh-CN"/>
    </w:rPr>
  </w:style>
  <w:style w:type="paragraph" w:styleId="GPSL1SCHEDULEHeading" w:customStyle="1">
    <w:name w:val="GPS L1 SCHEDULE Heading"/>
    <w:basedOn w:val="GPSL1CLAUSEHEADING"/>
    <w:link w:val="GPSL1SCHEDULEHeadingChar"/>
    <w:qFormat w:val="1"/>
    <w:pPr>
      <w:numPr>
        <w:numId w:val="0"/>
      </w:numPr>
      <w:outlineLvl w:val="9"/>
    </w:pPr>
  </w:style>
  <w:style w:type="character" w:styleId="GPSL1SCHEDULEHeadingChar" w:customStyle="1">
    <w:name w:val="GPS L1 SCHEDULE Heading Char"/>
    <w:link w:val="GPSL1SCHEDULEHeading"/>
    <w:locked w:val="1"/>
    <w:rPr>
      <w:rFonts w:cs="Arial" w:eastAsia="STZhongsong"/>
      <w:b w:val="1"/>
      <w:caps w:val="1"/>
      <w:sz w:val="22"/>
      <w:szCs w:val="22"/>
      <w:lang w:eastAsia="zh-CN"/>
    </w:rPr>
  </w:style>
  <w:style w:type="paragraph" w:styleId="GPSL2NumberedBoldHeading" w:customStyle="1">
    <w:name w:val="GPS L2 Numbered Bold Heading"/>
    <w:basedOn w:val="Normal"/>
    <w:link w:val="GPSL2NumberedBoldHeadingChar"/>
    <w:qFormat w:val="1"/>
    <w:pPr>
      <w:numPr>
        <w:ilvl w:val="1"/>
        <w:numId w:val="15"/>
      </w:numPr>
      <w:tabs>
        <w:tab w:val="left" w:pos="1134"/>
      </w:tabs>
      <w:overflowPunct w:val="1"/>
      <w:autoSpaceDE w:val="1"/>
      <w:autoSpaceDN w:val="1"/>
      <w:spacing w:after="120" w:before="120"/>
      <w:textAlignment w:val="auto"/>
    </w:pPr>
    <w:rPr>
      <w:b w:val="1"/>
      <w:lang w:eastAsia="zh-CN"/>
    </w:rPr>
  </w:style>
  <w:style w:type="paragraph" w:styleId="GPsDefinition" w:customStyle="1">
    <w:name w:val="GPs Definition"/>
    <w:basedOn w:val="Normal"/>
    <w:uiPriority w:val="99"/>
    <w:qFormat w:val="1"/>
    <w:pPr>
      <w:numPr>
        <w:numId w:val="14"/>
      </w:numPr>
      <w:tabs>
        <w:tab w:val="left" w:pos="175"/>
      </w:tabs>
      <w:spacing w:after="120"/>
    </w:pPr>
  </w:style>
  <w:style w:type="paragraph" w:styleId="GPSDefinitionL2" w:customStyle="1">
    <w:name w:val="GPS Definition L2"/>
    <w:basedOn w:val="GPsDefinition"/>
    <w:uiPriority w:val="99"/>
    <w:qFormat w:val="1"/>
    <w:pPr>
      <w:numPr>
        <w:ilvl w:val="1"/>
      </w:numPr>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character" w:styleId="GPSL1CLAUSEHEADINGChar" w:customStyle="1">
    <w:name w:val="GPS L1 CLAUSE HEADING Char"/>
    <w:link w:val="GPSL1CLAUSEHEADING"/>
    <w:uiPriority w:val="99"/>
    <w:rPr>
      <w:rFonts w:cs="Arial" w:eastAsia="STZhongsong"/>
      <w:b w:val="1"/>
      <w:caps w:val="1"/>
      <w:sz w:val="22"/>
      <w:szCs w:val="22"/>
      <w:lang w:eastAsia="zh-CN"/>
    </w:rPr>
  </w:style>
  <w:style w:type="character" w:styleId="GPSL2NumberedBoldHeadingChar" w:customStyle="1">
    <w:name w:val="GPS L2 Numbered Bold Heading Char"/>
    <w:link w:val="GPSL2NumberedBoldHeading"/>
    <w:locked w:val="1"/>
    <w:rPr>
      <w:rFonts w:cs="Arial" w:eastAsia="Times New Roman"/>
      <w:b w:val="1"/>
      <w:sz w:val="22"/>
      <w:szCs w:val="22"/>
      <w:lang w:eastAsia="zh-CN"/>
    </w:rPr>
  </w:style>
  <w:style w:type="character" w:styleId="GPSL4numberedclauseChar" w:customStyle="1">
    <w:name w:val="GPS L4 numbered clause Char"/>
    <w:link w:val="GPSL4numberedclause"/>
    <w:locked w:val="1"/>
    <w:rPr>
      <w:rFonts w:cs="Arial" w:eastAsia="Times New Roman"/>
      <w:sz w:val="22"/>
      <w:szCs w:val="22"/>
      <w:lang w:eastAsia="zh-CN"/>
    </w:rPr>
  </w:style>
  <w:style w:type="character" w:styleId="GPSL5numberedclauseChar" w:customStyle="1">
    <w:name w:val="GPS L5 numbered clause Char"/>
    <w:link w:val="GPSL5numberedclause"/>
    <w:locked w:val="1"/>
    <w:rPr>
      <w:rFonts w:cs="Arial" w:eastAsia="Times New Roman"/>
      <w:sz w:val="22"/>
      <w:szCs w:val="22"/>
      <w:lang w:eastAsia="zh-CN"/>
    </w:rPr>
  </w:style>
  <w:style w:type="paragraph" w:styleId="GPSmacrorestart" w:customStyle="1">
    <w:name w:val="GPS macro restart"/>
    <w:basedOn w:val="Normal"/>
    <w:qFormat w:val="1"/>
    <w:pPr>
      <w:spacing w:after="0"/>
    </w:pPr>
    <w:rPr>
      <w:color w:val="ffffff"/>
      <w:sz w:val="16"/>
      <w:szCs w:val="16"/>
    </w:rPr>
  </w:style>
  <w:style w:type="paragraph" w:styleId="Normal1" w:customStyle="1">
    <w:name w:val="Normal1"/>
    <w:pPr>
      <w:widowControl w:val="0"/>
      <w:spacing w:after="80"/>
    </w:pPr>
    <w:rPr>
      <w:color w:val="000000"/>
      <w:lang w:eastAsia="en-US"/>
    </w:rPr>
  </w:style>
  <w:style w:type="paragraph" w:styleId="ListParagraph">
    <w:name w:val="List Paragraph"/>
    <w:basedOn w:val="Normal"/>
    <w:uiPriority w:val="34"/>
    <w:qFormat w:val="1"/>
    <w:rsid w:val="006630B3"/>
    <w:pPr>
      <w:overflowPunct w:val="1"/>
      <w:autoSpaceDE w:val="1"/>
      <w:autoSpaceDN w:val="1"/>
      <w:adjustRightInd w:val="1"/>
      <w:ind w:left="720"/>
      <w:textAlignment w:val="auto"/>
    </w:pPr>
    <w:rPr>
      <w:rFonts w:asciiTheme="minorHAnsi" w:cstheme="minorBidi" w:eastAsiaTheme="minorHAnsi" w:hAnsiTheme="minorHAnsi"/>
    </w:rPr>
  </w:style>
  <w:style w:type="paragraph" w:styleId="aDefinition" w:customStyle="1">
    <w:name w:val="(a) Definition"/>
    <w:basedOn w:val="Body"/>
    <w:qFormat w:val="1"/>
    <w:rsid w:val="008C76D4"/>
    <w:pPr>
      <w:tabs>
        <w:tab w:val="num" w:pos="851"/>
      </w:tabs>
      <w:overflowPunct w:val="1"/>
      <w:autoSpaceDE w:val="1"/>
      <w:autoSpaceDN w:val="1"/>
      <w:adjustRightInd w:val="1"/>
      <w:ind w:left="851" w:hanging="851"/>
      <w:textAlignment w:val="auto"/>
    </w:pPr>
    <w:rPr>
      <w:rFonts w:ascii="Verdana" w:cs="Times New Roman" w:hAnsi="Verdana"/>
      <w:sz w:val="18"/>
      <w:szCs w:val="18"/>
      <w:lang w:eastAsia="zh-CN"/>
    </w:rPr>
  </w:style>
  <w:style w:type="paragraph" w:styleId="iDefinition" w:customStyle="1">
    <w:name w:val="(i) Definition"/>
    <w:basedOn w:val="Body"/>
    <w:qFormat w:val="1"/>
    <w:rsid w:val="008C76D4"/>
    <w:pPr>
      <w:tabs>
        <w:tab w:val="num" w:pos="1843"/>
      </w:tabs>
      <w:overflowPunct w:val="1"/>
      <w:autoSpaceDE w:val="1"/>
      <w:autoSpaceDN w:val="1"/>
      <w:adjustRightInd w:val="1"/>
      <w:ind w:left="1843" w:hanging="992"/>
      <w:textAlignment w:val="auto"/>
    </w:pPr>
    <w:rPr>
      <w:rFonts w:ascii="Verdana" w:cs="Times New Roman" w:hAnsi="Verdana"/>
      <w:sz w:val="18"/>
      <w:szCs w:val="18"/>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D40C3F"/>
    <w:pPr>
      <w:spacing w:after="0"/>
      <w:jc w:val="left"/>
    </w:pPr>
    <w:rPr>
      <w:rFonts w:cs="Arial" w:eastAsia="Times New Roman"/>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TnNpVYOFEVTMoZC8QBOtl7i+Q==">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2024-03-11T10:20:00Z</dcterms:created>
  <dc:creator>Rebecca Dobbs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SERIALNO">
    <vt:i4>11311</vt:i4>
  </property>
  <property fmtid="{D5CDD505-2E9C-101B-9397-08002B2CF9AE}" pid="4" name="EDITION">
    <vt:lpwstr>FM</vt:lpwstr>
  </property>
  <property fmtid="{D5CDD505-2E9C-101B-9397-08002B2CF9AE}" pid="5" name="COMPANYID">
    <vt:i4>2122615613</vt:i4>
  </property>
  <property fmtid="{D5CDD505-2E9C-101B-9397-08002B2CF9AE}" pid="6" name="DOCID">
    <vt:lpwstr/>
  </property>
  <property fmtid="{D5CDD505-2E9C-101B-9397-08002B2CF9AE}" pid="7" name="ASSOCID">
    <vt:i4>1176589</vt:i4>
  </property>
  <property fmtid="{D5CDD505-2E9C-101B-9397-08002B2CF9AE}" pid="8" name="CLIENTID">
    <vt:i4>4275</vt:i4>
  </property>
  <property fmtid="{D5CDD505-2E9C-101B-9397-08002B2CF9AE}" pid="9" name="FILEID">
    <vt:i4>268975</vt:i4>
  </property>
  <property fmtid="{D5CDD505-2E9C-101B-9397-08002B2CF9AE}" pid="10" name="ContentTypeId">
    <vt:lpwstr>0x010100C9815FA963B65E4DA3B3F11C36187C77</vt:lpwstr>
  </property>
</Properties>
</file>