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Framework Schedule 7 (Call-Off Award Procedure</w:t>
      </w:r>
      <w:bookmarkStart w:colFirst="0" w:colLast="0" w:name="bookmark=id.gjdgxs" w:id="0"/>
      <w:bookmarkEnd w:id="0"/>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2">
      <w:pPr>
        <w:pageBreakBefore w:val="0"/>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RM6297 Print and Digital Communications</w:t>
      </w:r>
    </w:p>
    <w:p w:rsidR="00000000" w:rsidDel="00000000" w:rsidP="00000000" w:rsidRDefault="00000000" w:rsidRPr="00000000" w14:paraId="00000003">
      <w:pPr>
        <w:pageBreakBefore w:val="0"/>
        <w:widowControl w:val="1"/>
        <w:pBdr>
          <w:top w:space="0" w:sz="0" w:val="nil"/>
          <w:left w:space="0" w:sz="0" w:val="nil"/>
          <w:bottom w:space="0" w:sz="0" w:val="nil"/>
          <w:right w:space="0" w:sz="0" w:val="nil"/>
          <w:between w:space="0" w:sz="0" w:val="nil"/>
        </w:pBdr>
        <w:spacing w:after="120" w:befor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Part 1: Order Procedure</w:t>
      </w:r>
    </w:p>
    <w:p w:rsidR="00000000" w:rsidDel="00000000" w:rsidP="00000000" w:rsidRDefault="00000000" w:rsidRPr="00000000" w14:paraId="00000004">
      <w:pPr>
        <w:keepNext w:val="1"/>
        <w:pageBreakBefore w:val="0"/>
        <w:widowControl w:val="1"/>
        <w:numPr>
          <w:ilvl w:val="0"/>
          <w:numId w:val="4"/>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Call-Off Contract is awarded</w:t>
      </w:r>
    </w:p>
    <w:p w:rsidR="00000000" w:rsidDel="00000000" w:rsidP="00000000" w:rsidRDefault="00000000" w:rsidRPr="00000000" w14:paraId="00000005">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potential Buyer decides to source Deliverables through this Contract then it will award its Deliverables in accordance with the procedure in this Schedule and the requirements of the Regulations.</w:t>
      </w:r>
    </w:p>
    <w:p w:rsidR="00000000" w:rsidDel="00000000" w:rsidP="00000000" w:rsidRDefault="00000000" w:rsidRPr="00000000" w14:paraId="00000006">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If the potential Buyer can determine that:</w:t>
      </w:r>
    </w:p>
    <w:p w:rsidR="00000000" w:rsidDel="00000000" w:rsidP="00000000" w:rsidRDefault="00000000" w:rsidRPr="00000000" w14:paraId="00000007">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08">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of the terms of the proposed Call-Off Contract are laid down in this Contract and do not require amendment or any supplementary terms and conditions;</w:t>
      </w:r>
    </w:p>
    <w:p w:rsidR="00000000" w:rsidDel="00000000" w:rsidP="00000000" w:rsidRDefault="00000000" w:rsidRPr="00000000" w14:paraId="00000009">
      <w:pPr>
        <w:pageBreakBefore w:val="0"/>
        <w:widowControl w:val="1"/>
        <w:pBdr>
          <w:top w:space="0" w:sz="0" w:val="nil"/>
          <w:left w:space="0" w:sz="0" w:val="nil"/>
          <w:bottom w:space="0" w:sz="0" w:val="nil"/>
          <w:right w:space="0" w:sz="0" w:val="nil"/>
          <w:between w:space="0" w:sz="0" w:val="nil"/>
        </w:pBdr>
        <w:tabs>
          <w:tab w:val="left" w:leader="none" w:pos="4536"/>
        </w:tabs>
        <w:spacing w:after="2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procedure set out in Paragraph 2 below.</w:t>
      </w:r>
    </w:p>
    <w:p w:rsidR="00000000" w:rsidDel="00000000" w:rsidP="00000000" w:rsidRDefault="00000000" w:rsidRPr="00000000" w14:paraId="0000000A">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all of the terms of the proposed Call-Off Contract are not laid down in this Contract and the potential Buyer:</w:t>
      </w:r>
    </w:p>
    <w:p w:rsidR="00000000" w:rsidDel="00000000" w:rsidP="00000000" w:rsidRDefault="00000000" w:rsidRPr="00000000" w14:paraId="0000000B">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requires the Supplier to develop proposals or a solution in respect of such Deliverables; and/or</w:t>
      </w:r>
    </w:p>
    <w:p w:rsidR="00000000" w:rsidDel="00000000" w:rsidP="00000000" w:rsidRDefault="00000000" w:rsidRPr="00000000" w14:paraId="0000000C">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D">
      <w:pPr>
        <w:pageBreakBefore w:val="0"/>
        <w:widowControl w:val="1"/>
        <w:pBdr>
          <w:top w:space="0" w:sz="0" w:val="nil"/>
          <w:left w:space="0" w:sz="0" w:val="nil"/>
          <w:bottom w:space="0" w:sz="0" w:val="nil"/>
          <w:right w:space="0" w:sz="0" w:val="nil"/>
          <w:between w:space="0" w:sz="0" w:val="nil"/>
        </w:pBdr>
        <w:tabs>
          <w:tab w:val="left" w:leader="none" w:pos="4536"/>
        </w:tabs>
        <w:spacing w:after="220" w:lineRule="auto"/>
        <w:ind w:left="90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Further Competition Procedure set out in Paragraph 3 below.</w:t>
      </w:r>
    </w:p>
    <w:p w:rsidR="00000000" w:rsidDel="00000000" w:rsidP="00000000" w:rsidRDefault="00000000" w:rsidRPr="00000000" w14:paraId="0000000E">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direct award works</w:t>
      </w:r>
    </w:p>
    <w:p w:rsidR="00000000" w:rsidDel="00000000" w:rsidP="00000000" w:rsidRDefault="00000000" w:rsidRPr="00000000" w14:paraId="0000000F">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1.2 above the Buyer awarding a Call-Off Contract under this Contract without holding a further competition shall:</w:t>
      </w:r>
    </w:p>
    <w:p w:rsidR="00000000" w:rsidDel="00000000" w:rsidP="00000000" w:rsidRDefault="00000000" w:rsidRPr="00000000" w14:paraId="00000010">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develop a clear Statement of Requirements;</w:t>
      </w:r>
    </w:p>
    <w:p w:rsidR="00000000" w:rsidDel="00000000" w:rsidP="00000000" w:rsidRDefault="00000000" w:rsidRPr="00000000" w14:paraId="00000011">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000000" w:rsidDel="00000000" w:rsidP="00000000" w:rsidRDefault="00000000" w:rsidRPr="00000000" w14:paraId="00000012">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the Call-Off Contract with the successful Supplier in accordance with Paragraph 6 below.</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a further competition works</w:t>
      </w:r>
    </w:p>
    <w:p w:rsidR="00000000" w:rsidDel="00000000" w:rsidP="00000000" w:rsidRDefault="00000000" w:rsidRPr="00000000" w14:paraId="00000015">
      <w:pPr>
        <w:keepNext w:val="1"/>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1134" w:hanging="774"/>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Buyer has to do</w:t>
      </w:r>
    </w:p>
    <w:p w:rsidR="00000000" w:rsidDel="00000000" w:rsidP="00000000" w:rsidRDefault="00000000" w:rsidRPr="00000000" w14:paraId="00000016">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awarding a Call-Off Contract under this Contract through a Further Competition Procedure shall:</w:t>
      </w:r>
    </w:p>
    <w:p w:rsidR="00000000" w:rsidDel="00000000" w:rsidP="00000000" w:rsidRDefault="00000000" w:rsidRPr="00000000" w14:paraId="00000017">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develop a Statement of Requirements setting out its requirements for the Deliverables and identify the Suppliers capable of supplying the them;</w:t>
      </w:r>
    </w:p>
    <w:p w:rsidR="00000000" w:rsidDel="00000000" w:rsidP="00000000" w:rsidRDefault="00000000" w:rsidRPr="00000000" w14:paraId="00000018">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amend or refine the Deliverables to reflect its requirements by using the Order Form only to the extent permitted by and in accordance with the requirements of the Regulations;</w:t>
      </w:r>
    </w:p>
    <w:p w:rsidR="00000000" w:rsidDel="00000000" w:rsidP="00000000" w:rsidRDefault="00000000" w:rsidRPr="00000000" w14:paraId="00000019">
      <w:pPr>
        <w:keepNext w:val="1"/>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invite tenders by conducting a Further Competition Procedure for its Deliverables in accordance with the Regulations and in particular:</w:t>
      </w:r>
    </w:p>
    <w:p w:rsidR="00000000" w:rsidDel="00000000" w:rsidP="00000000" w:rsidRDefault="00000000" w:rsidRPr="00000000" w14:paraId="0000001A">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000000" w:rsidDel="00000000" w:rsidP="00000000" w:rsidRDefault="00000000" w:rsidRPr="00000000" w14:paraId="0000001B">
      <w:pPr>
        <w:keepNext w:val="1"/>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Electronic Reverse Auction is not used, the Buyer shall:</w:t>
      </w:r>
    </w:p>
    <w:p w:rsidR="00000000" w:rsidDel="00000000" w:rsidP="00000000" w:rsidRDefault="00000000" w:rsidRPr="00000000" w14:paraId="0000001C">
      <w:pPr>
        <w:pageBreakBefore w:val="0"/>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invite the Suppliers identified in accordance with Paragraph 3.1.1 to submit a tender in writing for each proposed Call-Off Contract to be awarded by giving written notice by email to the relevant Supplier Representative of each Supplier;</w:t>
      </w:r>
    </w:p>
    <w:p w:rsidR="00000000" w:rsidDel="00000000" w:rsidP="00000000" w:rsidRDefault="00000000" w:rsidRPr="00000000" w14:paraId="0000001D">
      <w:pPr>
        <w:pageBreakBefore w:val="0"/>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 a time limit for the receipt by it of the tenders which takes into account factors such as the complexity of the subject matter of the proposed Call-Off Contract and the time needed to submit tenders; and</w:t>
      </w:r>
    </w:p>
    <w:p w:rsidR="00000000" w:rsidDel="00000000" w:rsidP="00000000" w:rsidRDefault="00000000" w:rsidRPr="00000000" w14:paraId="0000001E">
      <w:pPr>
        <w:pageBreakBefore w:val="0"/>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keep each tender confidential until the time limit set out for the return of tenders has expired.</w:t>
      </w:r>
    </w:p>
    <w:p w:rsidR="00000000" w:rsidDel="00000000" w:rsidP="00000000" w:rsidRDefault="00000000" w:rsidRPr="00000000" w14:paraId="0000001F">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apply the further competition award criteria to the Suppliers' compliant tenders submitted through the Further Competition Procedure as the basis of its decision to award a Call-Off Contract for its Deliverables;</w:t>
      </w:r>
    </w:p>
    <w:p w:rsidR="00000000" w:rsidDel="00000000" w:rsidP="00000000" w:rsidRDefault="00000000" w:rsidRPr="00000000" w14:paraId="00000020">
      <w:pPr>
        <w:keepNext w:val="1"/>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basis set out above, award its Call-Off Contract to the successful Supplier in accordance with Paragraph 6. The Call-Off Contract shall:</w:t>
      </w:r>
    </w:p>
    <w:p w:rsidR="00000000" w:rsidDel="00000000" w:rsidP="00000000" w:rsidRDefault="00000000" w:rsidRPr="00000000" w14:paraId="00000021">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Deliverables;</w:t>
      </w:r>
    </w:p>
    <w:p w:rsidR="00000000" w:rsidDel="00000000" w:rsidP="00000000" w:rsidRDefault="00000000" w:rsidRPr="00000000" w14:paraId="00000022">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tender submitted by the successful Supplier;</w:t>
      </w:r>
    </w:p>
    <w:p w:rsidR="00000000" w:rsidDel="00000000" w:rsidP="00000000" w:rsidRDefault="00000000" w:rsidRPr="00000000" w14:paraId="00000023">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state the Charges payable for the Deliverables in accordance with the tender submitted by the successful Supplier; and</w:t>
      </w:r>
    </w:p>
    <w:p w:rsidR="00000000" w:rsidDel="00000000" w:rsidP="00000000" w:rsidRDefault="00000000" w:rsidRPr="00000000" w14:paraId="00000024">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incorporate the terms [of the Order Form and Contract] (as may be amended or refined by the Buyer in accordance with Paragraph 3.1.2. above) applicable to the Deliverables,</w:t>
      </w:r>
    </w:p>
    <w:p w:rsidR="00000000" w:rsidDel="00000000" w:rsidP="00000000" w:rsidRDefault="00000000" w:rsidRPr="00000000" w14:paraId="00000025">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unsuccessful Suppliers with written feedback in relation to the reasons why their tenders were unsuccessful.</w:t>
      </w:r>
    </w:p>
    <w:p w:rsidR="00000000" w:rsidDel="00000000" w:rsidP="00000000" w:rsidRDefault="00000000" w:rsidRPr="00000000" w14:paraId="00000026">
      <w:pPr>
        <w:keepNext w:val="1"/>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Supplier has to do</w:t>
      </w:r>
    </w:p>
    <w:p w:rsidR="00000000" w:rsidDel="00000000" w:rsidP="00000000" w:rsidRDefault="00000000" w:rsidRPr="00000000" w14:paraId="00000027">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shall in writing, by the time and date specified by the Buyer following an invitation to tender pursuant to Paragraph 3.1.3 above, provide CCS and the Buyer with either:</w:t>
      </w:r>
      <w:r w:rsidDel="00000000" w:rsidR="00000000" w:rsidRPr="00000000">
        <w:rPr>
          <w:rtl w:val="0"/>
        </w:rPr>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to the effect that it does not wish to tender in relation to the Deliverables; or</w:t>
      </w:r>
    </w:p>
    <w:p w:rsidR="00000000" w:rsidDel="00000000" w:rsidP="00000000" w:rsidRDefault="00000000" w:rsidRPr="00000000" w14:paraId="0000002A">
      <w:pPr>
        <w:keepNext w:val="1"/>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2B">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email response subject line to comprise unique reference number and Supplier name, so as to clearly identify the Supplier;</w:t>
      </w:r>
    </w:p>
    <w:p w:rsidR="00000000" w:rsidDel="00000000" w:rsidP="00000000" w:rsidRDefault="00000000" w:rsidRPr="00000000" w14:paraId="0000002C">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2D">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proposal covering the Deliverables;</w:t>
      </w:r>
    </w:p>
    <w:p w:rsidR="00000000" w:rsidDel="00000000" w:rsidP="00000000" w:rsidRDefault="00000000" w:rsidRPr="00000000" w14:paraId="0000002E">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CVs of key staff – as a minimum any lead consultant, with others, as considered appropriate along with required staff levels (if necessary); and</w:t>
      </w:r>
    </w:p>
    <w:p w:rsidR="00000000" w:rsidDel="00000000" w:rsidP="00000000" w:rsidRDefault="00000000" w:rsidRPr="00000000" w14:paraId="0000002F">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of discounts applicable to the Deliverables, as referenced in Framework Schedule 3 (Framework Prices) (if applicable).</w:t>
      </w:r>
    </w:p>
    <w:p w:rsidR="00000000" w:rsidDel="00000000" w:rsidP="00000000" w:rsidRDefault="00000000" w:rsidRPr="00000000" w14:paraId="00000030">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000000" w:rsidDel="00000000" w:rsidP="00000000" w:rsidRDefault="00000000" w:rsidRPr="00000000" w14:paraId="00000031">
      <w:pPr>
        <w:keepNext w:val="1"/>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that:</w:t>
      </w:r>
    </w:p>
    <w:p w:rsidR="00000000" w:rsidDel="00000000" w:rsidP="00000000" w:rsidRDefault="00000000" w:rsidRPr="00000000" w14:paraId="00000032">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33">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592" w:hanging="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34">
      <w:pPr>
        <w:pageBreakBefore w:val="0"/>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35">
      <w:pPr>
        <w:pageBreakBefore w:val="0"/>
        <w:widowControl w:val="1"/>
        <w:numPr>
          <w:ilvl w:val="4"/>
          <w:numId w:val="3"/>
        </w:numPr>
        <w:pBdr>
          <w:top w:space="0" w:sz="0" w:val="nil"/>
          <w:left w:space="0" w:sz="0" w:val="nil"/>
          <w:bottom w:space="0" w:sz="0" w:val="nil"/>
          <w:right w:space="0" w:sz="0" w:val="nil"/>
          <w:between w:space="0" w:sz="0" w:val="nil"/>
        </w:pBdr>
        <w:tabs>
          <w:tab w:val="left" w:leader="none" w:pos="6238"/>
        </w:tabs>
        <w:spacing w:after="120" w:before="120" w:lineRule="auto"/>
        <w:ind w:left="3119"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36">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No requirement to award</w:t>
      </w:r>
      <w:r w:rsidDel="00000000" w:rsidR="00000000" w:rsidRPr="00000000">
        <w:rPr>
          <w:rtl w:val="0"/>
        </w:rPr>
      </w:r>
    </w:p>
    <w:p w:rsidR="00000000" w:rsidDel="00000000" w:rsidP="00000000" w:rsidRDefault="00000000" w:rsidRPr="00000000" w14:paraId="00000037">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000000" w:rsidDel="00000000" w:rsidP="00000000" w:rsidRDefault="00000000" w:rsidRPr="00000000" w14:paraId="00000038">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Who is responsible for the award</w:t>
      </w:r>
    </w:p>
    <w:p w:rsidR="00000000" w:rsidDel="00000000" w:rsidP="00000000" w:rsidRDefault="00000000" w:rsidRPr="00000000" w14:paraId="00000039">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000000" w:rsidDel="00000000" w:rsidP="00000000" w:rsidRDefault="00000000" w:rsidRPr="00000000" w14:paraId="0000003A">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conduct of Buyer in relation to this Contract; or</w:t>
      </w:r>
    </w:p>
    <w:p w:rsidR="00000000" w:rsidDel="00000000" w:rsidP="00000000" w:rsidRDefault="00000000" w:rsidRPr="00000000" w14:paraId="0000003B">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or non-performance of any Call-Off Contracts between the Supplier and Buyer entered into pursuant to this Contract.</w:t>
      </w:r>
    </w:p>
    <w:p w:rsidR="00000000" w:rsidDel="00000000" w:rsidP="00000000" w:rsidRDefault="00000000" w:rsidRPr="00000000" w14:paraId="0000003C">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 Call-Off Contract</w:t>
      </w:r>
      <w:r w:rsidDel="00000000" w:rsidR="00000000" w:rsidRPr="00000000">
        <w:rPr>
          <w:rtl w:val="0"/>
        </w:rPr>
      </w:r>
    </w:p>
    <w:p w:rsidR="00000000" w:rsidDel="00000000" w:rsidP="00000000" w:rsidRDefault="00000000" w:rsidRPr="00000000" w14:paraId="0000003D">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000000" w:rsidDel="00000000" w:rsidP="00000000" w:rsidRDefault="00000000" w:rsidRPr="00000000" w14:paraId="0000003E">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Call-Off Contract) which is not as described in this Paragraph 6 shall not constitute a Call-Off Contract under this Contract.</w:t>
      </w:r>
    </w:p>
    <w:p w:rsidR="00000000" w:rsidDel="00000000" w:rsidP="00000000" w:rsidRDefault="00000000" w:rsidRPr="00000000" w14:paraId="0000003F">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On receipt of an order form as described in Paragraph 6.1 from a Buyer the Supplier shall accept the Call-Off Contract by promptly signing and returning (including by electronic means) a copy of the order form to the Buyer concerned.</w:t>
      </w:r>
    </w:p>
    <w:p w:rsidR="00000000" w:rsidDel="00000000" w:rsidP="00000000" w:rsidRDefault="00000000" w:rsidRPr="00000000" w14:paraId="00000040">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000000" w:rsidDel="00000000" w:rsidP="00000000" w:rsidRDefault="00000000" w:rsidRPr="00000000" w14:paraId="00000041">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e-auctions work</w:t>
      </w:r>
      <w:r w:rsidDel="00000000" w:rsidR="00000000" w:rsidRPr="00000000">
        <w:rPr>
          <w:rtl w:val="0"/>
        </w:rPr>
      </w:r>
    </w:p>
    <w:p w:rsidR="00000000" w:rsidDel="00000000" w:rsidP="00000000" w:rsidRDefault="00000000" w:rsidRPr="00000000" w14:paraId="00000042">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be entitled to include a reverse auction in the Further Competition Procedure in accordance with the rules laid down by the Buyer and the Regulations.</w:t>
      </w:r>
    </w:p>
    <w:p w:rsidR="00000000" w:rsidDel="00000000" w:rsidP="00000000" w:rsidRDefault="00000000" w:rsidRPr="00000000" w14:paraId="00000043">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Where the Buyer wishes to undertake an electronic reverse auction, where Suppliers compete in real time by bidding as the auction unfolds (</w:t>
      </w:r>
      <w:r w:rsidDel="00000000" w:rsidR="00000000" w:rsidRPr="00000000">
        <w:rPr>
          <w:rFonts w:ascii="Arial" w:cs="Arial" w:eastAsia="Arial" w:hAnsi="Arial"/>
          <w:b w:val="1"/>
          <w:color w:val="000000"/>
          <w:sz w:val="24"/>
          <w:szCs w:val="24"/>
          <w:rtl w:val="0"/>
        </w:rPr>
        <w:t xml:space="preserve">"Electronic Reverse Auction"</w:t>
      </w:r>
      <w:r w:rsidDel="00000000" w:rsidR="00000000" w:rsidRPr="00000000">
        <w:rPr>
          <w:rFonts w:ascii="Arial" w:cs="Arial" w:eastAsia="Arial" w:hAnsi="Arial"/>
          <w:color w:val="000000"/>
          <w:sz w:val="24"/>
          <w:szCs w:val="24"/>
          <w:rtl w:val="0"/>
        </w:rPr>
        <w:t xml:space="preserve">)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rsidR="00000000" w:rsidDel="00000000" w:rsidP="00000000" w:rsidRDefault="00000000" w:rsidRPr="00000000" w14:paraId="00000044">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will inform the Suppliers of the specification for the Electronic Reverse Auction which shall include:</w:t>
      </w:r>
    </w:p>
    <w:p w:rsidR="00000000" w:rsidDel="00000000" w:rsidP="00000000" w:rsidRDefault="00000000" w:rsidRPr="00000000" w14:paraId="00000045">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to be provided at auction, which must be expressed in figures or percentages of the specified quantifiable features;</w:t>
      </w:r>
    </w:p>
    <w:p w:rsidR="00000000" w:rsidDel="00000000" w:rsidP="00000000" w:rsidRDefault="00000000" w:rsidRPr="00000000" w14:paraId="00000046">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mathematical formula to be used to determine automatic ranking of bids on the basis of new prices and/or new values submitted;  </w:t>
      </w:r>
    </w:p>
    <w:p w:rsidR="00000000" w:rsidDel="00000000" w:rsidP="00000000" w:rsidRDefault="00000000" w:rsidRPr="00000000" w14:paraId="00000047">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limits on the values which may be submitted;</w:t>
      </w:r>
    </w:p>
    <w:p w:rsidR="00000000" w:rsidDel="00000000" w:rsidP="00000000" w:rsidRDefault="00000000" w:rsidRPr="00000000" w14:paraId="00000048">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any information which will be made available to Suppliers in the course of the Electronic Reverse Auction, and when it will be made available to them;</w:t>
      </w:r>
    </w:p>
    <w:p w:rsidR="00000000" w:rsidDel="00000000" w:rsidP="00000000" w:rsidRDefault="00000000" w:rsidRPr="00000000" w14:paraId="00000049">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the conditions under which Suppliers will be able to bid and, in particular, the minimum differences which will, where appropriate, be required when bidding;</w:t>
      </w:r>
    </w:p>
    <w:p w:rsidR="00000000" w:rsidDel="00000000" w:rsidP="00000000" w:rsidRDefault="00000000" w:rsidRPr="00000000" w14:paraId="0000004A">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information concerning the electronic equipment used and the arrangements and technical specification for connection;</w:t>
      </w:r>
    </w:p>
    <w:p w:rsidR="00000000" w:rsidDel="00000000" w:rsidP="00000000" w:rsidRDefault="00000000" w:rsidRPr="00000000" w14:paraId="0000004B">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7.5, the date and time of the start of the Electronic Reverse Auction; and</w:t>
      </w:r>
    </w:p>
    <w:p w:rsidR="00000000" w:rsidDel="00000000" w:rsidP="00000000" w:rsidRDefault="00000000" w:rsidRPr="00000000" w14:paraId="0000004C">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when and how the Electronic Reverse Auction will close.</w:t>
      </w:r>
    </w:p>
    <w:p w:rsidR="00000000" w:rsidDel="00000000" w:rsidP="00000000" w:rsidRDefault="00000000" w:rsidRPr="00000000" w14:paraId="0000004D">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The Electronic Reverse Auction may not start sooner than two (2) Working Days after the date on which the specification for the Electronic Reverse Auction has been issued.</w:t>
      </w:r>
    </w:p>
    <w:p w:rsidR="00000000" w:rsidDel="00000000" w:rsidP="00000000" w:rsidRDefault="00000000" w:rsidRPr="00000000" w14:paraId="0000004E">
      <w:pPr>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each phase of the Electronic Reverse Auction the Buyer will communicate to all Suppliers sufficient information to enable them to ascertain their relative ranking.</w:t>
      </w:r>
    </w:p>
    <w:p w:rsidR="00000000" w:rsidDel="00000000" w:rsidP="00000000" w:rsidRDefault="00000000" w:rsidRPr="00000000" w14:paraId="0000004F">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acknowledges and agrees that:</w:t>
      </w:r>
    </w:p>
    <w:p w:rsidR="00000000" w:rsidDel="00000000" w:rsidP="00000000" w:rsidRDefault="00000000" w:rsidRPr="00000000" w14:paraId="00000050">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its officers, servants, agents, group companies, assignees and customers (including CCS) do not guarantee that its access to the Electronic Reverse Auction will be uninterrupted or error-free;</w:t>
      </w:r>
    </w:p>
    <w:p w:rsidR="00000000" w:rsidDel="00000000" w:rsidP="00000000" w:rsidRDefault="00000000" w:rsidRPr="00000000" w14:paraId="00000051">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access to the Electronic Reverse Auction may occasionally be restricted to allow for repairs or maintenance; and</w:t>
      </w:r>
    </w:p>
    <w:p w:rsidR="00000000" w:rsidDel="00000000" w:rsidP="00000000" w:rsidRDefault="00000000" w:rsidRPr="00000000" w14:paraId="00000052">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will comply with all such rules that may be imposed by the Buyer in relation to the operation of the Electronic Reverse Auction.</w:t>
      </w:r>
    </w:p>
    <w:p w:rsidR="00000000" w:rsidDel="00000000" w:rsidP="00000000" w:rsidRDefault="00000000" w:rsidRPr="00000000" w14:paraId="00000053">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will close the Electronic Reverse Auction on the basis of:</w:t>
      </w:r>
    </w:p>
    <w:p w:rsidR="00000000" w:rsidDel="00000000" w:rsidP="00000000" w:rsidRDefault="00000000" w:rsidRPr="00000000" w14:paraId="00000054">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date and time fixed in advance;</w:t>
      </w:r>
    </w:p>
    <w:p w:rsidR="00000000" w:rsidDel="00000000" w:rsidP="00000000" w:rsidRDefault="00000000" w:rsidRPr="00000000" w14:paraId="00000055">
      <w:pPr>
        <w:pageBreakBefore w:val="0"/>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no new prices or values meeting the minimum differences required pursuant to Paragraph 7.3 have been received within the prescribed elapsed time period; or</w:t>
      </w:r>
    </w:p>
    <w:p w:rsidR="00000000" w:rsidDel="00000000" w:rsidP="00000000" w:rsidRDefault="00000000" w:rsidRPr="00000000" w14:paraId="00000056">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all the phases have been completed.]</w:t>
      </w:r>
    </w:p>
    <w:p w:rsidR="00000000" w:rsidDel="00000000" w:rsidP="00000000" w:rsidRDefault="00000000" w:rsidRPr="00000000" w14:paraId="00000057">
      <w:pPr>
        <w:keepNext w:val="1"/>
        <w:pageBreakBefore w:val="0"/>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Awarding and creating an Exempt Call-off Contract</w:t>
      </w:r>
    </w:p>
    <w:p w:rsidR="00000000" w:rsidDel="00000000" w:rsidP="00000000" w:rsidRDefault="00000000" w:rsidRPr="00000000" w14:paraId="00000058">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1 above shall not apply to an Exempt Buyer.</w:t>
      </w:r>
    </w:p>
    <w:p w:rsidR="00000000" w:rsidDel="00000000" w:rsidP="00000000" w:rsidRDefault="00000000" w:rsidRPr="00000000" w14:paraId="00000059">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000000" w:rsidDel="00000000" w:rsidP="00000000" w:rsidRDefault="00000000" w:rsidRPr="00000000" w14:paraId="0000005A">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rsidR="00000000" w:rsidDel="00000000" w:rsidP="00000000" w:rsidRDefault="00000000" w:rsidRPr="00000000" w14:paraId="0000005B">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procedure set out in Paragraph 2 above, if the potential Exempt Buyer can determine that:</w:t>
      </w:r>
    </w:p>
    <w:p w:rsidR="00000000" w:rsidDel="00000000" w:rsidP="00000000" w:rsidRDefault="00000000" w:rsidRPr="00000000" w14:paraId="0000005C">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catalogues and description of the Deliverables as set out in Framework Schedule 1 (Specification) and Framework Schedule 2 (Framework Tender); and</w:t>
      </w:r>
    </w:p>
    <w:p w:rsidR="00000000" w:rsidDel="00000000" w:rsidP="00000000" w:rsidRDefault="00000000" w:rsidRPr="00000000" w14:paraId="0000005D">
      <w:pPr>
        <w:pageBreakBefore w:val="0"/>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accept any required Exempt Procurement Amendments,</w:t>
      </w:r>
    </w:p>
    <w:p w:rsidR="00000000" w:rsidDel="00000000" w:rsidP="00000000" w:rsidRDefault="00000000" w:rsidRPr="00000000" w14:paraId="0000005E">
      <w:pPr>
        <w:pageBreakBefore w:val="0"/>
        <w:widowControl w:val="1"/>
        <w:pBdr>
          <w:top w:space="0" w:sz="0" w:val="nil"/>
          <w:left w:space="0" w:sz="0" w:val="nil"/>
          <w:bottom w:space="0" w:sz="0" w:val="nil"/>
          <w:right w:space="0" w:sz="0" w:val="nil"/>
          <w:between w:space="0" w:sz="0" w:val="nil"/>
        </w:pBdr>
        <w:tabs>
          <w:tab w:val="left" w:leader="none" w:pos="3641"/>
        </w:tabs>
        <w:spacing w:after="120" w:before="120" w:lineRule="auto"/>
        <w:ind w:left="189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Exempt Buyer may award an Exempt Call-off Contract to that Supplier in accordance with Paragraph 6 above.</w:t>
      </w:r>
    </w:p>
    <w:p w:rsidR="00000000" w:rsidDel="00000000" w:rsidP="00000000" w:rsidRDefault="00000000" w:rsidRPr="00000000" w14:paraId="0000005F">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000000" w:rsidDel="00000000" w:rsidP="00000000" w:rsidRDefault="00000000" w:rsidRPr="00000000" w14:paraId="00000060">
      <w:pPr>
        <w:keepNext w:val="1"/>
        <w:pageBreakBefore w:val="0"/>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Paragraphs 8.1 to 8.5 above are without prejudice to an Exempt Buyer’s ability to make such further modifications to the Call-Off Procedure as it considers necessary and in accordance with any legal requirements applicable to that potential Exempt Buyer.</w:t>
      </w:r>
    </w:p>
    <w:p w:rsidR="00000000" w:rsidDel="00000000" w:rsidP="00000000" w:rsidRDefault="00000000" w:rsidRPr="00000000" w14:paraId="00000061">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pageBreakBefore w:val="0"/>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rPr>
          <w:rFonts w:ascii="Arial" w:cs="Arial" w:eastAsia="Arial" w:hAnsi="Arial"/>
          <w:color w:val="000000"/>
          <w:sz w:val="36"/>
          <w:szCs w:val="36"/>
        </w:rPr>
      </w:pPr>
      <w:r w:rsidDel="00000000" w:rsidR="00000000" w:rsidRPr="00000000">
        <w:rPr>
          <w:rFonts w:ascii="Arial" w:cs="Arial" w:eastAsia="Arial" w:hAnsi="Arial"/>
          <w:b w:val="1"/>
          <w:color w:val="000000"/>
          <w:sz w:val="36"/>
          <w:szCs w:val="36"/>
          <w:rtl w:val="0"/>
        </w:rPr>
        <w:t xml:space="preserve">Part 2: Award Criteria</w:t>
      </w:r>
      <w:r w:rsidDel="00000000" w:rsidR="00000000" w:rsidRPr="00000000">
        <w:rPr>
          <w:rtl w:val="0"/>
        </w:rPr>
      </w:r>
    </w:p>
    <w:p w:rsidR="00000000" w:rsidDel="00000000" w:rsidP="00000000" w:rsidRDefault="00000000" w:rsidRPr="00000000" w14:paraId="00000064">
      <w:pPr>
        <w:pageBreakBefore w:val="0"/>
        <w:widowControl w:val="1"/>
        <w:numPr>
          <w:ilvl w:val="0"/>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Part 2 lays out award criteria for direct award (Annex A) and for further competition (Annex B) in accordance with the Call-Off Procedure.</w:t>
      </w:r>
    </w:p>
    <w:p w:rsidR="00000000" w:rsidDel="00000000" w:rsidP="00000000" w:rsidRDefault="00000000" w:rsidRPr="00000000" w14:paraId="00000065">
      <w:pPr>
        <w:pageBreakBefore w:val="0"/>
        <w:widowControl w:val="1"/>
        <w:numPr>
          <w:ilvl w:val="0"/>
          <w:numId w:val="1"/>
        </w:numPr>
        <w:pBdr>
          <w:top w:space="0" w:sz="0" w:val="nil"/>
          <w:left w:space="0" w:sz="0" w:val="nil"/>
          <w:bottom w:space="0" w:sz="0" w:val="nil"/>
          <w:right w:space="0" w:sz="0" w:val="nil"/>
          <w:between w:space="0" w:sz="0" w:val="nil"/>
        </w:pBdr>
        <w:tabs>
          <w:tab w:val="left" w:leader="none" w:pos="3054"/>
        </w:tabs>
        <w:spacing w:after="120" w:before="12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Call-Off Contract may be awarded on the basis of most economically advantageous tender ("MEAT").</w:t>
      </w:r>
    </w:p>
    <w:p w:rsidR="00000000" w:rsidDel="00000000" w:rsidP="00000000" w:rsidRDefault="00000000" w:rsidRPr="00000000" w14:paraId="00000066">
      <w:pPr>
        <w:pageBreakBefore w:val="0"/>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7">
      <w:pPr>
        <w:keepNext w:val="1"/>
        <w:pageBreakBefore w:val="0"/>
        <w:widowControl w:val="1"/>
        <w:pBdr>
          <w:top w:space="0" w:sz="0" w:val="nil"/>
          <w:left w:space="0" w:sz="0" w:val="nil"/>
          <w:bottom w:space="0" w:sz="0" w:val="nil"/>
          <w:right w:space="0" w:sz="0" w:val="nil"/>
          <w:between w:space="0" w:sz="0" w:val="nil"/>
        </w:pBdr>
        <w:spacing w:after="240" w:before="240" w:lineRule="auto"/>
        <w:ind w:firstLine="426"/>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Annex A: Direct award criteria</w:t>
      </w:r>
    </w:p>
    <w:p w:rsidR="00000000" w:rsidDel="00000000" w:rsidP="00000000" w:rsidRDefault="00000000" w:rsidRPr="00000000" w14:paraId="00000068">
      <w:pPr>
        <w:pageBreakBefore w:val="0"/>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for direct award of each Call-Off.</w:t>
      </w:r>
    </w:p>
    <w:tbl>
      <w:tblPr>
        <w:tblStyle w:val="Table1"/>
        <w:tblW w:w="9214.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4"/>
        <w:gridCol w:w="5670"/>
        <w:tblGridChange w:id="0">
          <w:tblGrid>
            <w:gridCol w:w="3544"/>
            <w:gridCol w:w="5670"/>
          </w:tblGrid>
        </w:tblGridChange>
      </w:tblGrid>
      <w:tr>
        <w:trPr>
          <w:cantSplit w:val="0"/>
          <w:tblHeader w:val="0"/>
        </w:trPr>
        <w:tc>
          <w:tcPr>
            <w:shd w:fill="e7e6e6"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 </w:t>
            </w:r>
          </w:p>
        </w:tc>
        <w:tc>
          <w:tcPr>
            <w:shd w:fill="e7e6e6" w:val="clear"/>
          </w:tcPr>
          <w:p w:rsidR="00000000" w:rsidDel="00000000" w:rsidP="00000000" w:rsidRDefault="00000000" w:rsidRPr="00000000" w14:paraId="0000006A">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p w:rsidR="00000000" w:rsidDel="00000000" w:rsidP="00000000" w:rsidRDefault="00000000" w:rsidRPr="00000000" w14:paraId="0000006B">
            <w:pPr>
              <w:widowControl w:val="1"/>
              <w:spacing w:after="200" w:line="276"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Guidance:</w:t>
            </w:r>
            <w:r w:rsidDel="00000000" w:rsidR="00000000" w:rsidRPr="00000000">
              <w:rPr>
                <w:rFonts w:ascii="Arial" w:cs="Arial" w:eastAsia="Arial" w:hAnsi="Arial"/>
                <w:sz w:val="24"/>
                <w:szCs w:val="24"/>
                <w:rtl w:val="0"/>
              </w:rPr>
              <w:t xml:space="preserve"> where weighting is not possible for objective reasons, list the criteria in decreasing order of importance, amend the column heading to read 'Rank order of importance where 1 = most important, 2 = second most important etc.'. The figure 1 must be in the top row, running down to the least important in the bottom row.]</w:t>
            </w:r>
            <w:r w:rsidDel="00000000" w:rsidR="00000000" w:rsidRPr="00000000">
              <w:rPr>
                <w:rtl w:val="0"/>
              </w:rPr>
            </w:r>
          </w:p>
        </w:tc>
      </w:tr>
      <w:tr>
        <w:trPr>
          <w:cantSplit w:val="0"/>
          <w:tblHeader w:val="0"/>
        </w:trPr>
        <w:tc>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[Price (life cycle costs, cost effectiveness &amp; price; price and running costs)]</w:t>
            </w:r>
          </w:p>
        </w:tc>
        <w:tc>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[Technical merit; coverage, network capacity and performance as specified in relevant service levels]</w:t>
            </w:r>
          </w:p>
        </w:tc>
        <w:tc>
          <w:tcPr/>
          <w:p w:rsidR="00000000" w:rsidDel="00000000" w:rsidP="00000000" w:rsidRDefault="00000000" w:rsidRPr="00000000" w14:paraId="0000006F">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0">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[Help desk, account management function and assurance of supply of a range of devices and good value accessories]</w:t>
            </w:r>
          </w:p>
        </w:tc>
        <w:tc>
          <w:tcPr/>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[Environmental characteristics]</w:t>
            </w:r>
          </w:p>
        </w:tc>
        <w:tc>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[Quality (including delivery time, sales service, good value, accessories, service fitness for purpose)]</w:t>
            </w:r>
          </w:p>
        </w:tc>
        <w:tc>
          <w:tcPr/>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bl>
    <w:p w:rsidR="00000000" w:rsidDel="00000000" w:rsidP="00000000" w:rsidRDefault="00000000" w:rsidRPr="00000000" w14:paraId="00000076">
      <w:pPr>
        <w:pageBreakBefore w:val="0"/>
        <w:widowControl w:val="1"/>
        <w:pBdr>
          <w:top w:space="0" w:sz="0" w:val="nil"/>
          <w:left w:space="0" w:sz="0" w:val="nil"/>
          <w:bottom w:space="0" w:sz="0" w:val="nil"/>
          <w:right w:space="0" w:sz="0" w:val="nil"/>
          <w:between w:space="0" w:sz="0" w:val="nil"/>
        </w:pBdr>
        <w:ind w:left="1080" w:firstLine="0"/>
        <w:jc w:val="both"/>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77">
      <w:pPr>
        <w:keepNext w:val="1"/>
        <w:pageBreakBefore w:val="0"/>
        <w:widowControl w:val="1"/>
        <w:pBdr>
          <w:top w:space="0" w:sz="0" w:val="nil"/>
          <w:left w:space="0" w:sz="0" w:val="nil"/>
          <w:bottom w:space="0" w:sz="0" w:val="nil"/>
          <w:right w:space="0" w:sz="0" w:val="nil"/>
          <w:between w:space="0" w:sz="0" w:val="nil"/>
        </w:pBdr>
        <w:spacing w:after="240" w:before="240" w:lineRule="auto"/>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B: Further Competition Award Criteria</w:t>
      </w:r>
    </w:p>
    <w:p w:rsidR="00000000" w:rsidDel="00000000" w:rsidP="00000000" w:rsidRDefault="00000000" w:rsidRPr="00000000" w14:paraId="00000078">
      <w:pPr>
        <w:pageBreakBefore w:val="0"/>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apply to the evaluation of tenders received through the Further Competition Procedure:</w:t>
      </w:r>
    </w:p>
    <w:tbl>
      <w:tblPr>
        <w:tblStyle w:val="Table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e7e6e6"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tc>
        <w:tc>
          <w:tcPr>
            <w:shd w:fill="e7e6e6" w:val="clear"/>
          </w:tcPr>
          <w:p w:rsidR="00000000" w:rsidDel="00000000" w:rsidP="00000000" w:rsidRDefault="00000000" w:rsidRPr="00000000" w14:paraId="0000007A">
            <w:pPr>
              <w:widowControl w:val="1"/>
              <w:spacing w:after="20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Relative weighting percentage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weighting is not possible for objective reasons, list the criteria in decreasing order of importance, amend the column heading to read 'Rank order of importance where 1 = most important, 2 = second most important etc.'. The figure 1 must be in the top row, running down to the least important in the bottom row.]</w:t>
            </w:r>
          </w:p>
        </w:tc>
      </w:tr>
      <w:tr>
        <w:trPr>
          <w:cantSplit w:val="0"/>
          <w:tblHeader w:val="0"/>
        </w:trPr>
        <w:tc>
          <w:tcPr/>
          <w:p w:rsidR="00000000" w:rsidDel="00000000" w:rsidP="00000000" w:rsidRDefault="00000000" w:rsidRPr="00000000" w14:paraId="0000007C">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[Quality]</w:t>
            </w:r>
          </w:p>
          <w:p w:rsidR="00000000" w:rsidDel="00000000" w:rsidP="00000000" w:rsidRDefault="00000000" w:rsidRPr="00000000" w14:paraId="0000007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[Which consists of the following criteria:</w:t>
            </w:r>
          </w:p>
          <w:p w:rsidR="00000000" w:rsidDel="00000000" w:rsidP="00000000" w:rsidRDefault="00000000" w:rsidRPr="00000000" w14:paraId="0000007E">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[Added Value / Innovation]</w:t>
            </w:r>
          </w:p>
          <w:p w:rsidR="00000000" w:rsidDel="00000000" w:rsidP="00000000" w:rsidRDefault="00000000" w:rsidRPr="00000000" w14:paraId="0000007F">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[Social Value]</w:t>
            </w:r>
          </w:p>
          <w:p w:rsidR="00000000" w:rsidDel="00000000" w:rsidP="00000000" w:rsidRDefault="00000000" w:rsidRPr="00000000" w14:paraId="00000080">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[Approach To Delivery Of The Services]</w:t>
            </w:r>
          </w:p>
          <w:p w:rsidR="00000000" w:rsidDel="00000000" w:rsidP="00000000" w:rsidRDefault="00000000" w:rsidRPr="00000000" w14:paraId="00000081">
            <w:pPr>
              <w:keepNext w:val="1"/>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[Implementation]</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[Use Of Supply Chain / Partners]</w:t>
            </w:r>
            <w:r w:rsidDel="00000000" w:rsidR="00000000" w:rsidRPr="00000000">
              <w:rPr>
                <w:rtl w:val="0"/>
              </w:rPr>
            </w:r>
          </w:p>
        </w:tc>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[Cost effectiveness]</w:t>
            </w:r>
            <w:r w:rsidDel="00000000" w:rsidR="00000000" w:rsidRPr="00000000">
              <w:rPr>
                <w:rtl w:val="0"/>
              </w:rPr>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[Technical merit]</w:t>
            </w:r>
            <w:r w:rsidDel="00000000" w:rsidR="00000000" w:rsidRPr="00000000">
              <w:rPr>
                <w:rtl w:val="0"/>
              </w:rPr>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[Technical assistance]</w:t>
            </w:r>
            <w:r w:rsidDel="00000000" w:rsidR="00000000" w:rsidRPr="00000000">
              <w:rPr>
                <w:rtl w:val="0"/>
              </w:rPr>
            </w:r>
          </w:p>
        </w:tc>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[After sales service]</w:t>
            </w:r>
            <w:r w:rsidDel="00000000" w:rsidR="00000000" w:rsidRPr="00000000">
              <w:rPr>
                <w:rtl w:val="0"/>
              </w:rPr>
            </w:r>
          </w:p>
        </w:tc>
        <w:tc>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[Price]</w:t>
            </w:r>
            <w:r w:rsidDel="00000000" w:rsidR="00000000" w:rsidRPr="00000000">
              <w:rPr>
                <w:rtl w:val="0"/>
              </w:rPr>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[Aesthetic and functional characteristics]</w:t>
            </w:r>
            <w:r w:rsidDel="00000000" w:rsidR="00000000" w:rsidRPr="00000000">
              <w:rPr>
                <w:rtl w:val="0"/>
              </w:rPr>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[Running costs]</w:t>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p>
        </w:tc>
      </w:tr>
      <w:tr>
        <w:trPr>
          <w:cantSplit w:val="0"/>
          <w:tblHeader w:val="0"/>
        </w:trPr>
        <w:tc>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[Environmental characteristics]</w:t>
            </w:r>
          </w:p>
        </w:tc>
        <w:tc>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p>
        </w:tc>
      </w:tr>
      <w:tr>
        <w:trPr>
          <w:cantSplit w:val="0"/>
          <w:tblHeader w:val="0"/>
        </w:trPr>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[Delivery date and delivery period]</w:t>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p>
        </w:tc>
      </w:tr>
      <w:tr>
        <w:trPr>
          <w:cantSplit w:val="0"/>
          <w:tblHeader w:val="0"/>
        </w:trPr>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[Period of completion]</w:t>
            </w:r>
          </w:p>
        </w:tc>
        <w:tc>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p>
        </w:tc>
      </w:tr>
    </w:tbl>
    <w:p w:rsidR="00000000" w:rsidDel="00000000" w:rsidP="00000000" w:rsidRDefault="00000000" w:rsidRPr="00000000" w14:paraId="00000098">
      <w:pPr>
        <w:pageBreakBefore w:val="0"/>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color w:val="000000"/>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99">
      <w:pPr>
        <w:pageBreakBefore w:val="0"/>
        <w:widowControl w:val="1"/>
        <w:pBdr>
          <w:top w:space="0" w:sz="0" w:val="nil"/>
          <w:left w:space="0" w:sz="0" w:val="nil"/>
          <w:bottom w:space="0" w:sz="0" w:val="nil"/>
          <w:right w:space="0" w:sz="0" w:val="nil"/>
          <w:between w:space="0" w:sz="0" w:val="nil"/>
        </w:pBdr>
        <w:jc w:val="both"/>
        <w:rPr>
          <w:rFonts w:ascii="Arial" w:cs="Arial" w:eastAsia="Arial" w:hAnsi="Arial"/>
          <w:color w:val="ffffff"/>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A1">
    <w:pPr>
      <w:widowControl w:val="1"/>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bookmarkStart w:colFirst="0" w:colLast="0" w:name="_heading=h.gjdgxs" w:id="12"/>
    <w:bookmarkEnd w:id="12"/>
    <w:r w:rsidDel="00000000" w:rsidR="00000000" w:rsidRPr="00000000">
      <w:rPr>
        <w:rFonts w:ascii="Arial" w:cs="Arial" w:eastAsia="Arial" w:hAnsi="Arial"/>
        <w:sz w:val="20"/>
        <w:szCs w:val="20"/>
        <w:rtl w:val="0"/>
      </w:rPr>
      <w:t xml:space="preserve">Model Version : v3.3</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p w:rsidR="00000000" w:rsidDel="00000000" w:rsidP="00000000" w:rsidRDefault="00000000" w:rsidRPr="00000000" w14:paraId="000000A5">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0A6">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Framework Schedule 7 (Call-Off Award Procedure)</w:t>
    </w:r>
  </w:p>
  <w:p w:rsidR="00000000" w:rsidDel="00000000" w:rsidP="00000000" w:rsidRDefault="00000000" w:rsidRPr="00000000" w14:paraId="0000009B">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p w:rsidR="00000000" w:rsidDel="00000000" w:rsidP="00000000" w:rsidRDefault="00000000" w:rsidRPr="00000000" w14:paraId="0000009C">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7 (Call-Off Award Procedure)</w:t>
    </w:r>
  </w:p>
  <w:p w:rsidR="00000000" w:rsidDel="00000000" w:rsidP="00000000" w:rsidRDefault="00000000" w:rsidRPr="00000000" w14:paraId="0000009E">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32FD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tandard" w:customStyle="1">
    <w:name w:val="Standard"/>
    <w:pPr>
      <w:widowControl w:val="1"/>
      <w:spacing w:after="240"/>
      <w:jc w:val="both"/>
    </w:pPr>
    <w:rPr>
      <w:rFonts w:cs="Arial" w:eastAsia="Times New Roman"/>
    </w:rPr>
  </w:style>
  <w:style w:type="paragraph" w:styleId="Heading" w:customStyle="1">
    <w:name w:val="Heading"/>
    <w:basedOn w:val="Standard"/>
    <w:next w:val="Textbody"/>
    <w:pPr>
      <w:keepNext w:val="1"/>
      <w:spacing w:after="120" w:before="240"/>
    </w:pPr>
    <w:rPr>
      <w:rFonts w:ascii="Liberation Sans" w:cs="Arial Unicode MS" w:eastAsia="Arial Unicode MS" w:hAnsi="Liberation Sans"/>
      <w:sz w:val="28"/>
      <w:szCs w:val="28"/>
    </w:rPr>
  </w:style>
  <w:style w:type="paragraph" w:styleId="Textbody" w:customStyle="1">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styleId="MarginText" w:customStyle="1">
    <w:name w:val="Margin Text"/>
    <w:basedOn w:val="Standard"/>
    <w:pPr>
      <w:keepNext w:val="1"/>
      <w:overflowPunct w:val="0"/>
      <w:spacing w:after="120" w:before="240"/>
      <w:ind w:left="142"/>
    </w:pPr>
    <w:rPr>
      <w:rFonts w:cs="Times New Roman" w:eastAsia="STZhongsong"/>
      <w:szCs w:val="18"/>
      <w:lang w:eastAsia="zh-CN"/>
    </w:rPr>
  </w:style>
  <w:style w:type="paragraph" w:styleId="GPSL1CLAUSEHEADING" w:customStyle="1">
    <w:name w:val="GPS L1 CLAUSE HEADING"/>
    <w:basedOn w:val="Standard"/>
    <w:next w:val="Standard"/>
    <w:pPr>
      <w:tabs>
        <w:tab w:val="left" w:pos="142"/>
      </w:tabs>
      <w:overflowPunct w:val="0"/>
      <w:spacing w:before="120"/>
      <w:outlineLvl w:val="1"/>
    </w:pPr>
    <w:rPr>
      <w:rFonts w:eastAsia="STZhongsong"/>
      <w:b w:val="1"/>
      <w:caps w:val="1"/>
      <w:lang w:eastAsia="zh-CN"/>
    </w:rPr>
  </w:style>
  <w:style w:type="paragraph" w:styleId="GPSL3numberedclause" w:customStyle="1">
    <w:name w:val="GPS L3 numbered clause"/>
    <w:basedOn w:val="Standard"/>
    <w:pPr>
      <w:tabs>
        <w:tab w:val="left" w:pos="3641"/>
      </w:tabs>
      <w:overflowPunct w:val="0"/>
      <w:spacing w:after="120" w:before="120"/>
      <w:ind w:left="1656"/>
    </w:pPr>
    <w:rPr>
      <w:lang w:eastAsia="zh-CN"/>
    </w:rPr>
  </w:style>
  <w:style w:type="paragraph" w:styleId="GPSL4numberedclause" w:customStyle="1">
    <w:name w:val="GPS L4 numbered clause"/>
    <w:basedOn w:val="GPSL3numberedclause"/>
    <w:pPr>
      <w:tabs>
        <w:tab w:val="clear" w:pos="3641"/>
      </w:tabs>
      <w:ind w:left="2592" w:hanging="936"/>
    </w:pPr>
  </w:style>
  <w:style w:type="paragraph" w:styleId="GPSL5numberedclause" w:customStyle="1">
    <w:name w:val="GPS L5 numbered clause"/>
    <w:basedOn w:val="GPSL4numberedclause"/>
    <w:pPr>
      <w:tabs>
        <w:tab w:val="left" w:pos="6238"/>
      </w:tabs>
      <w:ind w:left="3119" w:hanging="567"/>
    </w:pPr>
  </w:style>
  <w:style w:type="paragraph" w:styleId="GPSL2NumberedBoldHeading" w:customStyle="1">
    <w:name w:val="GPS L2 Numbered Bold Heading"/>
    <w:basedOn w:val="Standard"/>
    <w:pPr>
      <w:tabs>
        <w:tab w:val="left" w:pos="3054"/>
      </w:tabs>
      <w:overflowPunct w:val="0"/>
      <w:spacing w:after="120" w:before="120"/>
      <w:ind w:left="1920"/>
    </w:pPr>
    <w:rPr>
      <w:b w:val="1"/>
      <w:lang w:eastAsia="zh-CN"/>
    </w:rPr>
  </w:style>
  <w:style w:type="paragraph" w:styleId="GPSL6numbered" w:customStyle="1">
    <w:name w:val="GPS L6 numbered"/>
    <w:basedOn w:val="GPSL5numberedclause"/>
    <w:pPr>
      <w:tabs>
        <w:tab w:val="clear" w:pos="6238"/>
        <w:tab w:val="left" w:pos="4046"/>
        <w:tab w:val="left" w:pos="7372"/>
      </w:tabs>
      <w:ind w:left="3686"/>
    </w:pPr>
  </w:style>
  <w:style w:type="paragraph" w:styleId="GPSL1Guidance" w:customStyle="1">
    <w:name w:val="GPS L1 Guidance"/>
    <w:basedOn w:val="Standard"/>
    <w:pPr>
      <w:spacing w:after="120" w:before="240"/>
      <w:ind w:left="426"/>
    </w:pPr>
    <w:rPr>
      <w:b w:val="1"/>
      <w:i w:val="1"/>
    </w:rPr>
  </w:style>
  <w:style w:type="paragraph" w:styleId="GPSL1SCHEDULEHeading" w:customStyle="1">
    <w:name w:val="GPS L1 SCHEDULE Heading"/>
    <w:basedOn w:val="GPSL1CLAUSEHEADING"/>
    <w:pPr>
      <w:tabs>
        <w:tab w:val="clear" w:pos="142"/>
      </w:tabs>
    </w:pPr>
  </w:style>
  <w:style w:type="paragraph" w:styleId="GPSmacrorestart" w:customStyle="1">
    <w:name w:val="GPS macro restart"/>
    <w:basedOn w:val="Standard"/>
    <w:qFormat w:val="1"/>
    <w:pPr>
      <w:spacing w:after="0"/>
    </w:pPr>
    <w:rPr>
      <w:color w:val="ffffff"/>
      <w:sz w:val="16"/>
      <w:szCs w:val="16"/>
    </w:rPr>
  </w:style>
  <w:style w:type="paragraph" w:styleId="GPSSchTitleandNumber" w:customStyle="1">
    <w:name w:val="GPS Sch Title and Number"/>
    <w:basedOn w:val="Standard"/>
    <w:pPr>
      <w:keepNext w:val="1"/>
      <w:overflowPunct w:val="0"/>
      <w:ind w:firstLine="426"/>
      <w:jc w:val="center"/>
      <w:outlineLvl w:val="0"/>
    </w:pPr>
    <w:rPr>
      <w:rFonts w:ascii="Arial Bold" w:cs="Times New Roman" w:eastAsia="STZhongsong" w:hAnsi="Arial Bold"/>
      <w:b w:val="1"/>
      <w:caps w:val="1"/>
      <w:lang w:eastAsia="zh-CN"/>
    </w:rPr>
  </w:style>
  <w:style w:type="paragraph" w:styleId="GPSSchPart" w:customStyle="1">
    <w:name w:val="GPS Sch Part"/>
    <w:basedOn w:val="Standard"/>
    <w:qFormat w:val="1"/>
    <w:pPr>
      <w:keepNext w:val="1"/>
      <w:overflowPunct w:val="0"/>
      <w:spacing w:before="240"/>
      <w:ind w:firstLine="426"/>
      <w:jc w:val="center"/>
    </w:pPr>
    <w:rPr>
      <w:rFonts w:ascii="Arial Bold" w:cs="Times New Roman" w:eastAsia="STZhongsong" w:hAnsi="Arial Bold"/>
      <w:b w:val="1"/>
      <w:caps w:val="1"/>
      <w:lang w:eastAsia="zh-CN"/>
    </w:rPr>
  </w:style>
  <w:style w:type="paragraph" w:styleId="GPSL2Numbered" w:customStyle="1">
    <w:name w:val="GPS L2 Numbered"/>
    <w:basedOn w:val="GPSL2NumberedBoldHeading"/>
    <w:pPr>
      <w:tabs>
        <w:tab w:val="clear" w:pos="3054"/>
      </w:tabs>
      <w:ind w:left="936" w:hanging="576"/>
    </w:pPr>
    <w:rPr>
      <w:b w:val="0"/>
    </w:rPr>
  </w:style>
  <w:style w:type="paragraph" w:styleId="GPSL1Schedulenumbered" w:customStyle="1">
    <w:name w:val="GPS L1 Schedule numbered"/>
    <w:basedOn w:val="Standard"/>
    <w:qFormat w:val="1"/>
    <w:pPr>
      <w:tabs>
        <w:tab w:val="left" w:pos="851"/>
      </w:tabs>
    </w:pPr>
  </w:style>
  <w:style w:type="paragraph" w:styleId="BalloonText">
    <w:name w:val="Balloon Text"/>
    <w:basedOn w:val="Standard"/>
    <w:pPr>
      <w:spacing w:after="0"/>
    </w:pPr>
    <w:rPr>
      <w:rFonts w:ascii="Tahoma" w:cs="Tahoma" w:eastAsia="Tahoma" w:hAnsi="Tahoma"/>
      <w:sz w:val="16"/>
      <w:szCs w:val="16"/>
    </w:rPr>
  </w:style>
  <w:style w:type="paragraph" w:styleId="GPSL2Guidance" w:customStyle="1">
    <w:name w:val="GPS L2 Guidance"/>
    <w:basedOn w:val="Standard"/>
    <w:pPr>
      <w:tabs>
        <w:tab w:val="left" w:pos="2268"/>
      </w:tabs>
      <w:overflowPunct w:val="0"/>
      <w:spacing w:after="120" w:before="120"/>
      <w:ind w:left="1134"/>
    </w:pPr>
    <w:rPr>
      <w:b w:val="1"/>
      <w:i w:val="1"/>
      <w:lang w:eastAsia="zh-CN"/>
    </w:rPr>
  </w:style>
  <w:style w:type="paragraph" w:styleId="GPSL2Indent" w:customStyle="1">
    <w:name w:val="GPS L2 Indent"/>
    <w:basedOn w:val="Standard"/>
    <w:pPr>
      <w:tabs>
        <w:tab w:val="left" w:pos="4536"/>
      </w:tabs>
      <w:spacing w:after="220"/>
      <w:ind w:left="1134"/>
    </w:pPr>
    <w:rPr>
      <w:szCs w:val="24"/>
    </w:rPr>
  </w:style>
  <w:style w:type="paragraph" w:styleId="GPSL4Guidance" w:customStyle="1">
    <w:name w:val="GPS L4 Guidance"/>
    <w:basedOn w:val="Standard"/>
    <w:pPr>
      <w:tabs>
        <w:tab w:val="left" w:pos="3970"/>
      </w:tabs>
      <w:overflowPunct w:val="0"/>
      <w:spacing w:after="120" w:before="120"/>
      <w:ind w:left="1985"/>
    </w:pPr>
    <w:rPr>
      <w:b w:val="1"/>
      <w:i w:val="1"/>
      <w:lang w:eastAsia="zh-CN"/>
    </w:rPr>
  </w:style>
  <w:style w:type="paragraph" w:styleId="GPSL2non-numberboldheading" w:customStyle="1">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val="1"/>
      <w:bCs w:val="1"/>
    </w:rPr>
  </w:style>
  <w:style w:type="character" w:styleId="HeaderChar" w:customStyle="1">
    <w:name w:val="Header Char"/>
    <w:basedOn w:val="DefaultParagraphFont"/>
  </w:style>
  <w:style w:type="character" w:styleId="FooterChar" w:customStyle="1">
    <w:name w:val="Footer Char"/>
    <w:basedOn w:val="DefaultParagraphFont"/>
    <w:uiPriority w:val="99"/>
  </w:style>
  <w:style w:type="character" w:styleId="Emphasis">
    <w:name w:val="Emphasis"/>
    <w:basedOn w:val="DefaultParagraphFont"/>
    <w:rPr>
      <w:i w:val="1"/>
      <w:iCs w:val="1"/>
    </w:rPr>
  </w:style>
  <w:style w:type="character" w:styleId="MarginTextChar" w:customStyle="1">
    <w:name w:val="Margin Text Char"/>
    <w:rPr>
      <w:rFonts w:ascii="Calibri" w:cs="Times New Roman" w:eastAsia="STZhongsong" w:hAnsi="Calibri"/>
      <w:szCs w:val="18"/>
      <w:lang w:eastAsia="zh-CN"/>
    </w:rPr>
  </w:style>
  <w:style w:type="character" w:styleId="GPSL2NumberedChar" w:customStyle="1">
    <w:name w:val="GPS L2 Numbered Char"/>
    <w:rPr>
      <w:rFonts w:ascii="Calibri" w:cs="Arial" w:eastAsia="Times New Roman" w:hAnsi="Calibri"/>
      <w:lang w:eastAsia="zh-CN"/>
    </w:rPr>
  </w:style>
  <w:style w:type="character" w:styleId="GPSL1SCHEDULEHeadingChar" w:customStyle="1">
    <w:name w:val="GPS L1 SCHEDULE Heading Char"/>
    <w:rPr>
      <w:rFonts w:ascii="Calibri" w:cs="Arial" w:eastAsia="STZhongsong" w:hAnsi="Calibri"/>
      <w:b w:val="1"/>
      <w:caps w:val="1"/>
      <w:lang w:eastAsia="zh-CN"/>
    </w:rPr>
  </w:style>
  <w:style w:type="character" w:styleId="GPSL1SchedulenumberedChar1" w:customStyle="1">
    <w:name w:val="GPS L1 Schedule numbered Char1"/>
    <w:rPr>
      <w:rFonts w:ascii="Calibri" w:cs="Arial" w:eastAsia="Times New Roman" w:hAnsi="Calibri"/>
    </w:rPr>
  </w:style>
  <w:style w:type="character" w:styleId="GPSL1GuidanceChar" w:customStyle="1">
    <w:name w:val="GPS L1 Guidance Char"/>
    <w:rPr>
      <w:rFonts w:ascii="Calibri" w:cs="Arial" w:eastAsia="Times New Roman" w:hAnsi="Calibri"/>
      <w:b w:val="1"/>
      <w:i w:val="1"/>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GPSSchPartChar" w:customStyle="1">
    <w:name w:val="GPS Sch Part Char"/>
    <w:rPr>
      <w:rFonts w:ascii="Arial Bold" w:cs="Times New Roman" w:eastAsia="STZhongsong" w:hAnsi="Arial Bold"/>
      <w:b w:val="1"/>
      <w:caps w:val="1"/>
      <w:lang w:eastAsia="zh-CN"/>
    </w:rPr>
  </w:style>
  <w:style w:type="character" w:styleId="BalloonTextChar" w:customStyle="1">
    <w:name w:val="Balloon Text Char"/>
    <w:basedOn w:val="DefaultParagraphFont"/>
    <w:rPr>
      <w:rFonts w:ascii="Tahoma" w:cs="Tahoma" w:eastAsia="Times New Roman" w:hAnsi="Tahoma"/>
      <w:sz w:val="16"/>
      <w:szCs w:val="16"/>
    </w:rPr>
  </w:style>
  <w:style w:type="character" w:styleId="GPSL4numberedclauseChar" w:customStyle="1">
    <w:name w:val="GPS L4 numbered clause Char"/>
    <w:rPr>
      <w:rFonts w:ascii="Calibri" w:cs="Arial" w:eastAsia="Times New Roman" w:hAnsi="Calibri"/>
      <w:lang w:eastAsia="zh-CN"/>
    </w:rPr>
  </w:style>
  <w:style w:type="character" w:styleId="GPSL3numberedclauseChar" w:customStyle="1">
    <w:name w:val="GPS L3 numbered clause Char"/>
    <w:rPr>
      <w:rFonts w:ascii="Calibri" w:cs="Arial" w:eastAsia="Times New Roman" w:hAnsi="Calibri"/>
      <w:lang w:eastAsia="zh-CN"/>
    </w:rPr>
  </w:style>
  <w:style w:type="character" w:styleId="GPSL5numberedclauseChar" w:customStyle="1">
    <w:name w:val="GPS L5 numbered clause Char"/>
    <w:rPr>
      <w:rFonts w:ascii="Calibri" w:cs="Arial" w:eastAsia="Times New Roman" w:hAnsi="Calibri"/>
      <w:lang w:eastAsia="zh-CN"/>
    </w:rPr>
  </w:style>
  <w:style w:type="character" w:styleId="GPSL4GuidanceChar" w:customStyle="1">
    <w:name w:val="GPS L4 Guidance Char"/>
    <w:rPr>
      <w:rFonts w:ascii="Calibri" w:cs="Arial" w:eastAsia="Times New Roman" w:hAnsi="Calibri"/>
      <w:b w:val="1"/>
      <w:i w:val="1"/>
      <w:lang w:eastAsia="zh-CN"/>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L2IndentChar" w:customStyle="1">
    <w:name w:val="GPS L2 Indent Char"/>
    <w:rPr>
      <w:rFonts w:ascii="Calibri" w:cs="Arial" w:eastAsia="Times New Roman" w:hAnsi="Calibri"/>
      <w:szCs w:val="24"/>
    </w:rPr>
  </w:style>
  <w:style w:type="character" w:styleId="GPSL2GuidanceChar" w:customStyle="1">
    <w:name w:val="GPS L2 Guidance Char"/>
    <w:rPr>
      <w:rFonts w:ascii="Calibri" w:cs="Arial" w:eastAsia="Times New Roman" w:hAnsi="Calibri"/>
      <w:b w:val="1"/>
      <w:i w:val="1"/>
      <w:lang w:eastAsia="zh-CN"/>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Arial" w:eastAsia="Times New Roman" w:hAnsi="Calibri"/>
      <w:sz w:val="20"/>
      <w:szCs w:val="20"/>
    </w:rPr>
  </w:style>
  <w:style w:type="character" w:styleId="CommentSubjectChar" w:customStyle="1">
    <w:name w:val="Comment Subject Char"/>
    <w:basedOn w:val="CommentTextChar"/>
    <w:rPr>
      <w:rFonts w:ascii="Calibri" w:cs="Arial" w:eastAsia="Times New Roman" w:hAnsi="Calibri"/>
      <w:b w:val="1"/>
      <w:bCs w:val="1"/>
      <w:sz w:val="20"/>
      <w:szCs w:val="20"/>
    </w:rPr>
  </w:style>
  <w:style w:type="character" w:styleId="ListLabel1" w:customStyle="1">
    <w:name w:val="ListLabel 1"/>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 w:customStyle="1">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 w:customStyle="1">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 w:customStyle="1">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 w:customStyle="1">
    <w:name w:val="ListLabel 5"/>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 w:customStyle="1">
    <w:name w:val="ListLabel 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 w:customStyle="1">
    <w:name w:val="ListLabel 7"/>
    <w:rPr>
      <w:rFonts w:cs="Times New Roman"/>
    </w:rPr>
  </w:style>
  <w:style w:type="character" w:styleId="ListLabel8" w:customStyle="1">
    <w:name w:val="ListLabel 8"/>
    <w:rPr>
      <w:rFonts w:cs="Times New Roman"/>
    </w:rPr>
  </w:style>
  <w:style w:type="character" w:styleId="ListLabel9" w:customStyle="1">
    <w:name w:val="ListLabel 9"/>
    <w:rPr>
      <w:rFonts w:cs="Times New Roman"/>
    </w:rPr>
  </w:style>
  <w:style w:type="character" w:styleId="ListLabel10" w:customStyle="1">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11" w:customStyle="1">
    <w:name w:val="ListLabel 11"/>
    <w:rPr>
      <w:rFonts w:cs="Times New Roman"/>
    </w:rPr>
  </w:style>
  <w:style w:type="character" w:styleId="ListLabel12" w:customStyle="1">
    <w:name w:val="ListLabel 12"/>
    <w:rPr>
      <w:rFonts w:cs="Times New Roman"/>
    </w:rPr>
  </w:style>
  <w:style w:type="character" w:styleId="ListLabel13" w:customStyle="1">
    <w:name w:val="ListLabel 13"/>
    <w:rPr>
      <w:rFonts w:cs="Times New Roman"/>
    </w:rPr>
  </w:style>
  <w:style w:type="character" w:styleId="ListLabel14" w:customStyle="1">
    <w:name w:val="ListLabel 14"/>
    <w:rPr>
      <w:rFonts w:cs="Times New Roman"/>
    </w:rPr>
  </w:style>
  <w:style w:type="character" w:styleId="ListLabel15" w:customStyle="1">
    <w:name w:val="ListLabel 15"/>
    <w:rPr>
      <w:rFonts w:cs="Times New Roman"/>
    </w:rPr>
  </w:style>
  <w:style w:type="character" w:styleId="ListLabel16" w:customStyle="1">
    <w:name w:val="ListLabel 16"/>
    <w:rPr>
      <w:rFonts w:cs="Times New Roman"/>
    </w:rPr>
  </w:style>
  <w:style w:type="character" w:styleId="ListLabel17" w:customStyle="1">
    <w:name w:val="ListLabel 17"/>
    <w:rPr>
      <w:rFonts w:cs="Times New Roman"/>
    </w:rPr>
  </w:style>
  <w:style w:type="character" w:styleId="ListLabel18" w:customStyle="1">
    <w:name w:val="ListLabel 18"/>
    <w:rPr>
      <w:rFonts w:cs="Times New Roman"/>
    </w:rPr>
  </w:style>
  <w:style w:type="character" w:styleId="ListLabel19" w:customStyle="1">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0" w:customStyle="1">
    <w:name w:val="ListLabel 20"/>
    <w:rPr>
      <w:rFonts w:cs="Times New Roman"/>
    </w:rPr>
  </w:style>
  <w:style w:type="character" w:styleId="ListLabel21" w:customStyle="1">
    <w:name w:val="ListLabel 21"/>
    <w:rPr>
      <w:rFonts w:cs="Times New Roman"/>
    </w:rPr>
  </w:style>
  <w:style w:type="character" w:styleId="ListLabel22" w:customStyle="1">
    <w:name w:val="ListLabel 22"/>
    <w:rPr>
      <w:rFonts w:cs="Times New Roman"/>
    </w:rPr>
  </w:style>
  <w:style w:type="character" w:styleId="ListLabel23" w:customStyle="1">
    <w:name w:val="ListLabel 23"/>
    <w:rPr>
      <w:rFonts w:cs="Times New Roman"/>
    </w:rPr>
  </w:style>
  <w:style w:type="character" w:styleId="ListLabel24" w:customStyle="1">
    <w:name w:val="ListLabel 24"/>
    <w:rPr>
      <w:rFonts w:cs="Times New Roman"/>
    </w:rPr>
  </w:style>
  <w:style w:type="character" w:styleId="ListLabel25" w:customStyle="1">
    <w:name w:val="ListLabel 25"/>
    <w:rPr>
      <w:rFonts w:cs="Times New Roman"/>
    </w:rPr>
  </w:style>
  <w:style w:type="character" w:styleId="ListLabel26" w:customStyle="1">
    <w:name w:val="ListLabel 26"/>
    <w:rPr>
      <w:rFonts w:cs="Times New Roman"/>
    </w:rPr>
  </w:style>
  <w:style w:type="character" w:styleId="ListLabel27" w:customStyle="1">
    <w:name w:val="ListLabel 27"/>
    <w:rPr>
      <w:rFonts w:cs="Times New Roman"/>
    </w:rPr>
  </w:style>
  <w:style w:type="character" w:styleId="ListLabel28" w:customStyle="1">
    <w:name w:val="ListLabel 28"/>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29" w:customStyle="1">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0" w:customStyle="1">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1" w:customStyle="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2" w:customStyle="1">
    <w:name w:val="ListLabel 3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3" w:customStyle="1">
    <w:name w:val="ListLabel 33"/>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34" w:customStyle="1">
    <w:name w:val="ListLabel 34"/>
    <w:rPr>
      <w:rFonts w:cs="Times New Roman"/>
    </w:rPr>
  </w:style>
  <w:style w:type="character" w:styleId="ListLabel35" w:customStyle="1">
    <w:name w:val="ListLabel 35"/>
    <w:rPr>
      <w:rFonts w:cs="Times New Roman"/>
    </w:rPr>
  </w:style>
  <w:style w:type="character" w:styleId="ListLabel36" w:customStyle="1">
    <w:name w:val="ListLabel 36"/>
    <w:rPr>
      <w:rFonts w:cs="Times New Roman"/>
    </w:rPr>
  </w:style>
  <w:style w:type="character" w:styleId="ListLabel37" w:customStyle="1">
    <w:name w:val="ListLabel 37"/>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8" w:customStyle="1">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39" w:customStyle="1">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0" w:customStyle="1">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1" w:customStyle="1">
    <w:name w:val="ListLabel 4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2" w:customStyle="1">
    <w:name w:val="ListLabel 42"/>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43" w:customStyle="1">
    <w:name w:val="ListLabel 43"/>
    <w:rPr>
      <w:rFonts w:cs="Times New Roman"/>
    </w:rPr>
  </w:style>
  <w:style w:type="character" w:styleId="ListLabel44" w:customStyle="1">
    <w:name w:val="ListLabel 44"/>
    <w:rPr>
      <w:rFonts w:cs="Times New Roman"/>
    </w:rPr>
  </w:style>
  <w:style w:type="character" w:styleId="ListLabel45" w:customStyle="1">
    <w:name w:val="ListLabel 45"/>
    <w:rPr>
      <w:rFonts w:cs="Times New Roman"/>
    </w:rPr>
  </w:style>
  <w:style w:type="character" w:styleId="ListLabel46" w:customStyle="1">
    <w:name w:val="ListLabel 46"/>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7" w:customStyle="1">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8" w:customStyle="1">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49" w:customStyle="1">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0" w:customStyle="1">
    <w:name w:val="ListLabel 5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1" w:customStyle="1">
    <w:name w:val="ListLabel 51"/>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52" w:customStyle="1">
    <w:name w:val="ListLabel 52"/>
    <w:rPr>
      <w:rFonts w:cs="Times New Roman"/>
    </w:rPr>
  </w:style>
  <w:style w:type="character" w:styleId="ListLabel53" w:customStyle="1">
    <w:name w:val="ListLabel 53"/>
    <w:rPr>
      <w:rFonts w:cs="Times New Roman"/>
    </w:rPr>
  </w:style>
  <w:style w:type="character" w:styleId="ListLabel54" w:customStyle="1">
    <w:name w:val="ListLabel 54"/>
    <w:rPr>
      <w:rFonts w:cs="Times New Roman"/>
    </w:rPr>
  </w:style>
  <w:style w:type="character" w:styleId="ListLabel55" w:customStyle="1">
    <w:name w:val="ListLabel 55"/>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6" w:customStyle="1">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7" w:customStyle="1">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8" w:customStyle="1">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59" w:customStyle="1">
    <w:name w:val="ListLabel 59"/>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0" w:customStyle="1">
    <w:name w:val="ListLabel 60"/>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61" w:customStyle="1">
    <w:name w:val="ListLabel 61"/>
    <w:rPr>
      <w:rFonts w:cs="Times New Roman"/>
    </w:rPr>
  </w:style>
  <w:style w:type="character" w:styleId="ListLabel62" w:customStyle="1">
    <w:name w:val="ListLabel 62"/>
    <w:rPr>
      <w:rFonts w:cs="Times New Roman"/>
    </w:rPr>
  </w:style>
  <w:style w:type="character" w:styleId="ListLabel63" w:customStyle="1">
    <w:name w:val="ListLabel 63"/>
    <w:rPr>
      <w:rFonts w:cs="Times New Roman"/>
    </w:rPr>
  </w:style>
  <w:style w:type="character" w:styleId="ListLabel64" w:customStyle="1">
    <w:name w:val="ListLabel 64"/>
    <w:rPr>
      <w:rFonts w:cs="Courier New"/>
      <w:b w:val="0"/>
    </w:rPr>
  </w:style>
  <w:style w:type="character" w:styleId="ListLabel65" w:customStyle="1">
    <w:name w:val="ListLabel 65"/>
    <w:rPr>
      <w:rFonts w:cs="Courier New"/>
    </w:rPr>
  </w:style>
  <w:style w:type="character" w:styleId="ListLabel66" w:customStyle="1">
    <w:name w:val="ListLabel 66"/>
    <w:rPr>
      <w:rFonts w:cs="Courier New"/>
    </w:rPr>
  </w:style>
  <w:style w:type="character" w:styleId="ListLabel67" w:customStyle="1">
    <w:name w:val="ListLabel 67"/>
    <w:rPr>
      <w:rFonts w:cs="Courier New"/>
    </w:rPr>
  </w:style>
  <w:style w:type="character" w:styleId="ListLabel68" w:customStyle="1">
    <w:name w:val="ListLabel 68"/>
    <w:rPr>
      <w:rFonts w:cs="Courier New"/>
    </w:rPr>
  </w:style>
  <w:style w:type="character" w:styleId="ListLabel69" w:customStyle="1">
    <w:name w:val="ListLabel 69"/>
    <w:rPr>
      <w:rFonts w:cs="Courier New"/>
    </w:rPr>
  </w:style>
  <w:style w:type="character" w:styleId="ListLabel70" w:customStyle="1">
    <w:name w:val="ListLabel 70"/>
    <w:rPr>
      <w:rFonts w:cs="Courier New"/>
    </w:rPr>
  </w:style>
  <w:style w:type="character" w:styleId="ListLabel71" w:customStyle="1">
    <w:name w:val="ListLabel 71"/>
    <w:rPr>
      <w:rFonts w:cs="Courier New"/>
    </w:rPr>
  </w:style>
  <w:style w:type="character" w:styleId="ListLabel72" w:customStyle="1">
    <w:name w:val="ListLabel 72"/>
    <w:rPr>
      <w:rFonts w:cs="Courier New"/>
    </w:rPr>
  </w:style>
  <w:style w:type="character" w:styleId="ListLabel73" w:customStyle="1">
    <w:name w:val="ListLabel 73"/>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4" w:customStyle="1">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5" w:customStyle="1">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6" w:customStyle="1">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77" w:customStyle="1">
    <w:name w:val="ListLabel 7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8" w:customStyle="1">
    <w:name w:val="ListLabel 78"/>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79" w:customStyle="1">
    <w:name w:val="ListLabel 79"/>
    <w:rPr>
      <w:rFonts w:cs="Times New Roman"/>
    </w:rPr>
  </w:style>
  <w:style w:type="character" w:styleId="ListLabel80" w:customStyle="1">
    <w:name w:val="ListLabel 80"/>
    <w:rPr>
      <w:rFonts w:cs="Times New Roman"/>
    </w:rPr>
  </w:style>
  <w:style w:type="character" w:styleId="ListLabel81" w:customStyle="1">
    <w:name w:val="ListLabel 81"/>
    <w:rPr>
      <w:rFonts w:cs="Times New Roman"/>
    </w:rPr>
  </w:style>
  <w:style w:type="character" w:styleId="ListLabel82" w:customStyle="1">
    <w:name w:val="ListLabel 82"/>
    <w:rPr>
      <w:rFonts w:cs="Arial"/>
      <w:b w:val="1"/>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3" w:customStyle="1">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4" w:customStyle="1">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5" w:customStyle="1">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algn="none">
        <w14:srgbClr w14:val="000000"/>
      </w14:shadow>
      <w14:textOutline w14:cap="rnd" w14:cmpd="sng" w14:algn="ctr">
        <w14:noFill/>
        <w14:prstDash w14:val="solid"/>
        <w14:bevel/>
      </w14:textOutline>
    </w:rPr>
  </w:style>
  <w:style w:type="character" w:styleId="ListLabel86" w:customStyle="1">
    <w:name w:val="ListLabel 86"/>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7" w:customStyle="1">
    <w:name w:val="ListLabel 87"/>
    <w:rPr>
      <w:b w:val="0"/>
      <w:bCs w:val="0"/>
      <w:i w:val="0"/>
      <w:iCs w:val="0"/>
      <w:caps w:val="0"/>
      <w:smallCaps w:val="0"/>
      <w:strike w:val="0"/>
      <w:dstrike w:val="0"/>
      <w:vanish w:val="0"/>
      <w:color w:val="000000"/>
      <w:spacing w:val="0"/>
      <w:kern w:val="0"/>
      <w:position w:val="0"/>
      <w:u w:val="none"/>
      <w:vertAlign w:val="baseline"/>
      <w:em w:val="none"/>
      <w14:shadow w14:algn="none">
        <w14:srgbClr w14:val="000000"/>
      </w14:shadow>
      <w14:textOutline w14:cap="rnd" w14:cmpd="sng" w14:algn="ctr">
        <w14:noFill/>
        <w14:prstDash w14:val="solid"/>
        <w14:bevel/>
      </w14:textOutline>
    </w:rPr>
  </w:style>
  <w:style w:type="character" w:styleId="ListLabel88" w:customStyle="1">
    <w:name w:val="ListLabel 88"/>
    <w:rPr>
      <w:rFonts w:cs="Times New Roman"/>
    </w:rPr>
  </w:style>
  <w:style w:type="character" w:styleId="ListLabel89" w:customStyle="1">
    <w:name w:val="ListLabel 89"/>
    <w:rPr>
      <w:rFonts w:cs="Times New Roman"/>
    </w:rPr>
  </w:style>
  <w:style w:type="character" w:styleId="ListLabel90" w:customStyle="1">
    <w:name w:val="ListLabel 90"/>
    <w:rPr>
      <w:rFonts w:cs="Times New Roman"/>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pPr>
      <w:numPr>
        <w:numId w:val="17"/>
      </w:numPr>
    </w:pPr>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table" w:styleId="TableGrid">
    <w:name w:val="Table Grid"/>
    <w:basedOn w:val="TableNormal"/>
    <w:uiPriority w:val="39"/>
    <w:rsid w:val="007A5C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AMainHeading" w:customStyle="1">
    <w:name w:val="FA: Main Heading"/>
    <w:basedOn w:val="Heading1"/>
    <w:qFormat w:val="1"/>
    <w:rsid w:val="00532FDD"/>
    <w:pPr>
      <w:numPr>
        <w:numId w:val="15"/>
      </w:numPr>
      <w:tabs>
        <w:tab w:val="num" w:pos="360"/>
      </w:tabs>
      <w:spacing w:after="20" w:before="20"/>
      <w:ind w:left="0" w:firstLine="0"/>
    </w:pPr>
    <w:rPr>
      <w:rFonts w:ascii="Arial" w:cs="Arial" w:eastAsia="Calibri" w:hAnsi="Arial"/>
      <w:b w:val="1"/>
      <w:color w:val="auto"/>
      <w:sz w:val="22"/>
      <w:szCs w:val="36"/>
    </w:rPr>
  </w:style>
  <w:style w:type="paragraph" w:styleId="FALevel1" w:customStyle="1">
    <w:name w:val="FA: Level 1"/>
    <w:basedOn w:val="Normal"/>
    <w:link w:val="FALevel1Char"/>
    <w:qFormat w:val="1"/>
    <w:rsid w:val="00532FDD"/>
    <w:pPr>
      <w:widowControl w:val="1"/>
      <w:numPr>
        <w:ilvl w:val="1"/>
        <w:numId w:val="15"/>
      </w:numPr>
      <w:spacing w:after="280" w:before="120" w:line="259" w:lineRule="auto"/>
    </w:pPr>
    <w:rPr>
      <w:rFonts w:ascii="Arial" w:cs="Arial" w:hAnsi="Arial" w:eastAsiaTheme="minorHAnsi"/>
    </w:rPr>
  </w:style>
  <w:style w:type="character" w:styleId="FALevel1Char" w:customStyle="1">
    <w:name w:val="FA: Level 1 Char"/>
    <w:basedOn w:val="DefaultParagraphFont"/>
    <w:link w:val="FALevel1"/>
    <w:rsid w:val="00532FDD"/>
    <w:rPr>
      <w:rFonts w:ascii="Arial" w:cs="Arial" w:hAnsi="Arial" w:eastAsiaTheme="minorHAnsi"/>
    </w:rPr>
  </w:style>
  <w:style w:type="paragraph" w:styleId="FALevel2" w:customStyle="1">
    <w:name w:val="FA: Level 2"/>
    <w:basedOn w:val="Normal"/>
    <w:link w:val="FALevel2Char"/>
    <w:qFormat w:val="1"/>
    <w:rsid w:val="00532FDD"/>
    <w:pPr>
      <w:widowControl w:val="1"/>
      <w:numPr>
        <w:ilvl w:val="2"/>
        <w:numId w:val="15"/>
      </w:numPr>
      <w:spacing w:after="280" w:before="120" w:line="259" w:lineRule="auto"/>
    </w:pPr>
    <w:rPr>
      <w:rFonts w:ascii="Arial" w:cs="Arial" w:hAnsi="Arial" w:eastAsiaTheme="minorHAnsi"/>
    </w:rPr>
  </w:style>
  <w:style w:type="character" w:styleId="FALevel2Char" w:customStyle="1">
    <w:name w:val="FA: Level 2 Char"/>
    <w:basedOn w:val="DefaultParagraphFont"/>
    <w:link w:val="FALevel2"/>
    <w:rsid w:val="00532FDD"/>
    <w:rPr>
      <w:rFonts w:ascii="Arial" w:cs="Arial" w:hAnsi="Arial" w:eastAsiaTheme="minorHAnsi"/>
    </w:rPr>
  </w:style>
  <w:style w:type="character" w:styleId="Heading1Char" w:customStyle="1">
    <w:name w:val="Heading 1 Char"/>
    <w:basedOn w:val="DefaultParagraphFont"/>
    <w:link w:val="Heading1"/>
    <w:uiPriority w:val="9"/>
    <w:rsid w:val="00532FDD"/>
    <w:rPr>
      <w:rFonts w:asciiTheme="majorHAnsi" w:cstheme="majorBidi" w:eastAsiaTheme="majorEastAsia" w:hAnsiTheme="majorHAnsi"/>
      <w:color w:val="2f5496" w:themeColor="accent1" w:themeShade="0000BF"/>
      <w:sz w:val="32"/>
      <w:szCs w:val="32"/>
    </w:rPr>
  </w:style>
  <w:style w:type="paragraph" w:styleId="FABulletPoints" w:customStyle="1">
    <w:name w:val="FA: Bullet Points"/>
    <w:basedOn w:val="Normal"/>
    <w:link w:val="FABulletPointsChar"/>
    <w:qFormat w:val="1"/>
    <w:rsid w:val="00532FDD"/>
    <w:pPr>
      <w:widowControl w:val="1"/>
      <w:tabs>
        <w:tab w:val="num" w:pos="720"/>
      </w:tabs>
      <w:ind w:left="720" w:hanging="720"/>
    </w:pPr>
    <w:rPr>
      <w:rFonts w:ascii="Arial" w:cs="Arial" w:hAnsi="Arial" w:eastAsiaTheme="minorHAnsi"/>
    </w:rPr>
  </w:style>
  <w:style w:type="character" w:styleId="FABulletPointsChar" w:customStyle="1">
    <w:name w:val="FA: Bullet Points Char"/>
    <w:basedOn w:val="DefaultParagraphFont"/>
    <w:link w:val="FABulletPoints"/>
    <w:rsid w:val="00532FDD"/>
    <w:rPr>
      <w:rFonts w:ascii="Arial" w:cs="Arial" w:hAnsi="Arial" w:eastAsiaTheme="minorHAnsi"/>
    </w:rPr>
  </w:style>
  <w:style w:type="paragraph" w:styleId="Revision">
    <w:name w:val="Revision"/>
    <w:hidden w:val="1"/>
    <w:uiPriority w:val="99"/>
    <w:semiHidden w:val="1"/>
    <w:rsid w:val="00CE0EDB"/>
    <w:pPr>
      <w:widowControl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JC5gtiIw+y+dYyIXopxTpJAxA==">CgMxLjAyCWlkLmdqZGd4czIJaC4zMGowemxsMgloLjFmb2I5dGUyCWguM3pueXNoNzIJaC4yZXQ5MnAwMghoLnR5amN3dDIJaC4zZHk2dmttMgloLjF0M2g1c2YyCWguNGQzNG9nODIJaC4yczhleW8xMgloLjE3ZHA4dnUyCWguM3JkY3JqbjIIaC5namRneHM4AGolChRzdWdnZXN0LmlhaW9uZnF0Y2h0dxINS3lsZSBNYXJzaGFsbGolChRzdWdnZXN0Lmw1ajBwa201emhzZxINS3lsZSBNYXJzaGFsbGolChRzdWdnZXN0LmFma3hzZ3pmdXltZxINS3lsZSBNYXJzaGFsbHIhMTNxOTEwVGhqODEtakQxb2xTdUhtZERjTnRqTUFfS25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2020-10-15T09:02:00Z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