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E92" w:rsidRDefault="0000485A">
      <w:pPr>
        <w:rPr>
          <w:rFonts w:ascii="Arial" w:eastAsia="Arial" w:hAnsi="Arial" w:cs="Arial"/>
          <w:b/>
          <w:sz w:val="36"/>
          <w:szCs w:val="36"/>
        </w:rPr>
      </w:pPr>
      <w:bookmarkStart w:id="0" w:name="_heading=h.gjdgxs" w:colFirst="0" w:colLast="0"/>
      <w:bookmarkStart w:id="1" w:name="_GoBack"/>
      <w:bookmarkEnd w:id="0"/>
      <w:bookmarkEnd w:id="1"/>
      <w:r>
        <w:rPr>
          <w:rFonts w:ascii="Arial" w:eastAsia="Arial" w:hAnsi="Arial" w:cs="Arial"/>
          <w:b/>
          <w:sz w:val="36"/>
          <w:szCs w:val="36"/>
        </w:rPr>
        <w:t>Framework Schedule 3 (Framework Prices)</w:t>
      </w:r>
    </w:p>
    <w:p w:rsidR="00487E92" w:rsidRDefault="0000485A">
      <w:pPr>
        <w:numPr>
          <w:ilvl w:val="0"/>
          <w:numId w:val="1"/>
        </w:numPr>
        <w:pBdr>
          <w:top w:val="nil"/>
          <w:left w:val="nil"/>
          <w:bottom w:val="nil"/>
          <w:right w:val="nil"/>
          <w:between w:val="nil"/>
        </w:pBdr>
        <w:tabs>
          <w:tab w:val="left" w:pos="142"/>
        </w:tabs>
        <w:spacing w:before="120" w:after="24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rsidR="00487E92" w:rsidRDefault="0000485A">
      <w:pPr>
        <w:numPr>
          <w:ilvl w:val="1"/>
          <w:numId w:val="1"/>
        </w:numPr>
        <w:pBdr>
          <w:top w:val="nil"/>
          <w:left w:val="nil"/>
          <w:bottom w:val="nil"/>
          <w:right w:val="nil"/>
          <w:between w:val="nil"/>
        </w:pBdr>
        <w:spacing w:after="240"/>
        <w:ind w:hanging="359"/>
      </w:pPr>
      <w:r>
        <w:rPr>
          <w:rFonts w:ascii="Arial" w:eastAsia="Arial" w:hAnsi="Arial" w:cs="Arial"/>
          <w:b/>
          <w:color w:val="000000"/>
          <w:sz w:val="24"/>
          <w:szCs w:val="24"/>
        </w:rPr>
        <w:t xml:space="preserve"> </w:t>
      </w:r>
      <w:r>
        <w:rPr>
          <w:rFonts w:ascii="Arial" w:eastAsia="Arial" w:hAnsi="Arial" w:cs="Arial"/>
          <w:color w:val="000000"/>
          <w:sz w:val="24"/>
          <w:szCs w:val="24"/>
        </w:rPr>
        <w:t xml:space="preserve">In this Schedule, the following words shall have the following meanings and they </w:t>
      </w:r>
      <w:r>
        <w:rPr>
          <w:rFonts w:ascii="Arial" w:eastAsia="Arial" w:hAnsi="Arial" w:cs="Arial"/>
          <w:sz w:val="24"/>
          <w:szCs w:val="24"/>
        </w:rPr>
        <w:t>shall supplement Joint Schedule 1 (Definitions)</w:t>
      </w:r>
    </w:p>
    <w:tbl>
      <w:tblPr>
        <w:tblStyle w:val="a9"/>
        <w:tblW w:w="9000" w:type="dxa"/>
        <w:tblInd w:w="245" w:type="dxa"/>
        <w:tblBorders>
          <w:top w:val="nil"/>
          <w:left w:val="nil"/>
          <w:bottom w:val="nil"/>
          <w:right w:val="nil"/>
          <w:insideH w:val="nil"/>
          <w:insideV w:val="nil"/>
        </w:tblBorders>
        <w:tblLayout w:type="fixed"/>
        <w:tblLook w:val="0400" w:firstRow="0" w:lastRow="0" w:firstColumn="0" w:lastColumn="0" w:noHBand="0" w:noVBand="1"/>
      </w:tblPr>
      <w:tblGrid>
        <w:gridCol w:w="4500"/>
        <w:gridCol w:w="4500"/>
      </w:tblGrid>
      <w:tr w:rsidR="00487E92">
        <w:tc>
          <w:tcPr>
            <w:tcW w:w="4500" w:type="dxa"/>
          </w:tcPr>
          <w:p w:rsidR="00487E92" w:rsidRDefault="0000485A">
            <w:pPr>
              <w:spacing w:after="240"/>
              <w:rPr>
                <w:rFonts w:ascii="Arial" w:eastAsia="Arial" w:hAnsi="Arial" w:cs="Arial"/>
                <w:b/>
                <w:sz w:val="24"/>
                <w:szCs w:val="24"/>
              </w:rPr>
            </w:pPr>
            <w:r>
              <w:rPr>
                <w:rFonts w:ascii="Arial" w:eastAsia="Arial" w:hAnsi="Arial" w:cs="Arial"/>
                <w:b/>
                <w:sz w:val="24"/>
                <w:szCs w:val="24"/>
              </w:rPr>
              <w:t>“Buyer Account Service Management Fee”</w:t>
            </w:r>
          </w:p>
        </w:tc>
        <w:tc>
          <w:tcPr>
            <w:tcW w:w="4500" w:type="dxa"/>
          </w:tcPr>
          <w:p w:rsidR="00487E92" w:rsidRDefault="0000485A">
            <w:pPr>
              <w:spacing w:after="240"/>
              <w:rPr>
                <w:rFonts w:ascii="Arial" w:eastAsia="Arial" w:hAnsi="Arial" w:cs="Arial"/>
                <w:sz w:val="24"/>
                <w:szCs w:val="24"/>
                <w:highlight w:val="white"/>
              </w:rPr>
            </w:pPr>
            <w:r>
              <w:rPr>
                <w:rFonts w:ascii="Arial" w:eastAsia="Arial" w:hAnsi="Arial" w:cs="Arial"/>
                <w:sz w:val="24"/>
                <w:szCs w:val="24"/>
                <w:highlight w:val="white"/>
              </w:rPr>
              <w:t>The percentage fee charged by the Supplier for the account management service provided to the Buyer, as contained in this Framework Schedule 3 (Framework Prices)</w:t>
            </w:r>
          </w:p>
        </w:tc>
      </w:tr>
      <w:tr w:rsidR="00487E92">
        <w:tc>
          <w:tcPr>
            <w:tcW w:w="4500" w:type="dxa"/>
          </w:tcPr>
          <w:p w:rsidR="00487E92" w:rsidRDefault="0000485A">
            <w:pPr>
              <w:spacing w:after="240"/>
              <w:rPr>
                <w:rFonts w:ascii="Arial" w:eastAsia="Arial" w:hAnsi="Arial" w:cs="Arial"/>
                <w:b/>
                <w:color w:val="000000"/>
                <w:sz w:val="24"/>
                <w:szCs w:val="24"/>
              </w:rPr>
            </w:pPr>
            <w:r>
              <w:rPr>
                <w:rFonts w:ascii="Arial" w:eastAsia="Arial" w:hAnsi="Arial" w:cs="Arial"/>
                <w:b/>
                <w:color w:val="000000"/>
                <w:sz w:val="24"/>
                <w:szCs w:val="24"/>
              </w:rPr>
              <w:t>“C&amp;HP”</w:t>
            </w:r>
          </w:p>
        </w:tc>
        <w:tc>
          <w:tcPr>
            <w:tcW w:w="4500" w:type="dxa"/>
          </w:tcPr>
          <w:p w:rsidR="00487E92" w:rsidRDefault="0000485A">
            <w:pPr>
              <w:spacing w:after="240"/>
              <w:rPr>
                <w:rFonts w:ascii="Arial" w:eastAsia="Arial" w:hAnsi="Arial" w:cs="Arial"/>
                <w:color w:val="222222"/>
                <w:sz w:val="24"/>
                <w:szCs w:val="24"/>
                <w:highlight w:val="white"/>
              </w:rPr>
            </w:pPr>
            <w:r>
              <w:rPr>
                <w:rFonts w:ascii="Arial" w:eastAsia="Arial" w:hAnsi="Arial" w:cs="Arial"/>
                <w:color w:val="222222"/>
                <w:sz w:val="24"/>
                <w:szCs w:val="24"/>
                <w:highlight w:val="white"/>
              </w:rPr>
              <w:t>C&amp;HP is an acronym of Command and House of Commons Papers</w:t>
            </w:r>
          </w:p>
        </w:tc>
      </w:tr>
      <w:tr w:rsidR="00487E92">
        <w:tc>
          <w:tcPr>
            <w:tcW w:w="4500" w:type="dxa"/>
          </w:tcPr>
          <w:p w:rsidR="00487E92" w:rsidRDefault="0000485A">
            <w:pPr>
              <w:spacing w:after="240"/>
              <w:rPr>
                <w:rFonts w:ascii="Arial" w:eastAsia="Arial" w:hAnsi="Arial" w:cs="Arial"/>
                <w:b/>
                <w:sz w:val="24"/>
                <w:szCs w:val="24"/>
                <w:highlight w:val="white"/>
              </w:rPr>
            </w:pPr>
            <w:r>
              <w:rPr>
                <w:rFonts w:ascii="Arial" w:eastAsia="Arial" w:hAnsi="Arial" w:cs="Arial"/>
                <w:b/>
                <w:sz w:val="24"/>
                <w:szCs w:val="24"/>
                <w:highlight w:val="white"/>
              </w:rPr>
              <w:t>C&amp;HP Service Options</w:t>
            </w:r>
          </w:p>
        </w:tc>
        <w:tc>
          <w:tcPr>
            <w:tcW w:w="4500" w:type="dxa"/>
          </w:tcPr>
          <w:p w:rsidR="00487E92" w:rsidRDefault="0000485A">
            <w:pPr>
              <w:spacing w:after="240"/>
              <w:rPr>
                <w:rFonts w:ascii="Arial" w:eastAsia="Arial" w:hAnsi="Arial" w:cs="Arial"/>
                <w:sz w:val="24"/>
                <w:szCs w:val="24"/>
                <w:highlight w:val="white"/>
              </w:rPr>
            </w:pPr>
            <w:r>
              <w:rPr>
                <w:rFonts w:ascii="Arial" w:eastAsia="Arial" w:hAnsi="Arial" w:cs="Arial"/>
                <w:sz w:val="24"/>
                <w:szCs w:val="24"/>
                <w:highlight w:val="white"/>
              </w:rPr>
              <w:t>Means the C&amp;HP account and project management service options as  described in Annex A section 9 and as contained in this Framework Schedule 3 (Framework Prices)</w:t>
            </w:r>
          </w:p>
        </w:tc>
      </w:tr>
      <w:tr w:rsidR="00487E92">
        <w:tc>
          <w:tcPr>
            <w:tcW w:w="4500" w:type="dxa"/>
          </w:tcPr>
          <w:p w:rsidR="00487E92" w:rsidRDefault="00487E92">
            <w:pPr>
              <w:spacing w:after="240"/>
              <w:rPr>
                <w:rFonts w:ascii="Arial" w:eastAsia="Arial" w:hAnsi="Arial" w:cs="Arial"/>
                <w:b/>
                <w:color w:val="000000"/>
                <w:sz w:val="24"/>
                <w:szCs w:val="24"/>
              </w:rPr>
            </w:pPr>
          </w:p>
        </w:tc>
        <w:tc>
          <w:tcPr>
            <w:tcW w:w="4500" w:type="dxa"/>
          </w:tcPr>
          <w:p w:rsidR="00487E92" w:rsidRDefault="00487E92">
            <w:pPr>
              <w:spacing w:after="240"/>
              <w:rPr>
                <w:rFonts w:ascii="Arial" w:eastAsia="Arial" w:hAnsi="Arial" w:cs="Arial"/>
                <w:color w:val="222222"/>
                <w:sz w:val="24"/>
                <w:szCs w:val="24"/>
                <w:highlight w:val="white"/>
              </w:rPr>
            </w:pPr>
          </w:p>
        </w:tc>
      </w:tr>
      <w:tr w:rsidR="00487E92">
        <w:tc>
          <w:tcPr>
            <w:tcW w:w="4500" w:type="dxa"/>
          </w:tcPr>
          <w:p w:rsidR="00487E92" w:rsidRDefault="0000485A">
            <w:pPr>
              <w:spacing w:after="240"/>
              <w:rPr>
                <w:rFonts w:ascii="Arial" w:eastAsia="Arial" w:hAnsi="Arial" w:cs="Arial"/>
                <w:b/>
                <w:color w:val="000000"/>
                <w:sz w:val="24"/>
                <w:szCs w:val="24"/>
              </w:rPr>
            </w:pPr>
            <w:bookmarkStart w:id="2" w:name="_heading=h.30j0zll" w:colFirst="0" w:colLast="0"/>
            <w:bookmarkEnd w:id="2"/>
            <w:r>
              <w:rPr>
                <w:rFonts w:ascii="Arial" w:eastAsia="Arial" w:hAnsi="Arial" w:cs="Arial"/>
                <w:b/>
                <w:color w:val="000000"/>
                <w:sz w:val="24"/>
                <w:szCs w:val="24"/>
              </w:rPr>
              <w:t>“Postal Charges”</w:t>
            </w:r>
          </w:p>
        </w:tc>
        <w:tc>
          <w:tcPr>
            <w:tcW w:w="4500" w:type="dxa"/>
          </w:tcPr>
          <w:p w:rsidR="00487E92" w:rsidRDefault="0000485A">
            <w:pPr>
              <w:spacing w:after="240"/>
            </w:pPr>
            <w:r>
              <w:rPr>
                <w:rFonts w:ascii="Arial" w:eastAsia="Arial" w:hAnsi="Arial" w:cs="Arial"/>
                <w:color w:val="222222"/>
                <w:sz w:val="24"/>
                <w:szCs w:val="24"/>
                <w:highlight w:val="white"/>
              </w:rPr>
              <w:t>The fee charged by a third party provider (either Royal Mail or a Down Stream Access provider) for the collection and delivery of letters, large letters, and parcels</w:t>
            </w:r>
            <w:r>
              <w:rPr>
                <w:rFonts w:ascii="Arial" w:eastAsia="Arial" w:hAnsi="Arial" w:cs="Arial"/>
                <w:color w:val="222222"/>
                <w:sz w:val="24"/>
                <w:szCs w:val="24"/>
              </w:rPr>
              <w:t>.</w:t>
            </w:r>
          </w:p>
          <w:p w:rsidR="00487E92" w:rsidRDefault="0000485A">
            <w:pPr>
              <w:spacing w:after="240"/>
            </w:pPr>
            <w:r>
              <w:rPr>
                <w:rFonts w:ascii="Arial" w:eastAsia="Arial" w:hAnsi="Arial" w:cs="Arial"/>
                <w:color w:val="222222"/>
                <w:sz w:val="24"/>
                <w:szCs w:val="24"/>
              </w:rPr>
              <w:t xml:space="preserve">This </w:t>
            </w:r>
            <w:r>
              <w:rPr>
                <w:rFonts w:ascii="Arial" w:eastAsia="Arial" w:hAnsi="Arial" w:cs="Arial"/>
                <w:b/>
                <w:color w:val="222222"/>
                <w:sz w:val="24"/>
                <w:szCs w:val="24"/>
              </w:rPr>
              <w:t>EXCLUDES</w:t>
            </w:r>
            <w:r>
              <w:rPr>
                <w:rFonts w:ascii="Arial" w:eastAsia="Arial" w:hAnsi="Arial" w:cs="Arial"/>
                <w:color w:val="222222"/>
                <w:sz w:val="24"/>
                <w:szCs w:val="24"/>
              </w:rPr>
              <w:t xml:space="preserve"> the charges incurred for other delivery methods such as courier or other such delivery charges</w:t>
            </w:r>
            <w:r>
              <w:rPr>
                <w:rFonts w:ascii="Arial" w:eastAsia="Arial" w:hAnsi="Arial" w:cs="Arial"/>
                <w:b/>
                <w:color w:val="222222"/>
                <w:sz w:val="24"/>
                <w:szCs w:val="24"/>
              </w:rPr>
              <w:t>.</w:t>
            </w:r>
            <w:r>
              <w:rPr>
                <w:rFonts w:ascii="Arial" w:eastAsia="Arial" w:hAnsi="Arial" w:cs="Arial"/>
                <w:color w:val="000000"/>
                <w:sz w:val="21"/>
                <w:szCs w:val="21"/>
              </w:rPr>
              <w:br/>
            </w:r>
          </w:p>
        </w:tc>
      </w:tr>
      <w:tr w:rsidR="00487E92">
        <w:tc>
          <w:tcPr>
            <w:tcW w:w="4500" w:type="dxa"/>
          </w:tcPr>
          <w:p w:rsidR="00487E92" w:rsidRDefault="0000485A">
            <w:pPr>
              <w:spacing w:after="240"/>
              <w:rPr>
                <w:rFonts w:ascii="Arial" w:eastAsia="Arial" w:hAnsi="Arial" w:cs="Arial"/>
                <w:b/>
                <w:color w:val="000000"/>
                <w:sz w:val="24"/>
                <w:szCs w:val="24"/>
              </w:rPr>
            </w:pPr>
            <w:r>
              <w:rPr>
                <w:rFonts w:ascii="Arial" w:eastAsia="Arial" w:hAnsi="Arial" w:cs="Arial"/>
                <w:b/>
                <w:color w:val="000000"/>
                <w:sz w:val="24"/>
                <w:szCs w:val="24"/>
              </w:rPr>
              <w:t>“Paper Rates”</w:t>
            </w:r>
          </w:p>
        </w:tc>
        <w:tc>
          <w:tcPr>
            <w:tcW w:w="4500" w:type="dxa"/>
          </w:tcPr>
          <w:p w:rsidR="00487E92" w:rsidRDefault="0000485A">
            <w:pPr>
              <w:spacing w:after="240"/>
              <w:rPr>
                <w:rFonts w:ascii="Arial" w:eastAsia="Arial" w:hAnsi="Arial" w:cs="Arial"/>
                <w:color w:val="222222"/>
                <w:sz w:val="24"/>
                <w:szCs w:val="24"/>
                <w:highlight w:val="white"/>
              </w:rPr>
            </w:pPr>
            <w:r>
              <w:rPr>
                <w:rFonts w:ascii="Arial" w:eastAsia="Arial" w:hAnsi="Arial" w:cs="Arial"/>
                <w:color w:val="222222"/>
                <w:sz w:val="24"/>
                <w:szCs w:val="24"/>
                <w:highlight w:val="white"/>
              </w:rPr>
              <w:t xml:space="preserve">Demonstrable fluctuations in the purchase price of pulp and paper in line with the RISI PPI Pulp and Paper Week </w:t>
            </w:r>
            <w:hyperlink r:id="rId8">
              <w:r>
                <w:rPr>
                  <w:rFonts w:ascii="Arial" w:eastAsia="Arial" w:hAnsi="Arial" w:cs="Arial"/>
                  <w:color w:val="222222"/>
                  <w:sz w:val="24"/>
                  <w:szCs w:val="24"/>
                  <w:highlight w:val="white"/>
                </w:rPr>
                <w:t>http://www.risiinfo.com/product/ppi-pulp-paper-week/</w:t>
              </w:r>
            </w:hyperlink>
            <w:r>
              <w:rPr>
                <w:rFonts w:ascii="Arial" w:eastAsia="Arial" w:hAnsi="Arial" w:cs="Arial"/>
                <w:color w:val="222222"/>
                <w:sz w:val="24"/>
                <w:szCs w:val="24"/>
                <w:highlight w:val="white"/>
              </w:rPr>
              <w:t xml:space="preserve"> </w:t>
            </w:r>
          </w:p>
        </w:tc>
      </w:tr>
      <w:tr w:rsidR="00487E92">
        <w:tc>
          <w:tcPr>
            <w:tcW w:w="4500" w:type="dxa"/>
            <w:tcBorders>
              <w:top w:val="nil"/>
              <w:left w:val="nil"/>
              <w:bottom w:val="nil"/>
              <w:right w:val="nil"/>
            </w:tcBorders>
          </w:tcPr>
          <w:p w:rsidR="00487E92" w:rsidRDefault="0000485A">
            <w:pPr>
              <w:spacing w:before="120" w:after="120"/>
              <w:rPr>
                <w:rFonts w:ascii="Arial" w:eastAsia="Arial" w:hAnsi="Arial" w:cs="Arial"/>
                <w:b/>
                <w:sz w:val="24"/>
                <w:szCs w:val="24"/>
                <w:highlight w:val="white"/>
              </w:rPr>
            </w:pPr>
            <w:r>
              <w:rPr>
                <w:rFonts w:ascii="Arial" w:eastAsia="Arial" w:hAnsi="Arial" w:cs="Arial"/>
                <w:b/>
                <w:sz w:val="24"/>
                <w:szCs w:val="24"/>
                <w:highlight w:val="white"/>
              </w:rPr>
              <w:t>“Print Services”</w:t>
            </w:r>
          </w:p>
        </w:tc>
        <w:tc>
          <w:tcPr>
            <w:tcW w:w="4500" w:type="dxa"/>
            <w:tcBorders>
              <w:top w:val="nil"/>
              <w:left w:val="nil"/>
              <w:bottom w:val="nil"/>
              <w:right w:val="nil"/>
            </w:tcBorders>
          </w:tcPr>
          <w:p w:rsidR="00487E92" w:rsidRDefault="0000485A">
            <w:pPr>
              <w:rPr>
                <w:rFonts w:ascii="Arial" w:eastAsia="Arial" w:hAnsi="Arial" w:cs="Arial"/>
                <w:sz w:val="24"/>
                <w:szCs w:val="24"/>
                <w:highlight w:val="white"/>
              </w:rPr>
            </w:pPr>
            <w:r>
              <w:rPr>
                <w:rFonts w:ascii="Arial" w:eastAsia="Arial" w:hAnsi="Arial" w:cs="Arial"/>
                <w:sz w:val="24"/>
                <w:szCs w:val="24"/>
              </w:rPr>
              <w:t>means the services that the Supplier is required to provide to Buyers under Contracts placed under this Framework Contract, details of such Print Services being set out in the Specification and Tender Response Document and any Order;</w:t>
            </w:r>
          </w:p>
        </w:tc>
      </w:tr>
      <w:tr w:rsidR="00487E92">
        <w:tc>
          <w:tcPr>
            <w:tcW w:w="4500" w:type="dxa"/>
            <w:tcBorders>
              <w:top w:val="nil"/>
              <w:left w:val="nil"/>
              <w:bottom w:val="nil"/>
              <w:right w:val="nil"/>
            </w:tcBorders>
          </w:tcPr>
          <w:p w:rsidR="00487E92" w:rsidRDefault="0000485A">
            <w:pPr>
              <w:spacing w:before="120" w:after="120"/>
              <w:rPr>
                <w:rFonts w:ascii="Arial" w:eastAsia="Arial" w:hAnsi="Arial" w:cs="Arial"/>
                <w:color w:val="222222"/>
                <w:sz w:val="24"/>
                <w:szCs w:val="24"/>
                <w:highlight w:val="white"/>
              </w:rPr>
            </w:pPr>
            <w:bookmarkStart w:id="3" w:name="_heading=h.1fob9te" w:colFirst="0" w:colLast="0"/>
            <w:bookmarkEnd w:id="3"/>
            <w:r>
              <w:rPr>
                <w:rFonts w:ascii="Arial" w:eastAsia="Arial" w:hAnsi="Arial" w:cs="Arial"/>
                <w:b/>
                <w:color w:val="222222"/>
                <w:sz w:val="24"/>
                <w:szCs w:val="24"/>
                <w:highlight w:val="white"/>
              </w:rPr>
              <w:lastRenderedPageBreak/>
              <w:t>“Print Services Charge</w:t>
            </w:r>
            <w:r>
              <w:rPr>
                <w:rFonts w:ascii="Arial" w:eastAsia="Arial" w:hAnsi="Arial" w:cs="Arial"/>
                <w:color w:val="222222"/>
                <w:sz w:val="24"/>
                <w:szCs w:val="24"/>
                <w:highlight w:val="white"/>
              </w:rPr>
              <w:t>”</w:t>
            </w:r>
          </w:p>
        </w:tc>
        <w:tc>
          <w:tcPr>
            <w:tcW w:w="4500" w:type="dxa"/>
            <w:tcBorders>
              <w:top w:val="nil"/>
              <w:left w:val="nil"/>
              <w:bottom w:val="nil"/>
              <w:right w:val="nil"/>
            </w:tcBorders>
          </w:tcPr>
          <w:p w:rsidR="00487E92" w:rsidRDefault="0000485A">
            <w:pPr>
              <w:rPr>
                <w:rFonts w:ascii="Arial" w:eastAsia="Arial" w:hAnsi="Arial" w:cs="Arial"/>
                <w:color w:val="222222"/>
                <w:sz w:val="24"/>
                <w:szCs w:val="24"/>
                <w:highlight w:val="white"/>
              </w:rPr>
            </w:pPr>
            <w:r>
              <w:rPr>
                <w:rFonts w:ascii="Arial" w:eastAsia="Arial" w:hAnsi="Arial" w:cs="Arial"/>
                <w:color w:val="222222"/>
                <w:sz w:val="24"/>
                <w:szCs w:val="24"/>
                <w:highlight w:val="white"/>
              </w:rPr>
              <w:t>means the amount charged by the Supplier to a Buyer for providing the Print Services;</w:t>
            </w:r>
          </w:p>
          <w:p w:rsidR="00487E92" w:rsidRDefault="00487E92">
            <w:pPr>
              <w:rPr>
                <w:rFonts w:ascii="Arial" w:eastAsia="Arial" w:hAnsi="Arial" w:cs="Arial"/>
                <w:color w:val="222222"/>
                <w:sz w:val="24"/>
                <w:szCs w:val="24"/>
                <w:highlight w:val="white"/>
              </w:rPr>
            </w:pPr>
          </w:p>
        </w:tc>
      </w:tr>
    </w:tbl>
    <w:p w:rsidR="00487E92" w:rsidRDefault="0000485A">
      <w:pPr>
        <w:numPr>
          <w:ilvl w:val="0"/>
          <w:numId w:val="1"/>
        </w:numPr>
        <w:pBdr>
          <w:top w:val="nil"/>
          <w:left w:val="nil"/>
          <w:bottom w:val="nil"/>
          <w:right w:val="nil"/>
          <w:between w:val="nil"/>
        </w:pBdr>
        <w:tabs>
          <w:tab w:val="left" w:pos="142"/>
        </w:tabs>
        <w:spacing w:before="120" w:after="240" w:line="240" w:lineRule="auto"/>
        <w:jc w:val="both"/>
        <w:rPr>
          <w:rFonts w:ascii="Arial" w:eastAsia="Arial" w:hAnsi="Arial" w:cs="Arial"/>
          <w:b/>
          <w:color w:val="000000"/>
          <w:sz w:val="24"/>
          <w:szCs w:val="24"/>
        </w:rPr>
      </w:pPr>
      <w:r>
        <w:rPr>
          <w:rFonts w:ascii="Arial" w:eastAsia="Arial" w:hAnsi="Arial" w:cs="Arial"/>
          <w:b/>
          <w:color w:val="000000"/>
          <w:sz w:val="24"/>
          <w:szCs w:val="24"/>
        </w:rPr>
        <w:t>Print Service Charge</w:t>
      </w:r>
    </w:p>
    <w:p w:rsidR="00487E92" w:rsidRDefault="0000485A">
      <w:pPr>
        <w:numPr>
          <w:ilvl w:val="1"/>
          <w:numId w:val="1"/>
        </w:numPr>
        <w:pBdr>
          <w:top w:val="nil"/>
          <w:left w:val="nil"/>
          <w:bottom w:val="nil"/>
          <w:right w:val="nil"/>
          <w:between w:val="nil"/>
        </w:pBdr>
        <w:tabs>
          <w:tab w:val="left" w:pos="1440"/>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Print Services Charges invoiced or charged to Buyers by the Supplier consist of two elements:-</w:t>
      </w:r>
    </w:p>
    <w:p w:rsidR="00487E92" w:rsidRDefault="0000485A">
      <w:pPr>
        <w:numPr>
          <w:ilvl w:val="2"/>
          <w:numId w:val="1"/>
        </w:numPr>
        <w:pBdr>
          <w:top w:val="nil"/>
          <w:left w:val="nil"/>
          <w:bottom w:val="nil"/>
          <w:right w:val="nil"/>
          <w:between w:val="nil"/>
        </w:pBdr>
        <w:tabs>
          <w:tab w:val="left" w:pos="1440"/>
        </w:tabs>
        <w:spacing w:before="120" w:after="120" w:line="240" w:lineRule="auto"/>
        <w:ind w:left="1980" w:hanging="810"/>
        <w:rPr>
          <w:rFonts w:ascii="Arial" w:eastAsia="Arial" w:hAnsi="Arial" w:cs="Arial"/>
          <w:color w:val="000000"/>
          <w:sz w:val="24"/>
          <w:szCs w:val="24"/>
        </w:rPr>
      </w:pPr>
      <w:r>
        <w:rPr>
          <w:rFonts w:ascii="Arial" w:eastAsia="Arial" w:hAnsi="Arial" w:cs="Arial"/>
          <w:color w:val="000000"/>
          <w:sz w:val="24"/>
          <w:szCs w:val="24"/>
        </w:rPr>
        <w:t>The Charges for fulfilling the specified Print Services as defined during the Call-Off procedure or Order</w:t>
      </w:r>
    </w:p>
    <w:p w:rsidR="00487E92" w:rsidRDefault="0000485A">
      <w:pPr>
        <w:numPr>
          <w:ilvl w:val="2"/>
          <w:numId w:val="1"/>
        </w:numPr>
        <w:pBdr>
          <w:top w:val="nil"/>
          <w:left w:val="nil"/>
          <w:bottom w:val="nil"/>
          <w:right w:val="nil"/>
          <w:between w:val="nil"/>
        </w:pBdr>
        <w:tabs>
          <w:tab w:val="left" w:pos="1440"/>
        </w:tabs>
        <w:spacing w:before="120" w:after="120" w:line="240" w:lineRule="auto"/>
        <w:ind w:left="1980" w:hanging="810"/>
        <w:rPr>
          <w:rFonts w:ascii="Arial" w:eastAsia="Arial" w:hAnsi="Arial" w:cs="Arial"/>
          <w:color w:val="000000"/>
          <w:sz w:val="24"/>
          <w:szCs w:val="24"/>
        </w:rPr>
      </w:pPr>
      <w:r>
        <w:rPr>
          <w:rFonts w:ascii="Arial" w:eastAsia="Arial" w:hAnsi="Arial" w:cs="Arial"/>
          <w:color w:val="000000"/>
          <w:sz w:val="24"/>
          <w:szCs w:val="24"/>
        </w:rPr>
        <w:t>The Buyer Account Service Management Fee</w:t>
      </w:r>
    </w:p>
    <w:p w:rsidR="00487E92" w:rsidRDefault="0000485A">
      <w:pPr>
        <w:numPr>
          <w:ilvl w:val="0"/>
          <w:numId w:val="1"/>
        </w:numPr>
        <w:pBdr>
          <w:top w:val="nil"/>
          <w:left w:val="nil"/>
          <w:bottom w:val="nil"/>
          <w:right w:val="nil"/>
          <w:between w:val="nil"/>
        </w:pBdr>
        <w:tabs>
          <w:tab w:val="left" w:pos="142"/>
        </w:tabs>
        <w:spacing w:before="120" w:after="240" w:line="240" w:lineRule="auto"/>
        <w:jc w:val="both"/>
        <w:rPr>
          <w:rFonts w:ascii="Arial" w:eastAsia="Arial" w:hAnsi="Arial" w:cs="Arial"/>
          <w:b/>
          <w:color w:val="000000"/>
          <w:sz w:val="24"/>
          <w:szCs w:val="24"/>
        </w:rPr>
      </w:pPr>
      <w:r>
        <w:rPr>
          <w:rFonts w:ascii="Arial" w:eastAsia="Arial" w:hAnsi="Arial" w:cs="Arial"/>
          <w:b/>
          <w:color w:val="000000"/>
          <w:sz w:val="24"/>
          <w:szCs w:val="24"/>
        </w:rPr>
        <w:t>General Provisions</w:t>
      </w:r>
    </w:p>
    <w:p w:rsidR="00487E92" w:rsidRDefault="0000485A">
      <w:pPr>
        <w:numPr>
          <w:ilvl w:val="1"/>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4" w:name="_heading=h.3znysh7" w:colFirst="0" w:colLast="0"/>
      <w:bookmarkEnd w:id="4"/>
      <w:r>
        <w:rPr>
          <w:rFonts w:ascii="Arial" w:eastAsia="Arial" w:hAnsi="Arial" w:cs="Arial"/>
          <w:color w:val="000000"/>
          <w:sz w:val="24"/>
          <w:szCs w:val="24"/>
        </w:rPr>
        <w:t xml:space="preserve"> The Framework Prices set out in Annex 1 (Framework Prices) to this Framework Schedule 3 are the maximum that the Supplier may charge pursuant to any Call-Off Contract </w:t>
      </w:r>
    </w:p>
    <w:p w:rsidR="00487E92" w:rsidRDefault="0000485A">
      <w:pPr>
        <w:numPr>
          <w:ilvl w:val="1"/>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 The Supplier acknowledges and agrees that any prices submitted in relation to a further competition held in accordance with Framework Schedule 7 (Call Off award Procedure) shall be equal to or lower than the Framework Prices and</w:t>
      </w:r>
    </w:p>
    <w:p w:rsidR="00487E92" w:rsidRDefault="0000485A">
      <w:pPr>
        <w:numPr>
          <w:ilvl w:val="1"/>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rPr>
      </w:pPr>
      <w:r>
        <w:rPr>
          <w:rFonts w:ascii="Arial" w:eastAsia="Arial" w:hAnsi="Arial" w:cs="Arial"/>
          <w:color w:val="000000"/>
          <w:sz w:val="24"/>
          <w:szCs w:val="24"/>
        </w:rPr>
        <w:t>Cannot be increased except as in accordance with this Schedule.</w:t>
      </w:r>
    </w:p>
    <w:p w:rsidR="00487E92" w:rsidRDefault="0000485A">
      <w:pPr>
        <w:numPr>
          <w:ilvl w:val="0"/>
          <w:numId w:val="1"/>
        </w:numPr>
        <w:pBdr>
          <w:top w:val="nil"/>
          <w:left w:val="nil"/>
          <w:bottom w:val="nil"/>
          <w:right w:val="nil"/>
          <w:between w:val="nil"/>
        </w:pBdr>
        <w:tabs>
          <w:tab w:val="left" w:pos="142"/>
        </w:tabs>
        <w:spacing w:before="120" w:after="240" w:line="240" w:lineRule="auto"/>
        <w:jc w:val="both"/>
        <w:rPr>
          <w:rFonts w:ascii="Arial" w:eastAsia="Arial" w:hAnsi="Arial" w:cs="Arial"/>
          <w:b/>
          <w:color w:val="000000"/>
          <w:sz w:val="24"/>
          <w:szCs w:val="24"/>
        </w:rPr>
      </w:pPr>
      <w:r>
        <w:rPr>
          <w:rFonts w:ascii="Arial" w:eastAsia="Arial" w:hAnsi="Arial" w:cs="Arial"/>
          <w:b/>
          <w:color w:val="000000"/>
          <w:sz w:val="24"/>
          <w:szCs w:val="24"/>
        </w:rPr>
        <w:t>Pricing Mechanisms for the Calculation of the Charges for providing Print Services</w:t>
      </w:r>
    </w:p>
    <w:p w:rsidR="00487E92" w:rsidRDefault="0000485A">
      <w:pPr>
        <w:numPr>
          <w:ilvl w:val="1"/>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utilise the Framework Prices as maximum charges where available, when calculating the Print Services Charges such as for example day rates</w:t>
      </w:r>
    </w:p>
    <w:p w:rsidR="00487E92" w:rsidRDefault="0000485A">
      <w:pPr>
        <w:numPr>
          <w:ilvl w:val="1"/>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Rate Cards; The Supplier shall formulate rate cards during the Call-off Procedure, where required by Buyers for specific print items </w:t>
      </w:r>
    </w:p>
    <w:p w:rsidR="00487E92" w:rsidRDefault="0000485A">
      <w:pPr>
        <w:numPr>
          <w:ilvl w:val="2"/>
          <w:numId w:val="1"/>
        </w:numPr>
        <w:pBdr>
          <w:top w:val="nil"/>
          <w:left w:val="nil"/>
          <w:bottom w:val="nil"/>
          <w:right w:val="nil"/>
          <w:between w:val="nil"/>
        </w:pBdr>
        <w:tabs>
          <w:tab w:val="left" w:pos="1985"/>
          <w:tab w:val="left" w:pos="2127"/>
        </w:tabs>
        <w:spacing w:before="120" w:after="120" w:line="240" w:lineRule="auto"/>
        <w:ind w:left="1980" w:hanging="810"/>
        <w:rPr>
          <w:rFonts w:ascii="Arial" w:eastAsia="Arial" w:hAnsi="Arial" w:cs="Arial"/>
          <w:color w:val="000000"/>
          <w:sz w:val="24"/>
          <w:szCs w:val="24"/>
        </w:rPr>
      </w:pPr>
      <w:r>
        <w:rPr>
          <w:rFonts w:ascii="Arial" w:eastAsia="Arial" w:hAnsi="Arial" w:cs="Arial"/>
          <w:color w:val="000000"/>
          <w:sz w:val="24"/>
          <w:szCs w:val="24"/>
        </w:rPr>
        <w:t>The Supplier shall provide the Buyer a basis for calculating the rate card to ensure transparency of pricing and to demonstrate that the maximum Framework Prices are not exceeded.</w:t>
      </w:r>
    </w:p>
    <w:p w:rsidR="00487E92" w:rsidRDefault="0000485A">
      <w:pPr>
        <w:numPr>
          <w:ilvl w:val="2"/>
          <w:numId w:val="1"/>
        </w:numPr>
        <w:pBdr>
          <w:top w:val="nil"/>
          <w:left w:val="nil"/>
          <w:bottom w:val="nil"/>
          <w:right w:val="nil"/>
          <w:between w:val="nil"/>
        </w:pBdr>
        <w:tabs>
          <w:tab w:val="left" w:pos="1985"/>
          <w:tab w:val="left" w:pos="2127"/>
        </w:tabs>
        <w:spacing w:before="120" w:after="120" w:line="240" w:lineRule="auto"/>
        <w:ind w:left="1980" w:hanging="810"/>
        <w:rPr>
          <w:rFonts w:ascii="Arial" w:eastAsia="Arial" w:hAnsi="Arial" w:cs="Arial"/>
          <w:color w:val="000000"/>
          <w:sz w:val="24"/>
          <w:szCs w:val="24"/>
        </w:rPr>
      </w:pPr>
      <w:r>
        <w:rPr>
          <w:rFonts w:ascii="Arial" w:eastAsia="Arial" w:hAnsi="Arial" w:cs="Arial"/>
          <w:color w:val="000000"/>
          <w:sz w:val="24"/>
          <w:szCs w:val="24"/>
        </w:rPr>
        <w:t>The Supplier shall ensure that rate cards remain competitive by for example undertaking benchmarking and or obtaining competitive quotes from their supply chain.</w:t>
      </w:r>
    </w:p>
    <w:p w:rsidR="00487E92" w:rsidRDefault="0000485A">
      <w:pPr>
        <w:numPr>
          <w:ilvl w:val="1"/>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Provision of Quotations; The Supplier shall provide one off / ad hoc quotations for Buyers where appropriate for example such as when rate cards have not been established or the Buyer has requested a non-standard or unique bespoke requirement.</w:t>
      </w:r>
    </w:p>
    <w:p w:rsidR="00487E92" w:rsidRDefault="0000485A">
      <w:pPr>
        <w:numPr>
          <w:ilvl w:val="2"/>
          <w:numId w:val="1"/>
        </w:numPr>
        <w:pBdr>
          <w:top w:val="nil"/>
          <w:left w:val="nil"/>
          <w:bottom w:val="nil"/>
          <w:right w:val="nil"/>
          <w:between w:val="nil"/>
        </w:pBdr>
        <w:tabs>
          <w:tab w:val="left" w:pos="1985"/>
          <w:tab w:val="left" w:pos="2127"/>
        </w:tabs>
        <w:spacing w:before="120" w:after="120" w:line="240" w:lineRule="auto"/>
        <w:ind w:left="1980" w:hanging="810"/>
        <w:rPr>
          <w:rFonts w:ascii="Arial" w:eastAsia="Arial" w:hAnsi="Arial" w:cs="Arial"/>
          <w:color w:val="000000"/>
          <w:sz w:val="24"/>
          <w:szCs w:val="24"/>
        </w:rPr>
      </w:pPr>
      <w:r>
        <w:rPr>
          <w:rFonts w:ascii="Arial" w:eastAsia="Arial" w:hAnsi="Arial" w:cs="Arial"/>
          <w:color w:val="000000"/>
          <w:sz w:val="24"/>
          <w:szCs w:val="24"/>
        </w:rPr>
        <w:t>The Supplier shall provide the Buyer a basis for calculating the quotation to ensure transparency of pricing and to demonstrate that the maximum Framework Prices are not exceeded.</w:t>
      </w:r>
    </w:p>
    <w:p w:rsidR="00487E92" w:rsidRDefault="0000485A">
      <w:pPr>
        <w:numPr>
          <w:ilvl w:val="2"/>
          <w:numId w:val="1"/>
        </w:numPr>
        <w:pBdr>
          <w:top w:val="nil"/>
          <w:left w:val="nil"/>
          <w:bottom w:val="nil"/>
          <w:right w:val="nil"/>
          <w:between w:val="nil"/>
        </w:pBdr>
        <w:tabs>
          <w:tab w:val="left" w:pos="1985"/>
          <w:tab w:val="left" w:pos="2127"/>
        </w:tabs>
        <w:spacing w:before="120" w:after="120" w:line="240" w:lineRule="auto"/>
        <w:ind w:left="1980" w:hanging="810"/>
        <w:rPr>
          <w:rFonts w:ascii="Arial" w:eastAsia="Arial" w:hAnsi="Arial" w:cs="Arial"/>
          <w:color w:val="000000"/>
          <w:sz w:val="24"/>
          <w:szCs w:val="24"/>
        </w:rPr>
      </w:pPr>
      <w:r>
        <w:rPr>
          <w:rFonts w:ascii="Arial" w:eastAsia="Arial" w:hAnsi="Arial" w:cs="Arial"/>
          <w:color w:val="000000"/>
          <w:sz w:val="24"/>
          <w:szCs w:val="24"/>
        </w:rPr>
        <w:t>The Supplier shall ensure that all quotations are competitive by for example benchmarking and / or obtaining competitive quotes from their supply chain.</w:t>
      </w:r>
    </w:p>
    <w:p w:rsidR="00487E92" w:rsidRDefault="0000485A">
      <w:pPr>
        <w:numPr>
          <w:ilvl w:val="1"/>
          <w:numId w:val="1"/>
        </w:numPr>
        <w:pBdr>
          <w:top w:val="nil"/>
          <w:left w:val="nil"/>
          <w:bottom w:val="nil"/>
          <w:right w:val="nil"/>
          <w:between w:val="nil"/>
        </w:pBdr>
        <w:tabs>
          <w:tab w:val="left" w:pos="709"/>
        </w:tabs>
        <w:spacing w:before="120" w:after="120" w:line="240" w:lineRule="auto"/>
      </w:pPr>
      <w:r>
        <w:rPr>
          <w:rFonts w:ascii="Arial" w:eastAsia="Arial" w:hAnsi="Arial" w:cs="Arial"/>
          <w:color w:val="000000"/>
          <w:sz w:val="24"/>
          <w:szCs w:val="24"/>
        </w:rPr>
        <w:t>The Charges:</w:t>
      </w:r>
    </w:p>
    <w:p w:rsidR="00487E92" w:rsidRDefault="0000485A">
      <w:pPr>
        <w:numPr>
          <w:ilvl w:val="2"/>
          <w:numId w:val="1"/>
        </w:numPr>
        <w:pBdr>
          <w:top w:val="nil"/>
          <w:left w:val="nil"/>
          <w:bottom w:val="nil"/>
          <w:right w:val="nil"/>
          <w:between w:val="nil"/>
        </w:pBdr>
        <w:tabs>
          <w:tab w:val="left" w:pos="1985"/>
          <w:tab w:val="left" w:pos="2127"/>
        </w:tabs>
        <w:spacing w:before="120" w:after="120" w:line="240" w:lineRule="auto"/>
        <w:ind w:left="1980" w:hanging="810"/>
        <w:rPr>
          <w:rFonts w:ascii="Arial" w:eastAsia="Arial" w:hAnsi="Arial" w:cs="Arial"/>
        </w:rPr>
      </w:pPr>
      <w:r>
        <w:rPr>
          <w:rFonts w:ascii="Arial" w:eastAsia="Arial" w:hAnsi="Arial" w:cs="Arial"/>
          <w:color w:val="000000"/>
          <w:sz w:val="24"/>
          <w:szCs w:val="24"/>
        </w:rPr>
        <w:t xml:space="preserve">shall be calculated in accordance with the terms of the Call Off Contract and in particular in accordance with the terms of the Order Form; </w:t>
      </w:r>
    </w:p>
    <w:p w:rsidR="00487E92" w:rsidRDefault="0000485A">
      <w:pPr>
        <w:numPr>
          <w:ilvl w:val="2"/>
          <w:numId w:val="1"/>
        </w:numPr>
        <w:pBdr>
          <w:top w:val="nil"/>
          <w:left w:val="nil"/>
          <w:bottom w:val="nil"/>
          <w:right w:val="nil"/>
          <w:between w:val="nil"/>
        </w:pBdr>
        <w:tabs>
          <w:tab w:val="left" w:pos="1985"/>
          <w:tab w:val="left" w:pos="2127"/>
        </w:tabs>
        <w:spacing w:before="120" w:after="120" w:line="240" w:lineRule="auto"/>
        <w:ind w:left="1980" w:hanging="810"/>
        <w:rPr>
          <w:rFonts w:ascii="Arial" w:eastAsia="Arial" w:hAnsi="Arial" w:cs="Arial"/>
        </w:rPr>
      </w:pPr>
      <w:r>
        <w:rPr>
          <w:rFonts w:ascii="Arial" w:eastAsia="Arial" w:hAnsi="Arial" w:cs="Arial"/>
          <w:color w:val="000000"/>
          <w:sz w:val="24"/>
          <w:szCs w:val="24"/>
        </w:rPr>
        <w:t>cannot be increased except as specifically permitted by the Call Off Contract and in particular shall only be subject to Indexation where specifically stated in the Order Form; and</w:t>
      </w:r>
    </w:p>
    <w:p w:rsidR="00487E92" w:rsidRDefault="0000485A">
      <w:pPr>
        <w:numPr>
          <w:ilvl w:val="2"/>
          <w:numId w:val="1"/>
        </w:numPr>
        <w:pBdr>
          <w:top w:val="nil"/>
          <w:left w:val="nil"/>
          <w:bottom w:val="nil"/>
          <w:right w:val="nil"/>
          <w:between w:val="nil"/>
        </w:pBdr>
        <w:tabs>
          <w:tab w:val="left" w:pos="1985"/>
          <w:tab w:val="left" w:pos="2127"/>
        </w:tabs>
        <w:spacing w:before="120" w:after="120" w:line="240" w:lineRule="auto"/>
        <w:ind w:left="1980" w:hanging="810"/>
        <w:rPr>
          <w:rFonts w:ascii="Arial" w:eastAsia="Arial" w:hAnsi="Arial" w:cs="Arial"/>
        </w:rPr>
      </w:pPr>
      <w:r>
        <w:rPr>
          <w:rFonts w:ascii="Arial" w:eastAsia="Arial" w:hAnsi="Arial" w:cs="Arial"/>
          <w:color w:val="000000"/>
          <w:sz w:val="24"/>
          <w:szCs w:val="24"/>
        </w:rPr>
        <w:t>shall not be impacted by any change to the Framework Prices.</w:t>
      </w:r>
    </w:p>
    <w:p w:rsidR="00487E92" w:rsidRDefault="0000485A">
      <w:pPr>
        <w:numPr>
          <w:ilvl w:val="2"/>
          <w:numId w:val="1"/>
        </w:numPr>
        <w:pBdr>
          <w:top w:val="nil"/>
          <w:left w:val="nil"/>
          <w:bottom w:val="nil"/>
          <w:right w:val="nil"/>
          <w:between w:val="nil"/>
        </w:pBdr>
        <w:tabs>
          <w:tab w:val="left" w:pos="1985"/>
          <w:tab w:val="left" w:pos="2127"/>
        </w:tabs>
        <w:spacing w:before="120" w:after="120" w:line="240" w:lineRule="auto"/>
        <w:ind w:left="1980" w:hanging="810"/>
        <w:rPr>
          <w:rFonts w:ascii="Arial" w:eastAsia="Arial" w:hAnsi="Arial" w:cs="Arial"/>
          <w:color w:val="000000"/>
          <w:sz w:val="24"/>
          <w:szCs w:val="24"/>
        </w:rPr>
      </w:pPr>
      <w:r>
        <w:rPr>
          <w:rFonts w:ascii="Arial" w:eastAsia="Arial" w:hAnsi="Arial" w:cs="Arial"/>
          <w:color w:val="000000"/>
          <w:sz w:val="24"/>
          <w:szCs w:val="24"/>
        </w:rPr>
        <w:t>any variation to the Charges payable under a Call-Off Contracts must be agreed between the Supplier and the Buyer and implemented in accordance with the provisions applicable to the Call-Off Contract, and using the same procedure for altering Framework Prices in accordance with the provisions of this Framework Schedule 3.</w:t>
      </w:r>
    </w:p>
    <w:p w:rsidR="00487E92" w:rsidRDefault="0000485A">
      <w:pPr>
        <w:numPr>
          <w:ilvl w:val="0"/>
          <w:numId w:val="1"/>
        </w:numPr>
        <w:pBdr>
          <w:top w:val="nil"/>
          <w:left w:val="nil"/>
          <w:bottom w:val="nil"/>
          <w:right w:val="nil"/>
          <w:between w:val="nil"/>
        </w:pBdr>
        <w:tabs>
          <w:tab w:val="left" w:pos="142"/>
        </w:tabs>
        <w:spacing w:before="120" w:after="240" w:line="240" w:lineRule="auto"/>
        <w:jc w:val="both"/>
        <w:rPr>
          <w:rFonts w:ascii="Arial" w:eastAsia="Arial" w:hAnsi="Arial" w:cs="Arial"/>
          <w:b/>
          <w:color w:val="000000"/>
          <w:sz w:val="24"/>
          <w:szCs w:val="24"/>
        </w:rPr>
      </w:pPr>
      <w:r>
        <w:rPr>
          <w:rFonts w:ascii="Arial" w:eastAsia="Arial" w:hAnsi="Arial" w:cs="Arial"/>
          <w:b/>
          <w:color w:val="000000"/>
          <w:sz w:val="24"/>
          <w:szCs w:val="24"/>
        </w:rPr>
        <w:t>The Buyer Account Service Management Fee</w:t>
      </w:r>
    </w:p>
    <w:p w:rsidR="00487E92" w:rsidRDefault="0000485A">
      <w:pPr>
        <w:numPr>
          <w:ilvl w:val="1"/>
          <w:numId w:val="1"/>
        </w:numPr>
        <w:pBdr>
          <w:top w:val="nil"/>
          <w:left w:val="nil"/>
          <w:bottom w:val="nil"/>
          <w:right w:val="nil"/>
          <w:between w:val="nil"/>
        </w:pBdr>
        <w:tabs>
          <w:tab w:val="left" w:pos="709"/>
        </w:tabs>
        <w:spacing w:before="120" w:after="120" w:line="240" w:lineRule="auto"/>
        <w:rPr>
          <w:sz w:val="24"/>
          <w:szCs w:val="24"/>
        </w:rPr>
      </w:pPr>
      <w:r>
        <w:rPr>
          <w:rFonts w:ascii="Arial" w:eastAsia="Arial" w:hAnsi="Arial" w:cs="Arial"/>
          <w:sz w:val="24"/>
          <w:szCs w:val="24"/>
        </w:rPr>
        <w:t>What the Buyer Account Service Management Fee covers</w:t>
      </w:r>
    </w:p>
    <w:p w:rsidR="00487E92" w:rsidRDefault="0000485A">
      <w:pPr>
        <w:numPr>
          <w:ilvl w:val="2"/>
          <w:numId w:val="1"/>
        </w:numPr>
        <w:pBdr>
          <w:top w:val="nil"/>
          <w:left w:val="nil"/>
          <w:bottom w:val="nil"/>
          <w:right w:val="nil"/>
          <w:between w:val="nil"/>
        </w:pBdr>
        <w:tabs>
          <w:tab w:val="left" w:pos="1985"/>
          <w:tab w:val="left" w:pos="2127"/>
        </w:tabs>
        <w:spacing w:before="120" w:after="120" w:line="240" w:lineRule="auto"/>
        <w:ind w:left="1980" w:hanging="810"/>
        <w:rPr>
          <w:rFonts w:ascii="Arial" w:eastAsia="Arial" w:hAnsi="Arial" w:cs="Arial"/>
          <w:color w:val="000000"/>
          <w:sz w:val="24"/>
          <w:szCs w:val="24"/>
        </w:rPr>
      </w:pPr>
      <w:r>
        <w:rPr>
          <w:rFonts w:ascii="Arial" w:eastAsia="Arial" w:hAnsi="Arial" w:cs="Arial"/>
          <w:color w:val="000000"/>
          <w:sz w:val="24"/>
          <w:szCs w:val="24"/>
        </w:rPr>
        <w:t>The Buyer Account Service Management Fee shall include all of the Suppliers costs in relation to providing a print management service to Buyers including service support, overheads and all costs related to the delivery of the services, all account management costs including any promotional and marketing costs, the management fee and the Suppliers profit</w:t>
      </w:r>
    </w:p>
    <w:p w:rsidR="00487E92" w:rsidRDefault="0000485A">
      <w:pPr>
        <w:numPr>
          <w:ilvl w:val="1"/>
          <w:numId w:val="1"/>
        </w:numPr>
        <w:pBdr>
          <w:top w:val="nil"/>
          <w:left w:val="nil"/>
          <w:bottom w:val="nil"/>
          <w:right w:val="nil"/>
          <w:between w:val="nil"/>
        </w:pBdr>
        <w:tabs>
          <w:tab w:val="left" w:pos="709"/>
        </w:tabs>
        <w:spacing w:before="120" w:after="120" w:line="240" w:lineRule="auto"/>
        <w:rPr>
          <w:rFonts w:ascii="Arial" w:eastAsia="Arial" w:hAnsi="Arial" w:cs="Arial"/>
          <w:sz w:val="24"/>
          <w:szCs w:val="24"/>
        </w:rPr>
      </w:pPr>
      <w:r>
        <w:rPr>
          <w:rFonts w:ascii="Arial" w:eastAsia="Arial" w:hAnsi="Arial" w:cs="Arial"/>
          <w:sz w:val="24"/>
          <w:szCs w:val="24"/>
        </w:rPr>
        <w:t>How the Buyer Account Service Management Fee is calculated and applied</w:t>
      </w:r>
    </w:p>
    <w:p w:rsidR="00487E92" w:rsidRDefault="0000485A">
      <w:pPr>
        <w:numPr>
          <w:ilvl w:val="2"/>
          <w:numId w:val="1"/>
        </w:numPr>
        <w:pBdr>
          <w:top w:val="nil"/>
          <w:left w:val="nil"/>
          <w:bottom w:val="nil"/>
          <w:right w:val="nil"/>
          <w:between w:val="nil"/>
        </w:pBdr>
        <w:tabs>
          <w:tab w:val="left" w:pos="1985"/>
          <w:tab w:val="left" w:pos="2127"/>
        </w:tabs>
        <w:spacing w:before="120" w:after="120" w:line="240" w:lineRule="auto"/>
        <w:ind w:left="1980" w:hanging="810"/>
        <w:rPr>
          <w:rFonts w:ascii="Arial" w:eastAsia="Arial" w:hAnsi="Arial" w:cs="Arial"/>
          <w:color w:val="000000"/>
          <w:sz w:val="24"/>
          <w:szCs w:val="24"/>
        </w:rPr>
      </w:pPr>
      <w:r>
        <w:rPr>
          <w:rFonts w:ascii="Arial" w:eastAsia="Arial" w:hAnsi="Arial" w:cs="Arial"/>
          <w:color w:val="000000"/>
          <w:sz w:val="24"/>
          <w:szCs w:val="24"/>
        </w:rPr>
        <w:t xml:space="preserve"> Shall be calculated in accordance with Table 1 </w:t>
      </w:r>
    </w:p>
    <w:p w:rsidR="00487E92" w:rsidRDefault="0000485A">
      <w:pPr>
        <w:numPr>
          <w:ilvl w:val="2"/>
          <w:numId w:val="1"/>
        </w:numPr>
        <w:pBdr>
          <w:top w:val="nil"/>
          <w:left w:val="nil"/>
          <w:bottom w:val="nil"/>
          <w:right w:val="nil"/>
          <w:between w:val="nil"/>
        </w:pBdr>
        <w:tabs>
          <w:tab w:val="left" w:pos="1985"/>
          <w:tab w:val="left" w:pos="2127"/>
        </w:tabs>
        <w:spacing w:before="120" w:after="120" w:line="240" w:lineRule="auto"/>
        <w:ind w:left="1980" w:hanging="810"/>
        <w:rPr>
          <w:rFonts w:ascii="Arial" w:eastAsia="Arial" w:hAnsi="Arial" w:cs="Arial"/>
          <w:color w:val="000000"/>
          <w:sz w:val="24"/>
          <w:szCs w:val="24"/>
        </w:rPr>
      </w:pPr>
      <w:r>
        <w:rPr>
          <w:rFonts w:ascii="Arial" w:eastAsia="Arial" w:hAnsi="Arial" w:cs="Arial"/>
          <w:color w:val="000000"/>
          <w:sz w:val="24"/>
          <w:szCs w:val="24"/>
        </w:rPr>
        <w:t xml:space="preserve"> Shall be applied to the total value of a Buyers order for Print Services (print, paper, fulfilment and delivery) </w:t>
      </w:r>
      <w:r>
        <w:rPr>
          <w:rFonts w:ascii="Arial" w:eastAsia="Arial" w:hAnsi="Arial" w:cs="Arial"/>
          <w:color w:val="000000"/>
          <w:sz w:val="24"/>
          <w:szCs w:val="24"/>
          <w:u w:val="single"/>
        </w:rPr>
        <w:t xml:space="preserve">excluding </w:t>
      </w:r>
      <w:r>
        <w:rPr>
          <w:rFonts w:ascii="Arial" w:eastAsia="Arial" w:hAnsi="Arial" w:cs="Arial"/>
          <w:color w:val="000000"/>
          <w:sz w:val="24"/>
          <w:szCs w:val="24"/>
        </w:rPr>
        <w:t>any Postal Charges.</w:t>
      </w:r>
    </w:p>
    <w:p w:rsidR="00487E92" w:rsidRDefault="0000485A">
      <w:pPr>
        <w:numPr>
          <w:ilvl w:val="1"/>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Account Service Management Fee percentage shall be fixed for the Framework Contract Period</w:t>
      </w:r>
    </w:p>
    <w:p w:rsidR="00487E92" w:rsidRDefault="0000485A">
      <w:pPr>
        <w:numPr>
          <w:ilvl w:val="0"/>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b/>
          <w:sz w:val="24"/>
          <w:szCs w:val="24"/>
        </w:rPr>
      </w:pPr>
      <w:r>
        <w:rPr>
          <w:rFonts w:ascii="Arial" w:eastAsia="Arial" w:hAnsi="Arial" w:cs="Arial"/>
          <w:b/>
          <w:sz w:val="24"/>
          <w:szCs w:val="24"/>
        </w:rPr>
        <w:t>The C&amp;HP Service Options</w:t>
      </w:r>
    </w:p>
    <w:p w:rsidR="00487E92" w:rsidRDefault="00487E92">
      <w:pPr>
        <w:pBdr>
          <w:top w:val="nil"/>
          <w:left w:val="nil"/>
          <w:bottom w:val="nil"/>
          <w:right w:val="nil"/>
          <w:between w:val="nil"/>
        </w:pBdr>
        <w:tabs>
          <w:tab w:val="left" w:pos="1985"/>
          <w:tab w:val="left" w:pos="2127"/>
        </w:tabs>
        <w:spacing w:before="120" w:after="120" w:line="240" w:lineRule="auto"/>
        <w:ind w:left="360"/>
        <w:rPr>
          <w:rFonts w:ascii="Arial" w:eastAsia="Arial" w:hAnsi="Arial" w:cs="Arial"/>
          <w:b/>
          <w:sz w:val="24"/>
          <w:szCs w:val="24"/>
        </w:rPr>
      </w:pPr>
    </w:p>
    <w:p w:rsidR="00487E92" w:rsidRDefault="0000485A">
      <w:pPr>
        <w:numPr>
          <w:ilvl w:val="1"/>
          <w:numId w:val="1"/>
        </w:numPr>
        <w:pBdr>
          <w:top w:val="nil"/>
          <w:left w:val="nil"/>
          <w:bottom w:val="nil"/>
          <w:right w:val="nil"/>
          <w:between w:val="nil"/>
        </w:pBdr>
        <w:tabs>
          <w:tab w:val="left" w:pos="709"/>
        </w:tabs>
        <w:spacing w:before="120" w:after="120" w:line="240" w:lineRule="auto"/>
        <w:rPr>
          <w:rFonts w:ascii="Arial" w:eastAsia="Arial" w:hAnsi="Arial" w:cs="Arial"/>
          <w:sz w:val="24"/>
          <w:szCs w:val="24"/>
        </w:rPr>
      </w:pPr>
      <w:r>
        <w:rPr>
          <w:rFonts w:ascii="Arial" w:eastAsia="Arial" w:hAnsi="Arial" w:cs="Arial"/>
          <w:sz w:val="24"/>
          <w:szCs w:val="24"/>
        </w:rPr>
        <w:t>The Supplier shall Charge the Buyer for the C&amp;HP Options selected by the Buyer, as contained in Annex 1 of this Framework Schedule 3 ( Framework Prices)</w:t>
      </w:r>
    </w:p>
    <w:p w:rsidR="00487E92" w:rsidRDefault="0000485A">
      <w:pPr>
        <w:numPr>
          <w:ilvl w:val="1"/>
          <w:numId w:val="1"/>
        </w:numPr>
        <w:pBdr>
          <w:top w:val="nil"/>
          <w:left w:val="nil"/>
          <w:bottom w:val="nil"/>
          <w:right w:val="nil"/>
          <w:between w:val="nil"/>
        </w:pBdr>
        <w:tabs>
          <w:tab w:val="left" w:pos="709"/>
        </w:tabs>
        <w:spacing w:before="120" w:after="120" w:line="240" w:lineRule="auto"/>
        <w:rPr>
          <w:rFonts w:ascii="Arial" w:eastAsia="Arial" w:hAnsi="Arial" w:cs="Arial"/>
          <w:b/>
          <w:sz w:val="24"/>
          <w:szCs w:val="24"/>
        </w:rPr>
      </w:pPr>
      <w:r>
        <w:rPr>
          <w:rFonts w:ascii="Arial" w:eastAsia="Arial" w:hAnsi="Arial" w:cs="Arial"/>
          <w:sz w:val="24"/>
          <w:szCs w:val="24"/>
        </w:rPr>
        <w:t xml:space="preserve"> No more than one C&amp;HP Service Option Charge shall apply to each paper</w:t>
      </w:r>
    </w:p>
    <w:p w:rsidR="00487E92" w:rsidRDefault="0000485A">
      <w:pPr>
        <w:numPr>
          <w:ilvl w:val="1"/>
          <w:numId w:val="1"/>
        </w:numPr>
        <w:pBdr>
          <w:top w:val="nil"/>
          <w:left w:val="nil"/>
          <w:bottom w:val="nil"/>
          <w:right w:val="nil"/>
          <w:between w:val="nil"/>
        </w:pBdr>
        <w:tabs>
          <w:tab w:val="left" w:pos="709"/>
        </w:tabs>
        <w:spacing w:before="120" w:after="120" w:line="240" w:lineRule="auto"/>
        <w:rPr>
          <w:rFonts w:ascii="Arial" w:eastAsia="Arial" w:hAnsi="Arial" w:cs="Arial"/>
          <w:sz w:val="24"/>
          <w:szCs w:val="24"/>
        </w:rPr>
      </w:pPr>
      <w:r>
        <w:rPr>
          <w:rFonts w:ascii="Arial" w:eastAsia="Arial" w:hAnsi="Arial" w:cs="Arial"/>
          <w:sz w:val="24"/>
          <w:szCs w:val="24"/>
        </w:rPr>
        <w:t>The Supplier shall charge the appropriate Buyer Account Service Management Fee as contained in Annex 1 of this Framework Schedule 3 ( Framework Prices) in accordance with paragraph 2 of this Framework Schedule 3</w:t>
      </w:r>
    </w:p>
    <w:p w:rsidR="00487E92" w:rsidRDefault="00487E92">
      <w:pPr>
        <w:pBdr>
          <w:top w:val="nil"/>
          <w:left w:val="nil"/>
          <w:bottom w:val="nil"/>
          <w:right w:val="nil"/>
          <w:between w:val="nil"/>
        </w:pBdr>
        <w:tabs>
          <w:tab w:val="left" w:pos="709"/>
        </w:tabs>
        <w:spacing w:before="120" w:after="120" w:line="240" w:lineRule="auto"/>
        <w:ind w:left="644"/>
        <w:rPr>
          <w:rFonts w:ascii="Arial" w:eastAsia="Arial" w:hAnsi="Arial" w:cs="Arial"/>
          <w:b/>
          <w:color w:val="FF0000"/>
          <w:sz w:val="24"/>
          <w:szCs w:val="24"/>
        </w:rPr>
      </w:pPr>
    </w:p>
    <w:p w:rsidR="00487E92" w:rsidRDefault="0000485A">
      <w:pPr>
        <w:numPr>
          <w:ilvl w:val="0"/>
          <w:numId w:val="1"/>
        </w:numPr>
        <w:pBdr>
          <w:top w:val="nil"/>
          <w:left w:val="nil"/>
          <w:bottom w:val="nil"/>
          <w:right w:val="nil"/>
          <w:between w:val="nil"/>
        </w:pBdr>
        <w:tabs>
          <w:tab w:val="left" w:pos="142"/>
        </w:tabs>
        <w:spacing w:before="120" w:after="240" w:line="240" w:lineRule="auto"/>
        <w:jc w:val="both"/>
        <w:rPr>
          <w:rFonts w:ascii="Arial" w:eastAsia="Arial" w:hAnsi="Arial" w:cs="Arial"/>
          <w:b/>
          <w:color w:val="000000"/>
          <w:sz w:val="24"/>
          <w:szCs w:val="24"/>
        </w:rPr>
      </w:pPr>
      <w:bookmarkStart w:id="5" w:name="bookmark=id.tyjcwt" w:colFirst="0" w:colLast="0"/>
      <w:bookmarkStart w:id="6" w:name="_heading=h.2et92p0" w:colFirst="0" w:colLast="0"/>
      <w:bookmarkEnd w:id="5"/>
      <w:bookmarkEnd w:id="6"/>
      <w:r>
        <w:rPr>
          <w:rFonts w:ascii="Arial" w:eastAsia="Arial" w:hAnsi="Arial" w:cs="Arial"/>
          <w:b/>
          <w:color w:val="000000"/>
          <w:sz w:val="24"/>
          <w:szCs w:val="24"/>
        </w:rPr>
        <w:t>When the Supplier can ask to change the Framework Prices</w:t>
      </w:r>
    </w:p>
    <w:p w:rsidR="00487E92" w:rsidRDefault="0000485A">
      <w:pPr>
        <w:pBdr>
          <w:top w:val="nil"/>
          <w:left w:val="nil"/>
          <w:bottom w:val="nil"/>
          <w:right w:val="nil"/>
          <w:between w:val="nil"/>
        </w:pBdr>
        <w:tabs>
          <w:tab w:val="left" w:pos="142"/>
        </w:tabs>
        <w:spacing w:before="120" w:after="240" w:line="240" w:lineRule="auto"/>
        <w:ind w:left="360"/>
        <w:jc w:val="both"/>
        <w:rPr>
          <w:rFonts w:ascii="Arial" w:eastAsia="Arial" w:hAnsi="Arial" w:cs="Arial"/>
          <w:b/>
          <w:color w:val="000000"/>
          <w:sz w:val="24"/>
          <w:szCs w:val="24"/>
        </w:rPr>
      </w:pPr>
      <w:r>
        <w:rPr>
          <w:rFonts w:ascii="Arial" w:eastAsia="Arial" w:hAnsi="Arial" w:cs="Arial"/>
          <w:b/>
          <w:color w:val="000000"/>
          <w:sz w:val="24"/>
          <w:szCs w:val="24"/>
        </w:rPr>
        <w:t>Buyer Account Service Management Fee</w:t>
      </w:r>
    </w:p>
    <w:p w:rsidR="00487E92" w:rsidRDefault="0000485A">
      <w:pPr>
        <w:numPr>
          <w:ilvl w:val="1"/>
          <w:numId w:val="1"/>
        </w:numPr>
        <w:pBdr>
          <w:top w:val="nil"/>
          <w:left w:val="nil"/>
          <w:bottom w:val="nil"/>
          <w:right w:val="nil"/>
          <w:between w:val="nil"/>
        </w:pBdr>
        <w:tabs>
          <w:tab w:val="left" w:pos="1985"/>
          <w:tab w:val="left" w:pos="2127"/>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Buyer Account Service Management fee percentage shall remain fixed for the duration of the Framework Contract</w:t>
      </w:r>
    </w:p>
    <w:p w:rsidR="00487E92" w:rsidRDefault="0000485A">
      <w:pPr>
        <w:pBdr>
          <w:top w:val="nil"/>
          <w:left w:val="nil"/>
          <w:bottom w:val="nil"/>
          <w:right w:val="nil"/>
          <w:between w:val="nil"/>
        </w:pBdr>
        <w:tabs>
          <w:tab w:val="left" w:pos="142"/>
        </w:tabs>
        <w:spacing w:before="120" w:after="240" w:line="240" w:lineRule="auto"/>
        <w:ind w:left="360"/>
        <w:jc w:val="both"/>
        <w:rPr>
          <w:rFonts w:ascii="Arial" w:eastAsia="Arial" w:hAnsi="Arial" w:cs="Arial"/>
          <w:b/>
          <w:color w:val="000000"/>
          <w:sz w:val="24"/>
          <w:szCs w:val="24"/>
        </w:rPr>
      </w:pPr>
      <w:r>
        <w:rPr>
          <w:rFonts w:ascii="Arial" w:eastAsia="Arial" w:hAnsi="Arial" w:cs="Arial"/>
          <w:b/>
          <w:color w:val="000000"/>
          <w:sz w:val="24"/>
          <w:szCs w:val="24"/>
        </w:rPr>
        <w:t>Framework Prices excluding products that contain paper</w:t>
      </w:r>
    </w:p>
    <w:p w:rsidR="00487E92" w:rsidRDefault="0000485A">
      <w:pPr>
        <w:numPr>
          <w:ilvl w:val="1"/>
          <w:numId w:val="1"/>
        </w:numPr>
        <w:pBdr>
          <w:top w:val="nil"/>
          <w:left w:val="nil"/>
          <w:bottom w:val="nil"/>
          <w:right w:val="nil"/>
          <w:between w:val="nil"/>
        </w:pBdr>
        <w:shd w:val="clear" w:color="auto" w:fill="FFFFFF"/>
        <w:tabs>
          <w:tab w:val="left" w:pos="709"/>
        </w:tabs>
        <w:spacing w:before="120" w:after="120" w:line="240" w:lineRule="auto"/>
        <w:ind w:left="1134" w:hanging="504"/>
        <w:rPr>
          <w:rFonts w:ascii="Arial" w:eastAsia="Arial" w:hAnsi="Arial" w:cs="Arial"/>
          <w:color w:val="000000"/>
          <w:sz w:val="24"/>
          <w:szCs w:val="24"/>
        </w:rPr>
      </w:pPr>
      <w:r>
        <w:rPr>
          <w:rFonts w:ascii="Arial" w:eastAsia="Arial" w:hAnsi="Arial" w:cs="Arial"/>
          <w:color w:val="000000"/>
          <w:sz w:val="24"/>
          <w:szCs w:val="24"/>
        </w:rPr>
        <w:t xml:space="preserve">The Framework Prices (with the exception of products that contain paper) will be fixed for the first two (2) years following the Framework Commencement Date (the date of expiry of such a period is a </w:t>
      </w:r>
      <w:r>
        <w:rPr>
          <w:rFonts w:ascii="Arial" w:eastAsia="Arial" w:hAnsi="Arial" w:cs="Arial"/>
          <w:b/>
          <w:color w:val="000000"/>
          <w:sz w:val="24"/>
          <w:szCs w:val="24"/>
        </w:rPr>
        <w:t>“Review Date”)</w:t>
      </w:r>
      <w:r>
        <w:rPr>
          <w:rFonts w:ascii="Arial" w:eastAsia="Arial" w:hAnsi="Arial" w:cs="Arial"/>
          <w:color w:val="000000"/>
          <w:sz w:val="24"/>
          <w:szCs w:val="24"/>
        </w:rPr>
        <w:t>. After this the Framework Prices shall be fixed for the remaining two (2) years following the “Review Date”.</w:t>
      </w:r>
    </w:p>
    <w:p w:rsidR="00487E92" w:rsidRDefault="0000485A">
      <w:pPr>
        <w:numPr>
          <w:ilvl w:val="1"/>
          <w:numId w:val="1"/>
        </w:numPr>
        <w:pBdr>
          <w:top w:val="nil"/>
          <w:left w:val="nil"/>
          <w:bottom w:val="nil"/>
          <w:right w:val="nil"/>
          <w:between w:val="nil"/>
        </w:pBdr>
        <w:shd w:val="clear" w:color="auto" w:fill="FFFFFF"/>
        <w:tabs>
          <w:tab w:val="left" w:pos="709"/>
        </w:tabs>
        <w:spacing w:before="120" w:after="120" w:line="240" w:lineRule="auto"/>
        <w:ind w:left="1134" w:hanging="504"/>
        <w:rPr>
          <w:rFonts w:ascii="Arial" w:eastAsia="Arial" w:hAnsi="Arial" w:cs="Arial"/>
          <w:color w:val="000000"/>
          <w:sz w:val="24"/>
          <w:szCs w:val="24"/>
        </w:rPr>
      </w:pPr>
      <w:r>
        <w:rPr>
          <w:rFonts w:ascii="Arial" w:eastAsia="Arial" w:hAnsi="Arial" w:cs="Arial"/>
          <w:color w:val="000000"/>
          <w:sz w:val="24"/>
          <w:szCs w:val="24"/>
        </w:rPr>
        <w:t xml:space="preserve">Any proposed adjustment should be in line the Office of National Statistics </w:t>
      </w:r>
      <w:r>
        <w:rPr>
          <w:rFonts w:ascii="Arial" w:eastAsia="Arial" w:hAnsi="Arial" w:cs="Arial"/>
          <w:b/>
          <w:color w:val="000000"/>
          <w:sz w:val="24"/>
          <w:szCs w:val="24"/>
        </w:rPr>
        <w:t>Producer Price Index, (PPI).</w:t>
      </w:r>
      <w:r>
        <w:rPr>
          <w:rFonts w:ascii="Arial" w:eastAsia="Arial" w:hAnsi="Arial" w:cs="Arial"/>
          <w:color w:val="000000"/>
          <w:sz w:val="24"/>
          <w:szCs w:val="24"/>
        </w:rPr>
        <w:t xml:space="preserve"> The base PPI will be set at the commencement date of the Framework Contract. All other costs, expenses, fees and charges shall not be adjusted to take account of any inflation, change to exchange rate, change to interest rate or any other factor or element which might otherwise increase the cost to the Supplier.</w:t>
      </w:r>
    </w:p>
    <w:p w:rsidR="00487E92" w:rsidRDefault="0000485A">
      <w:pPr>
        <w:numPr>
          <w:ilvl w:val="1"/>
          <w:numId w:val="1"/>
        </w:numPr>
        <w:pBdr>
          <w:top w:val="nil"/>
          <w:left w:val="nil"/>
          <w:bottom w:val="nil"/>
          <w:right w:val="nil"/>
          <w:between w:val="nil"/>
        </w:pBdr>
        <w:shd w:val="clear" w:color="auto" w:fill="FFFFFF"/>
        <w:tabs>
          <w:tab w:val="left" w:pos="709"/>
        </w:tabs>
        <w:spacing w:before="120" w:after="120" w:line="240" w:lineRule="auto"/>
        <w:ind w:left="1134" w:hanging="504"/>
        <w:rPr>
          <w:rFonts w:ascii="Arial" w:eastAsia="Arial" w:hAnsi="Arial" w:cs="Arial"/>
          <w:color w:val="000000"/>
          <w:sz w:val="24"/>
          <w:szCs w:val="24"/>
        </w:rPr>
      </w:pPr>
      <w:r>
        <w:rPr>
          <w:rFonts w:ascii="Arial" w:eastAsia="Arial" w:hAnsi="Arial" w:cs="Arial"/>
          <w:color w:val="000000"/>
          <w:sz w:val="24"/>
          <w:szCs w:val="24"/>
        </w:rPr>
        <w:t>Where the PPI Index:</w:t>
      </w:r>
    </w:p>
    <w:p w:rsidR="00487E92" w:rsidRDefault="0000485A">
      <w:pPr>
        <w:numPr>
          <w:ilvl w:val="2"/>
          <w:numId w:val="1"/>
        </w:numPr>
        <w:pBdr>
          <w:top w:val="nil"/>
          <w:left w:val="nil"/>
          <w:bottom w:val="nil"/>
          <w:right w:val="nil"/>
          <w:between w:val="nil"/>
        </w:pBdr>
        <w:tabs>
          <w:tab w:val="left" w:pos="1980"/>
        </w:tabs>
        <w:spacing w:before="120" w:after="120" w:line="240" w:lineRule="auto"/>
        <w:ind w:left="1980" w:hanging="810"/>
        <w:rPr>
          <w:rFonts w:ascii="Arial" w:eastAsia="Arial" w:hAnsi="Arial" w:cs="Arial"/>
          <w:color w:val="000000"/>
          <w:sz w:val="24"/>
          <w:szCs w:val="24"/>
        </w:rPr>
      </w:pPr>
      <w:r>
        <w:rPr>
          <w:rFonts w:ascii="Arial" w:eastAsia="Arial" w:hAnsi="Arial" w:cs="Arial"/>
          <w:color w:val="000000"/>
          <w:sz w:val="24"/>
          <w:szCs w:val="24"/>
        </w:rPr>
        <w:t>used to carry out an indexation calculation is updated (for example due to it being provisional) then the indexation calculation shall also be updated unless CCS and the Supplier agree otherwise; </w:t>
      </w:r>
    </w:p>
    <w:p w:rsidR="00487E92" w:rsidRDefault="0000485A">
      <w:pPr>
        <w:numPr>
          <w:ilvl w:val="2"/>
          <w:numId w:val="1"/>
        </w:numPr>
        <w:pBdr>
          <w:top w:val="nil"/>
          <w:left w:val="nil"/>
          <w:bottom w:val="nil"/>
          <w:right w:val="nil"/>
          <w:between w:val="nil"/>
        </w:pBdr>
        <w:tabs>
          <w:tab w:val="left" w:pos="1980"/>
        </w:tabs>
        <w:spacing w:before="120" w:after="120" w:line="240" w:lineRule="auto"/>
        <w:ind w:left="1980" w:hanging="810"/>
        <w:rPr>
          <w:rFonts w:ascii="Arial" w:eastAsia="Arial" w:hAnsi="Arial" w:cs="Arial"/>
          <w:color w:val="000000"/>
          <w:sz w:val="24"/>
          <w:szCs w:val="24"/>
        </w:rPr>
      </w:pPr>
      <w:r>
        <w:rPr>
          <w:rFonts w:ascii="Arial" w:eastAsia="Arial" w:hAnsi="Arial" w:cs="Arial"/>
          <w:color w:val="000000"/>
          <w:sz w:val="24"/>
          <w:szCs w:val="24"/>
        </w:rPr>
        <w:t>is no longer published, CCS and the Supplier shall agree a fair and reasonable replacement that will have substantially the same effect.</w:t>
      </w:r>
    </w:p>
    <w:p w:rsidR="00487E92" w:rsidRDefault="0000485A">
      <w:pPr>
        <w:pBdr>
          <w:top w:val="nil"/>
          <w:left w:val="nil"/>
          <w:bottom w:val="nil"/>
          <w:right w:val="nil"/>
          <w:between w:val="nil"/>
        </w:pBdr>
        <w:tabs>
          <w:tab w:val="left" w:pos="142"/>
        </w:tabs>
        <w:spacing w:before="120" w:after="240" w:line="240" w:lineRule="auto"/>
        <w:jc w:val="both"/>
        <w:rPr>
          <w:rFonts w:ascii="Arial" w:eastAsia="Arial" w:hAnsi="Arial" w:cs="Arial"/>
          <w:b/>
          <w:color w:val="000000"/>
          <w:sz w:val="24"/>
          <w:szCs w:val="24"/>
        </w:rPr>
      </w:pPr>
      <w:r>
        <w:rPr>
          <w:rFonts w:ascii="Arial" w:eastAsia="Arial" w:hAnsi="Arial" w:cs="Arial"/>
          <w:b/>
          <w:color w:val="000000"/>
          <w:sz w:val="24"/>
          <w:szCs w:val="24"/>
        </w:rPr>
        <w:t>Framework Prices for products that contain paper</w:t>
      </w:r>
    </w:p>
    <w:p w:rsidR="00487E92" w:rsidRDefault="0000485A">
      <w:pPr>
        <w:numPr>
          <w:ilvl w:val="1"/>
          <w:numId w:val="1"/>
        </w:numPr>
        <w:pBdr>
          <w:top w:val="nil"/>
          <w:left w:val="nil"/>
          <w:bottom w:val="nil"/>
          <w:right w:val="nil"/>
          <w:between w:val="nil"/>
        </w:pBdr>
        <w:shd w:val="clear" w:color="auto" w:fill="FFFFFF"/>
        <w:tabs>
          <w:tab w:val="left" w:pos="709"/>
        </w:tabs>
        <w:spacing w:before="120" w:after="120" w:line="240" w:lineRule="auto"/>
        <w:ind w:left="1134" w:hanging="504"/>
        <w:rPr>
          <w:rFonts w:ascii="Arial" w:eastAsia="Arial" w:hAnsi="Arial" w:cs="Arial"/>
          <w:color w:val="000000"/>
          <w:sz w:val="24"/>
          <w:szCs w:val="24"/>
        </w:rPr>
      </w:pPr>
      <w:r>
        <w:rPr>
          <w:rFonts w:ascii="Arial" w:eastAsia="Arial" w:hAnsi="Arial" w:cs="Arial"/>
          <w:b/>
          <w:color w:val="000000"/>
          <w:sz w:val="24"/>
          <w:szCs w:val="24"/>
        </w:rPr>
        <w:t>Paper Price adjustments;</w:t>
      </w:r>
      <w:r>
        <w:rPr>
          <w:rFonts w:ascii="Arial" w:eastAsia="Arial" w:hAnsi="Arial" w:cs="Arial"/>
          <w:color w:val="000000"/>
          <w:sz w:val="24"/>
          <w:szCs w:val="24"/>
        </w:rPr>
        <w:t xml:space="preserve"> Framework Prices for products which contain paper will be fixed for the first twelve (12) months following the Framework Commencement Date (the date of expiry of such the fixed price period is a "Review Date"). After this Framework Prices can only be adjusted on each following 12 month anniversary (the date of each such anniversary is also a "Review Date").</w:t>
      </w:r>
    </w:p>
    <w:p w:rsidR="00487E92" w:rsidRDefault="0000485A">
      <w:pPr>
        <w:numPr>
          <w:ilvl w:val="2"/>
          <w:numId w:val="1"/>
        </w:numPr>
        <w:pBdr>
          <w:top w:val="nil"/>
          <w:left w:val="nil"/>
          <w:bottom w:val="nil"/>
          <w:right w:val="nil"/>
          <w:between w:val="nil"/>
        </w:pBdr>
        <w:tabs>
          <w:tab w:val="left" w:pos="1985"/>
          <w:tab w:val="left" w:pos="2127"/>
        </w:tabs>
        <w:spacing w:before="120" w:after="120" w:line="240" w:lineRule="auto"/>
        <w:ind w:left="1797"/>
        <w:jc w:val="both"/>
        <w:rPr>
          <w:rFonts w:ascii="Arial" w:eastAsia="Arial" w:hAnsi="Arial" w:cs="Arial"/>
          <w:sz w:val="24"/>
          <w:szCs w:val="24"/>
        </w:rPr>
      </w:pPr>
      <w:r>
        <w:rPr>
          <w:rFonts w:ascii="Arial" w:eastAsia="Arial" w:hAnsi="Arial" w:cs="Arial"/>
          <w:b/>
          <w:color w:val="000000"/>
          <w:sz w:val="24"/>
          <w:szCs w:val="24"/>
        </w:rPr>
        <w:t>Paper Price base price;</w:t>
      </w:r>
      <w:r>
        <w:rPr>
          <w:rFonts w:ascii="Arial" w:eastAsia="Arial" w:hAnsi="Arial" w:cs="Arial"/>
          <w:color w:val="000000"/>
          <w:sz w:val="24"/>
          <w:szCs w:val="24"/>
        </w:rPr>
        <w:t xml:space="preserve"> The base RISI price will be set at commencement of the Framework Contract  and price changes will only be considered should there be an increase or decrease over the course of the relevant twelve (12) month period of the Framework Contract.</w:t>
      </w:r>
    </w:p>
    <w:p w:rsidR="00487E92" w:rsidRDefault="0000485A">
      <w:pPr>
        <w:numPr>
          <w:ilvl w:val="2"/>
          <w:numId w:val="1"/>
        </w:numPr>
        <w:pBdr>
          <w:top w:val="nil"/>
          <w:left w:val="nil"/>
          <w:bottom w:val="nil"/>
          <w:right w:val="nil"/>
          <w:between w:val="nil"/>
        </w:pBdr>
        <w:tabs>
          <w:tab w:val="left" w:pos="709"/>
        </w:tabs>
        <w:spacing w:before="120" w:after="120" w:line="240" w:lineRule="auto"/>
        <w:ind w:left="1797"/>
        <w:jc w:val="both"/>
        <w:rPr>
          <w:rFonts w:ascii="Arial" w:eastAsia="Arial" w:hAnsi="Arial" w:cs="Arial"/>
          <w:sz w:val="24"/>
          <w:szCs w:val="24"/>
        </w:rPr>
      </w:pPr>
      <w:r>
        <w:rPr>
          <w:rFonts w:ascii="Arial" w:eastAsia="Arial" w:hAnsi="Arial" w:cs="Arial"/>
          <w:color w:val="000000"/>
          <w:sz w:val="24"/>
          <w:szCs w:val="24"/>
        </w:rPr>
        <w:t xml:space="preserve">Framework Prices for products which contain paper can only be  adjusted in the event that there are demonstrable fluctuations over a twelve (12) month period  in the purchase price of pulp and paper in line with the RISI PPI Pulp and Paper Week </w:t>
      </w:r>
      <w:hyperlink r:id="rId9">
        <w:r>
          <w:rPr>
            <w:rFonts w:ascii="Arial" w:eastAsia="Arial" w:hAnsi="Arial" w:cs="Arial"/>
            <w:color w:val="0000FF"/>
            <w:sz w:val="24"/>
            <w:szCs w:val="24"/>
            <w:u w:val="single"/>
          </w:rPr>
          <w:t>http://www.risiinfo.com/product/ppi- pulp-paper-week</w:t>
        </w:r>
      </w:hyperlink>
    </w:p>
    <w:p w:rsidR="00487E92" w:rsidRDefault="0000485A">
      <w:pPr>
        <w:numPr>
          <w:ilvl w:val="2"/>
          <w:numId w:val="1"/>
        </w:numPr>
        <w:pBdr>
          <w:top w:val="nil"/>
          <w:left w:val="nil"/>
          <w:bottom w:val="nil"/>
          <w:right w:val="nil"/>
          <w:between w:val="nil"/>
        </w:pBdr>
        <w:tabs>
          <w:tab w:val="left" w:pos="709"/>
        </w:tabs>
        <w:spacing w:before="120" w:after="120" w:line="240" w:lineRule="auto"/>
        <w:ind w:left="1797"/>
        <w:jc w:val="both"/>
        <w:rPr>
          <w:rFonts w:ascii="Arial" w:eastAsia="Arial" w:hAnsi="Arial" w:cs="Arial"/>
          <w:color w:val="000000"/>
          <w:sz w:val="24"/>
          <w:szCs w:val="24"/>
        </w:rPr>
      </w:pPr>
      <w:r>
        <w:rPr>
          <w:rFonts w:ascii="Arial" w:eastAsia="Arial" w:hAnsi="Arial" w:cs="Arial"/>
          <w:color w:val="000000"/>
          <w:sz w:val="24"/>
          <w:szCs w:val="24"/>
        </w:rPr>
        <w:t>Where the RISI PPI Pulp and Paper Week shows that there has been an overall decrease in the purchase price of pulp and paper over the preceding twelve (12) months the Supplier shall ensure that this is also be reflected in the pricing offered under this Framework Contract going forward.</w:t>
      </w:r>
    </w:p>
    <w:p w:rsidR="00487E92" w:rsidRDefault="0000485A">
      <w:pPr>
        <w:numPr>
          <w:ilvl w:val="2"/>
          <w:numId w:val="1"/>
        </w:numPr>
        <w:pBdr>
          <w:top w:val="nil"/>
          <w:left w:val="nil"/>
          <w:bottom w:val="nil"/>
          <w:right w:val="nil"/>
          <w:between w:val="nil"/>
        </w:pBdr>
        <w:tabs>
          <w:tab w:val="left" w:pos="1985"/>
          <w:tab w:val="left" w:pos="2127"/>
        </w:tabs>
        <w:spacing w:before="120" w:after="120" w:line="240" w:lineRule="auto"/>
        <w:ind w:left="1797"/>
        <w:jc w:val="both"/>
        <w:rPr>
          <w:rFonts w:ascii="Arial" w:eastAsia="Arial" w:hAnsi="Arial" w:cs="Arial"/>
          <w:sz w:val="24"/>
          <w:szCs w:val="24"/>
        </w:rPr>
      </w:pPr>
      <w:r>
        <w:rPr>
          <w:rFonts w:ascii="Arial" w:eastAsia="Arial" w:hAnsi="Arial" w:cs="Arial"/>
          <w:color w:val="000000"/>
          <w:sz w:val="24"/>
          <w:szCs w:val="24"/>
        </w:rPr>
        <w:t>Any proposed adjustment should be in line with the RISI PPI Pulp and Paper Week movement over each twelve (12) month period of the Framework Contract.</w:t>
      </w:r>
    </w:p>
    <w:p w:rsidR="00487E92" w:rsidRDefault="0000485A">
      <w:pPr>
        <w:numPr>
          <w:ilvl w:val="2"/>
          <w:numId w:val="1"/>
        </w:numPr>
        <w:pBdr>
          <w:top w:val="nil"/>
          <w:left w:val="nil"/>
          <w:bottom w:val="nil"/>
          <w:right w:val="nil"/>
          <w:between w:val="nil"/>
        </w:pBdr>
        <w:tabs>
          <w:tab w:val="left" w:pos="1985"/>
          <w:tab w:val="left" w:pos="2127"/>
        </w:tabs>
        <w:spacing w:before="120" w:after="120" w:line="240" w:lineRule="auto"/>
        <w:ind w:left="1797"/>
        <w:jc w:val="both"/>
        <w:rPr>
          <w:rFonts w:ascii="Arial" w:eastAsia="Arial" w:hAnsi="Arial" w:cs="Arial"/>
          <w:sz w:val="24"/>
          <w:szCs w:val="24"/>
        </w:rPr>
      </w:pPr>
      <w:r>
        <w:rPr>
          <w:rFonts w:ascii="Arial" w:eastAsia="Arial" w:hAnsi="Arial" w:cs="Arial"/>
          <w:color w:val="000000"/>
          <w:sz w:val="24"/>
          <w:szCs w:val="24"/>
        </w:rPr>
        <w:t>CCS reserves the right to amend with agreement of the Supplier the relevant price index used to monitor the market.</w:t>
      </w:r>
    </w:p>
    <w:p w:rsidR="00487E92" w:rsidRDefault="0000485A">
      <w:pPr>
        <w:numPr>
          <w:ilvl w:val="2"/>
          <w:numId w:val="1"/>
        </w:numPr>
        <w:pBdr>
          <w:top w:val="nil"/>
          <w:left w:val="nil"/>
          <w:bottom w:val="nil"/>
          <w:right w:val="nil"/>
          <w:between w:val="nil"/>
        </w:pBdr>
        <w:tabs>
          <w:tab w:val="left" w:pos="1985"/>
          <w:tab w:val="left" w:pos="2127"/>
        </w:tabs>
        <w:spacing w:before="120" w:after="120" w:line="240" w:lineRule="auto"/>
        <w:ind w:left="1797"/>
        <w:jc w:val="both"/>
        <w:rPr>
          <w:rFonts w:ascii="Arial" w:eastAsia="Arial" w:hAnsi="Arial" w:cs="Arial"/>
          <w:sz w:val="24"/>
          <w:szCs w:val="24"/>
        </w:rPr>
      </w:pPr>
      <w:bookmarkStart w:id="7" w:name="_heading=h.3dy6vkm" w:colFirst="0" w:colLast="0"/>
      <w:bookmarkEnd w:id="7"/>
      <w:r>
        <w:rPr>
          <w:rFonts w:ascii="Arial" w:eastAsia="Arial" w:hAnsi="Arial" w:cs="Arial"/>
          <w:b/>
          <w:color w:val="222222"/>
          <w:sz w:val="24"/>
          <w:szCs w:val="24"/>
          <w:highlight w:val="white"/>
        </w:rPr>
        <w:t xml:space="preserve">Price amendments; </w:t>
      </w:r>
      <w:r>
        <w:rPr>
          <w:rFonts w:ascii="Arial" w:eastAsia="Arial" w:hAnsi="Arial" w:cs="Arial"/>
          <w:color w:val="222222"/>
          <w:sz w:val="24"/>
          <w:szCs w:val="24"/>
          <w:highlight w:val="white"/>
        </w:rPr>
        <w:t xml:space="preserve">only where there have been demonstrable fluctuations in the purchase price of pulp and paper in line with the RISI PPI Pulp and Paper Week </w:t>
      </w:r>
      <w:hyperlink r:id="rId10">
        <w:r>
          <w:rPr>
            <w:rFonts w:ascii="Arial" w:eastAsia="Arial" w:hAnsi="Arial" w:cs="Arial"/>
            <w:color w:val="0000FF"/>
            <w:sz w:val="24"/>
            <w:szCs w:val="24"/>
            <w:u w:val="single"/>
          </w:rPr>
          <w:t>http://www.risiinfo.com/product/ppi- pulp-paper-week</w:t>
        </w:r>
      </w:hyperlink>
      <w:r>
        <w:rPr>
          <w:rFonts w:ascii="Arial" w:eastAsia="Arial" w:hAnsi="Arial" w:cs="Arial"/>
          <w:color w:val="222222"/>
          <w:sz w:val="24"/>
          <w:szCs w:val="24"/>
          <w:highlight w:val="white"/>
        </w:rPr>
        <w:t> </w:t>
      </w:r>
      <w:r>
        <w:rPr>
          <w:rFonts w:ascii="Arial" w:eastAsia="Arial" w:hAnsi="Arial" w:cs="Arial"/>
          <w:color w:val="222222"/>
          <w:sz w:val="24"/>
          <w:szCs w:val="24"/>
        </w:rPr>
        <w:t>shall be permitted.</w:t>
      </w:r>
    </w:p>
    <w:p w:rsidR="00487E92" w:rsidRDefault="0000485A">
      <w:pPr>
        <w:pBdr>
          <w:top w:val="nil"/>
          <w:left w:val="nil"/>
          <w:bottom w:val="nil"/>
          <w:right w:val="nil"/>
          <w:between w:val="nil"/>
        </w:pBdr>
        <w:tabs>
          <w:tab w:val="left" w:pos="1985"/>
          <w:tab w:val="left" w:pos="2127"/>
        </w:tabs>
        <w:spacing w:before="120" w:after="120" w:line="240" w:lineRule="auto"/>
        <w:ind w:left="964"/>
        <w:jc w:val="both"/>
        <w:rPr>
          <w:rFonts w:ascii="Arial" w:eastAsia="Arial" w:hAnsi="Arial" w:cs="Arial"/>
          <w:sz w:val="24"/>
          <w:szCs w:val="24"/>
        </w:rPr>
      </w:pPr>
      <w:r>
        <w:rPr>
          <w:rFonts w:ascii="Arial" w:eastAsia="Arial" w:hAnsi="Arial" w:cs="Arial"/>
          <w:b/>
          <w:color w:val="222222"/>
          <w:sz w:val="24"/>
          <w:szCs w:val="24"/>
        </w:rPr>
        <w:t>What a Supplier needs to do when requesting a price increase</w:t>
      </w:r>
    </w:p>
    <w:p w:rsidR="00487E92" w:rsidRDefault="0000485A">
      <w:pPr>
        <w:numPr>
          <w:ilvl w:val="1"/>
          <w:numId w:val="1"/>
        </w:numPr>
        <w:pBdr>
          <w:top w:val="nil"/>
          <w:left w:val="nil"/>
          <w:bottom w:val="nil"/>
          <w:right w:val="nil"/>
          <w:between w:val="nil"/>
        </w:pBdr>
        <w:tabs>
          <w:tab w:val="left" w:pos="709"/>
        </w:tabs>
        <w:spacing w:before="120" w:after="120" w:line="240" w:lineRule="auto"/>
        <w:ind w:left="1134" w:hanging="504"/>
        <w:rPr>
          <w:rFonts w:ascii="Arial" w:eastAsia="Arial" w:hAnsi="Arial" w:cs="Arial"/>
        </w:rPr>
      </w:pPr>
      <w:r>
        <w:rPr>
          <w:rFonts w:ascii="Arial" w:eastAsia="Arial" w:hAnsi="Arial" w:cs="Arial"/>
          <w:color w:val="000000"/>
          <w:sz w:val="24"/>
          <w:szCs w:val="24"/>
        </w:rPr>
        <w:t>Supplier shall give CCS at least three (3) Months' notice in writing prior to a Review Date where it wants to request an increase.  If the Supplier does not give notice in time then it will only be able to request an increase prior to the next Review Date.</w:t>
      </w:r>
    </w:p>
    <w:p w:rsidR="00487E92" w:rsidRDefault="0000485A">
      <w:pPr>
        <w:numPr>
          <w:ilvl w:val="1"/>
          <w:numId w:val="1"/>
        </w:numPr>
        <w:pBdr>
          <w:top w:val="nil"/>
          <w:left w:val="nil"/>
          <w:bottom w:val="nil"/>
          <w:right w:val="nil"/>
          <w:between w:val="nil"/>
        </w:pBdr>
        <w:tabs>
          <w:tab w:val="left" w:pos="709"/>
        </w:tabs>
        <w:spacing w:before="120" w:after="120" w:line="240" w:lineRule="auto"/>
        <w:ind w:left="1134" w:hanging="504"/>
        <w:rPr>
          <w:rFonts w:ascii="Arial" w:eastAsia="Arial" w:hAnsi="Arial" w:cs="Arial"/>
          <w:color w:val="000000"/>
          <w:sz w:val="24"/>
          <w:szCs w:val="24"/>
        </w:rPr>
      </w:pPr>
      <w:r>
        <w:rPr>
          <w:rFonts w:ascii="Arial" w:eastAsia="Arial" w:hAnsi="Arial" w:cs="Arial"/>
          <w:color w:val="000000"/>
          <w:sz w:val="24"/>
          <w:szCs w:val="24"/>
        </w:rPr>
        <w:t>Any notice requesting an increase shall include:</w:t>
      </w:r>
    </w:p>
    <w:p w:rsidR="00487E92" w:rsidRDefault="0000485A">
      <w:pPr>
        <w:numPr>
          <w:ilvl w:val="2"/>
          <w:numId w:val="1"/>
        </w:numPr>
        <w:pBdr>
          <w:top w:val="nil"/>
          <w:left w:val="nil"/>
          <w:bottom w:val="nil"/>
          <w:right w:val="nil"/>
          <w:between w:val="nil"/>
        </w:pBdr>
        <w:tabs>
          <w:tab w:val="left" w:pos="709"/>
        </w:tabs>
        <w:spacing w:before="120" w:after="120" w:line="240" w:lineRule="auto"/>
        <w:ind w:left="1797"/>
        <w:rPr>
          <w:rFonts w:ascii="Arial" w:eastAsia="Arial" w:hAnsi="Arial" w:cs="Arial"/>
          <w:color w:val="000000"/>
          <w:sz w:val="24"/>
          <w:szCs w:val="24"/>
        </w:rPr>
      </w:pPr>
      <w:r>
        <w:rPr>
          <w:rFonts w:ascii="Arial" w:eastAsia="Arial" w:hAnsi="Arial" w:cs="Arial"/>
          <w:color w:val="000000"/>
          <w:sz w:val="24"/>
          <w:szCs w:val="24"/>
        </w:rPr>
        <w:t>a list of the Framework Prices to be reviewed;</w:t>
      </w:r>
    </w:p>
    <w:p w:rsidR="00487E92" w:rsidRDefault="0000485A">
      <w:pPr>
        <w:numPr>
          <w:ilvl w:val="2"/>
          <w:numId w:val="1"/>
        </w:numPr>
        <w:pBdr>
          <w:top w:val="nil"/>
          <w:left w:val="nil"/>
          <w:bottom w:val="nil"/>
          <w:right w:val="nil"/>
          <w:between w:val="nil"/>
        </w:pBdr>
        <w:tabs>
          <w:tab w:val="left" w:pos="709"/>
        </w:tabs>
        <w:spacing w:before="120" w:after="120" w:line="240" w:lineRule="auto"/>
        <w:ind w:left="1797"/>
        <w:rPr>
          <w:rFonts w:ascii="Arial" w:eastAsia="Arial" w:hAnsi="Arial" w:cs="Arial"/>
          <w:color w:val="000000"/>
          <w:sz w:val="24"/>
          <w:szCs w:val="24"/>
        </w:rPr>
      </w:pPr>
      <w:r>
        <w:rPr>
          <w:rFonts w:ascii="Arial" w:eastAsia="Arial" w:hAnsi="Arial" w:cs="Arial"/>
          <w:color w:val="000000"/>
          <w:sz w:val="24"/>
          <w:szCs w:val="24"/>
        </w:rPr>
        <w:t>for each Framework Price under review, written evidence of the justification for the requested increase including:</w:t>
      </w:r>
    </w:p>
    <w:p w:rsidR="00487E92" w:rsidRDefault="0000485A">
      <w:pPr>
        <w:numPr>
          <w:ilvl w:val="2"/>
          <w:numId w:val="1"/>
        </w:numPr>
        <w:pBdr>
          <w:top w:val="nil"/>
          <w:left w:val="nil"/>
          <w:bottom w:val="nil"/>
          <w:right w:val="nil"/>
          <w:between w:val="nil"/>
        </w:pBdr>
        <w:tabs>
          <w:tab w:val="left" w:pos="709"/>
        </w:tabs>
        <w:spacing w:before="120" w:after="120" w:line="240" w:lineRule="auto"/>
        <w:ind w:left="1797"/>
        <w:rPr>
          <w:rFonts w:ascii="Arial" w:eastAsia="Arial" w:hAnsi="Arial" w:cs="Arial"/>
          <w:color w:val="000000"/>
          <w:sz w:val="24"/>
          <w:szCs w:val="24"/>
        </w:rPr>
      </w:pPr>
      <w:r>
        <w:rPr>
          <w:rFonts w:ascii="Arial" w:eastAsia="Arial" w:hAnsi="Arial" w:cs="Arial"/>
          <w:color w:val="000000"/>
          <w:sz w:val="24"/>
          <w:szCs w:val="24"/>
        </w:rPr>
        <w:t>For Framework Prices adjustments for products which contain paper the following evidence is required as a minimum</w:t>
      </w:r>
    </w:p>
    <w:p w:rsidR="00487E92" w:rsidRDefault="0000485A">
      <w:pPr>
        <w:numPr>
          <w:ilvl w:val="3"/>
          <w:numId w:val="1"/>
        </w:numPr>
        <w:pBdr>
          <w:top w:val="nil"/>
          <w:left w:val="nil"/>
          <w:bottom w:val="nil"/>
          <w:right w:val="nil"/>
          <w:between w:val="nil"/>
        </w:pBdr>
        <w:tabs>
          <w:tab w:val="left" w:pos="709"/>
        </w:tabs>
        <w:spacing w:before="120" w:after="120" w:line="240" w:lineRule="auto"/>
        <w:ind w:left="2704"/>
        <w:rPr>
          <w:rFonts w:ascii="Arial" w:eastAsia="Arial" w:hAnsi="Arial" w:cs="Arial"/>
          <w:color w:val="000000"/>
          <w:sz w:val="24"/>
          <w:szCs w:val="24"/>
        </w:rPr>
      </w:pPr>
      <w:r>
        <w:rPr>
          <w:rFonts w:ascii="Arial" w:eastAsia="Arial" w:hAnsi="Arial" w:cs="Arial"/>
          <w:color w:val="000000"/>
          <w:sz w:val="24"/>
          <w:szCs w:val="24"/>
        </w:rPr>
        <w:t xml:space="preserve">Evidence that there has been demonstrable  fluctuations over a twelve (12) month period  in the purchase price of pulp and paper in line with the RISI PPI Pulp and Paper Week </w:t>
      </w:r>
      <w:hyperlink r:id="rId11">
        <w:r>
          <w:rPr>
            <w:rFonts w:ascii="Arial" w:eastAsia="Arial" w:hAnsi="Arial" w:cs="Arial"/>
            <w:color w:val="0000FF"/>
            <w:sz w:val="24"/>
            <w:szCs w:val="24"/>
            <w:u w:val="single"/>
          </w:rPr>
          <w:t>http://www.risiinfo.com/product/ppi- pulp-paper-week</w:t>
        </w:r>
      </w:hyperlink>
      <w:r>
        <w:rPr>
          <w:rFonts w:ascii="Arial" w:eastAsia="Arial" w:hAnsi="Arial" w:cs="Arial"/>
          <w:color w:val="000000"/>
          <w:sz w:val="24"/>
          <w:szCs w:val="24"/>
        </w:rPr>
        <w:t xml:space="preserve"> and</w:t>
      </w:r>
    </w:p>
    <w:p w:rsidR="00487E92" w:rsidRDefault="0000485A">
      <w:pPr>
        <w:numPr>
          <w:ilvl w:val="3"/>
          <w:numId w:val="1"/>
        </w:numPr>
        <w:pBdr>
          <w:top w:val="nil"/>
          <w:left w:val="nil"/>
          <w:bottom w:val="nil"/>
          <w:right w:val="nil"/>
          <w:between w:val="nil"/>
        </w:pBdr>
        <w:tabs>
          <w:tab w:val="left" w:pos="709"/>
        </w:tabs>
        <w:spacing w:before="120" w:after="120" w:line="240" w:lineRule="auto"/>
        <w:ind w:left="2704"/>
        <w:rPr>
          <w:rFonts w:ascii="Arial" w:eastAsia="Arial" w:hAnsi="Arial" w:cs="Arial"/>
          <w:color w:val="000000"/>
          <w:sz w:val="24"/>
          <w:szCs w:val="24"/>
        </w:rPr>
      </w:pPr>
      <w:r>
        <w:rPr>
          <w:rFonts w:ascii="Arial" w:eastAsia="Arial" w:hAnsi="Arial" w:cs="Arial"/>
          <w:color w:val="000000"/>
          <w:sz w:val="24"/>
          <w:szCs w:val="24"/>
        </w:rPr>
        <w:t>Invoice evidence of actual price changes incurred; that is evidence from its third party contractor in the form of line item detail on invoices pre and post price movement or evidence of exceptional circumstances to support any application.</w:t>
      </w:r>
    </w:p>
    <w:p w:rsidR="00487E92" w:rsidRDefault="0000485A">
      <w:pPr>
        <w:numPr>
          <w:ilvl w:val="3"/>
          <w:numId w:val="1"/>
        </w:numPr>
        <w:pBdr>
          <w:top w:val="nil"/>
          <w:left w:val="nil"/>
          <w:bottom w:val="nil"/>
          <w:right w:val="nil"/>
          <w:between w:val="nil"/>
        </w:pBdr>
        <w:tabs>
          <w:tab w:val="left" w:pos="709"/>
        </w:tabs>
        <w:spacing w:before="120" w:after="120" w:line="240" w:lineRule="auto"/>
        <w:ind w:left="2704"/>
        <w:rPr>
          <w:rFonts w:ascii="Arial" w:eastAsia="Arial" w:hAnsi="Arial" w:cs="Arial"/>
          <w:color w:val="000000"/>
          <w:sz w:val="24"/>
          <w:szCs w:val="24"/>
        </w:rPr>
      </w:pPr>
      <w:r>
        <w:rPr>
          <w:rFonts w:ascii="Arial" w:eastAsia="Arial" w:hAnsi="Arial" w:cs="Arial"/>
          <w:color w:val="000000"/>
          <w:sz w:val="24"/>
          <w:szCs w:val="24"/>
        </w:rPr>
        <w:t>evidence that the Supplier has attempted to mitigate against the increase in the relevant cost components; and</w:t>
      </w:r>
    </w:p>
    <w:p w:rsidR="00487E92" w:rsidRDefault="0000485A">
      <w:pPr>
        <w:numPr>
          <w:ilvl w:val="3"/>
          <w:numId w:val="1"/>
        </w:numPr>
        <w:pBdr>
          <w:top w:val="nil"/>
          <w:left w:val="nil"/>
          <w:bottom w:val="nil"/>
          <w:right w:val="nil"/>
          <w:between w:val="nil"/>
        </w:pBdr>
        <w:tabs>
          <w:tab w:val="left" w:pos="709"/>
        </w:tabs>
        <w:spacing w:before="120" w:after="120" w:line="240" w:lineRule="auto"/>
        <w:ind w:left="2704"/>
        <w:rPr>
          <w:rFonts w:ascii="Arial" w:eastAsia="Arial" w:hAnsi="Arial" w:cs="Arial"/>
          <w:color w:val="000000"/>
          <w:sz w:val="24"/>
          <w:szCs w:val="24"/>
        </w:rPr>
      </w:pPr>
      <w:r>
        <w:rPr>
          <w:rFonts w:ascii="Arial" w:eastAsia="Arial" w:hAnsi="Arial" w:cs="Arial"/>
          <w:color w:val="000000"/>
          <w:sz w:val="24"/>
          <w:szCs w:val="24"/>
        </w:rPr>
        <w:t>Evidence that the Supplier’s profit component of the relevant Framework Price is no greater than that applying to Framework Prices using the same pricing mechanism as at the Contract Commencement Date.</w:t>
      </w:r>
    </w:p>
    <w:p w:rsidR="00487E92" w:rsidRDefault="0000485A">
      <w:pPr>
        <w:numPr>
          <w:ilvl w:val="3"/>
          <w:numId w:val="1"/>
        </w:numPr>
        <w:pBdr>
          <w:top w:val="nil"/>
          <w:left w:val="nil"/>
          <w:bottom w:val="nil"/>
          <w:right w:val="nil"/>
          <w:between w:val="nil"/>
        </w:pBdr>
        <w:tabs>
          <w:tab w:val="left" w:pos="709"/>
        </w:tabs>
        <w:spacing w:before="120" w:after="120" w:line="240" w:lineRule="auto"/>
        <w:ind w:left="2704"/>
        <w:rPr>
          <w:rFonts w:ascii="Arial" w:eastAsia="Arial" w:hAnsi="Arial" w:cs="Arial"/>
          <w:color w:val="000000"/>
          <w:sz w:val="24"/>
          <w:szCs w:val="24"/>
        </w:rPr>
      </w:pPr>
      <w:r>
        <w:rPr>
          <w:rFonts w:ascii="Arial" w:eastAsia="Arial" w:hAnsi="Arial" w:cs="Arial"/>
          <w:color w:val="000000"/>
          <w:sz w:val="24"/>
          <w:szCs w:val="24"/>
        </w:rPr>
        <w:t>Breakdown of the cost components that comprise the relevant Framework Price which shall be represented by a percentage of the total cost and the breakdown of each of the following areas  relating to material, production, labour, delivery costs and profit as appropriate;</w:t>
      </w:r>
    </w:p>
    <w:p w:rsidR="00487E92" w:rsidRDefault="0000485A">
      <w:pPr>
        <w:numPr>
          <w:ilvl w:val="3"/>
          <w:numId w:val="1"/>
        </w:numPr>
        <w:pBdr>
          <w:top w:val="nil"/>
          <w:left w:val="nil"/>
          <w:bottom w:val="nil"/>
          <w:right w:val="nil"/>
          <w:between w:val="nil"/>
        </w:pBdr>
        <w:tabs>
          <w:tab w:val="left" w:pos="709"/>
        </w:tabs>
        <w:spacing w:before="120" w:after="120" w:line="240" w:lineRule="auto"/>
        <w:ind w:left="2704"/>
        <w:rPr>
          <w:rFonts w:ascii="Arial" w:eastAsia="Arial" w:hAnsi="Arial" w:cs="Arial"/>
          <w:color w:val="000000"/>
          <w:sz w:val="24"/>
          <w:szCs w:val="24"/>
        </w:rPr>
      </w:pPr>
      <w:r>
        <w:rPr>
          <w:rFonts w:ascii="Arial" w:eastAsia="Arial" w:hAnsi="Arial" w:cs="Arial"/>
          <w:color w:val="000000"/>
          <w:sz w:val="24"/>
          <w:szCs w:val="24"/>
        </w:rPr>
        <w:t>details of the movement in the different identified cost components of the relevant Framework Price;</w:t>
      </w:r>
    </w:p>
    <w:p w:rsidR="00487E92" w:rsidRDefault="0000485A">
      <w:pPr>
        <w:numPr>
          <w:ilvl w:val="3"/>
          <w:numId w:val="1"/>
        </w:numPr>
        <w:pBdr>
          <w:top w:val="nil"/>
          <w:left w:val="nil"/>
          <w:bottom w:val="nil"/>
          <w:right w:val="nil"/>
          <w:between w:val="nil"/>
        </w:pBdr>
        <w:tabs>
          <w:tab w:val="left" w:pos="709"/>
        </w:tabs>
        <w:spacing w:before="120" w:after="120" w:line="240" w:lineRule="auto"/>
        <w:ind w:left="2704"/>
        <w:rPr>
          <w:rFonts w:ascii="Arial" w:eastAsia="Arial" w:hAnsi="Arial" w:cs="Arial"/>
          <w:color w:val="000000"/>
          <w:sz w:val="24"/>
          <w:szCs w:val="24"/>
        </w:rPr>
      </w:pPr>
      <w:r>
        <w:rPr>
          <w:rFonts w:ascii="Arial" w:eastAsia="Arial" w:hAnsi="Arial" w:cs="Arial"/>
          <w:color w:val="000000"/>
          <w:sz w:val="24"/>
          <w:szCs w:val="24"/>
        </w:rPr>
        <w:t>reasons for the movement in the different identified cost components of the relevant Framework Price;</w:t>
      </w:r>
    </w:p>
    <w:p w:rsidR="00487E92" w:rsidRDefault="0000485A">
      <w:pPr>
        <w:numPr>
          <w:ilvl w:val="2"/>
          <w:numId w:val="1"/>
        </w:numPr>
        <w:pBdr>
          <w:top w:val="nil"/>
          <w:left w:val="nil"/>
          <w:bottom w:val="nil"/>
          <w:right w:val="nil"/>
          <w:between w:val="nil"/>
        </w:pBdr>
        <w:tabs>
          <w:tab w:val="left" w:pos="709"/>
        </w:tabs>
        <w:spacing w:before="120" w:after="120" w:line="240" w:lineRule="auto"/>
        <w:ind w:left="1797"/>
        <w:rPr>
          <w:rFonts w:ascii="Arial" w:eastAsia="Arial" w:hAnsi="Arial" w:cs="Arial"/>
          <w:color w:val="000000"/>
          <w:sz w:val="24"/>
          <w:szCs w:val="24"/>
        </w:rPr>
      </w:pPr>
      <w:r>
        <w:rPr>
          <w:rFonts w:ascii="Arial" w:eastAsia="Arial" w:hAnsi="Arial" w:cs="Arial"/>
          <w:color w:val="000000"/>
          <w:sz w:val="24"/>
          <w:szCs w:val="24"/>
        </w:rPr>
        <w:t>For Framework Prices for products which do not contain paper the following evidence is required as a minimum</w:t>
      </w:r>
    </w:p>
    <w:p w:rsidR="00487E92" w:rsidRDefault="0000485A">
      <w:pPr>
        <w:numPr>
          <w:ilvl w:val="3"/>
          <w:numId w:val="1"/>
        </w:numPr>
        <w:pBdr>
          <w:top w:val="nil"/>
          <w:left w:val="nil"/>
          <w:bottom w:val="nil"/>
          <w:right w:val="nil"/>
          <w:between w:val="nil"/>
        </w:pBdr>
        <w:tabs>
          <w:tab w:val="left" w:pos="709"/>
        </w:tabs>
        <w:spacing w:before="120" w:after="120" w:line="240" w:lineRule="auto"/>
        <w:ind w:left="2704"/>
        <w:rPr>
          <w:rFonts w:ascii="Arial" w:eastAsia="Arial" w:hAnsi="Arial" w:cs="Arial"/>
          <w:color w:val="000000"/>
          <w:sz w:val="24"/>
          <w:szCs w:val="24"/>
        </w:rPr>
      </w:pPr>
      <w:r>
        <w:rPr>
          <w:rFonts w:ascii="Arial" w:eastAsia="Arial" w:hAnsi="Arial" w:cs="Arial"/>
          <w:color w:val="000000"/>
          <w:sz w:val="24"/>
          <w:szCs w:val="24"/>
        </w:rPr>
        <w:t xml:space="preserve">Evidence that there has been demonstrable  fluctuations over a twenty four (24) month period  in the Producer Price index (PPI) </w:t>
      </w:r>
      <w:hyperlink r:id="rId12">
        <w:r>
          <w:rPr>
            <w:rFonts w:ascii="Arial" w:eastAsia="Arial" w:hAnsi="Arial" w:cs="Arial"/>
            <w:color w:val="1155CC"/>
            <w:sz w:val="24"/>
            <w:szCs w:val="24"/>
            <w:u w:val="single"/>
          </w:rPr>
          <w:t>Producer price inflation, UK: February 2024</w:t>
        </w:r>
      </w:hyperlink>
      <w:r>
        <w:rPr>
          <w:rFonts w:ascii="Arial" w:eastAsia="Arial" w:hAnsi="Arial" w:cs="Arial"/>
          <w:color w:val="000000"/>
          <w:sz w:val="24"/>
          <w:szCs w:val="24"/>
        </w:rPr>
        <w:t xml:space="preserve"> </w:t>
      </w:r>
    </w:p>
    <w:p w:rsidR="00487E92" w:rsidRDefault="00487E92">
      <w:pPr>
        <w:pBdr>
          <w:top w:val="nil"/>
          <w:left w:val="nil"/>
          <w:bottom w:val="nil"/>
          <w:right w:val="nil"/>
          <w:between w:val="nil"/>
        </w:pBdr>
        <w:tabs>
          <w:tab w:val="left" w:pos="709"/>
        </w:tabs>
        <w:spacing w:before="120" w:after="120" w:line="240" w:lineRule="auto"/>
        <w:ind w:left="3272"/>
        <w:rPr>
          <w:rFonts w:ascii="Arial" w:eastAsia="Arial" w:hAnsi="Arial" w:cs="Arial"/>
          <w:sz w:val="24"/>
          <w:szCs w:val="24"/>
        </w:rPr>
      </w:pPr>
    </w:p>
    <w:p w:rsidR="00487E92" w:rsidRDefault="0000485A">
      <w:pPr>
        <w:numPr>
          <w:ilvl w:val="3"/>
          <w:numId w:val="1"/>
        </w:numPr>
        <w:pBdr>
          <w:top w:val="nil"/>
          <w:left w:val="nil"/>
          <w:bottom w:val="nil"/>
          <w:right w:val="nil"/>
          <w:between w:val="nil"/>
        </w:pBdr>
        <w:tabs>
          <w:tab w:val="left" w:pos="709"/>
        </w:tabs>
        <w:spacing w:before="120" w:after="120" w:line="240" w:lineRule="auto"/>
        <w:ind w:left="2704"/>
        <w:rPr>
          <w:rFonts w:ascii="Arial" w:eastAsia="Arial" w:hAnsi="Arial" w:cs="Arial"/>
          <w:color w:val="000000"/>
          <w:sz w:val="24"/>
          <w:szCs w:val="24"/>
        </w:rPr>
      </w:pPr>
      <w:r>
        <w:rPr>
          <w:rFonts w:ascii="Arial" w:eastAsia="Arial" w:hAnsi="Arial" w:cs="Arial"/>
          <w:color w:val="000000"/>
          <w:sz w:val="24"/>
          <w:szCs w:val="24"/>
        </w:rPr>
        <w:t>Invoice evidence of actual price changes incurred; that is evidence from its third party contractor in the form of line item detail on invoices pre and post price movement or evidence of exceptional circumstances to support any application.</w:t>
      </w:r>
    </w:p>
    <w:p w:rsidR="00487E92" w:rsidRDefault="0000485A">
      <w:pPr>
        <w:numPr>
          <w:ilvl w:val="3"/>
          <w:numId w:val="1"/>
        </w:numPr>
        <w:pBdr>
          <w:top w:val="nil"/>
          <w:left w:val="nil"/>
          <w:bottom w:val="nil"/>
          <w:right w:val="nil"/>
          <w:between w:val="nil"/>
        </w:pBdr>
        <w:tabs>
          <w:tab w:val="left" w:pos="709"/>
        </w:tabs>
        <w:spacing w:before="120" w:after="120" w:line="240" w:lineRule="auto"/>
        <w:ind w:left="2704"/>
        <w:rPr>
          <w:rFonts w:ascii="Arial" w:eastAsia="Arial" w:hAnsi="Arial" w:cs="Arial"/>
          <w:color w:val="000000"/>
          <w:sz w:val="24"/>
          <w:szCs w:val="24"/>
        </w:rPr>
      </w:pPr>
      <w:r>
        <w:rPr>
          <w:rFonts w:ascii="Arial" w:eastAsia="Arial" w:hAnsi="Arial" w:cs="Arial"/>
          <w:color w:val="000000"/>
          <w:sz w:val="24"/>
          <w:szCs w:val="24"/>
        </w:rPr>
        <w:t>evidence that the Supplier has attempted to mitigate against the increase in the relevant cost components; and</w:t>
      </w:r>
    </w:p>
    <w:p w:rsidR="00487E92" w:rsidRDefault="0000485A">
      <w:pPr>
        <w:numPr>
          <w:ilvl w:val="3"/>
          <w:numId w:val="1"/>
        </w:numPr>
        <w:pBdr>
          <w:top w:val="nil"/>
          <w:left w:val="nil"/>
          <w:bottom w:val="nil"/>
          <w:right w:val="nil"/>
          <w:between w:val="nil"/>
        </w:pBdr>
        <w:tabs>
          <w:tab w:val="left" w:pos="709"/>
        </w:tabs>
        <w:spacing w:before="120" w:after="120" w:line="240" w:lineRule="auto"/>
        <w:ind w:left="2704"/>
        <w:rPr>
          <w:rFonts w:ascii="Arial" w:eastAsia="Arial" w:hAnsi="Arial" w:cs="Arial"/>
          <w:color w:val="000000"/>
          <w:sz w:val="24"/>
          <w:szCs w:val="24"/>
        </w:rPr>
      </w:pPr>
      <w:r>
        <w:rPr>
          <w:rFonts w:ascii="Arial" w:eastAsia="Arial" w:hAnsi="Arial" w:cs="Arial"/>
          <w:color w:val="000000"/>
          <w:sz w:val="24"/>
          <w:szCs w:val="24"/>
        </w:rPr>
        <w:t>Evidence that the Supplier’s profit component of the relevant Framework Price is no greater than that applying to Framework Prices using the same pricing mechanism as at the Contract Commencement Date.</w:t>
      </w:r>
    </w:p>
    <w:p w:rsidR="00487E92" w:rsidRDefault="0000485A">
      <w:pPr>
        <w:numPr>
          <w:ilvl w:val="3"/>
          <w:numId w:val="1"/>
        </w:numPr>
        <w:pBdr>
          <w:top w:val="nil"/>
          <w:left w:val="nil"/>
          <w:bottom w:val="nil"/>
          <w:right w:val="nil"/>
          <w:between w:val="nil"/>
        </w:pBdr>
        <w:tabs>
          <w:tab w:val="left" w:pos="709"/>
        </w:tabs>
        <w:spacing w:before="120" w:after="120" w:line="240" w:lineRule="auto"/>
        <w:ind w:left="2704"/>
        <w:rPr>
          <w:rFonts w:ascii="Arial" w:eastAsia="Arial" w:hAnsi="Arial" w:cs="Arial"/>
          <w:color w:val="000000"/>
          <w:sz w:val="24"/>
          <w:szCs w:val="24"/>
        </w:rPr>
      </w:pPr>
      <w:r>
        <w:rPr>
          <w:rFonts w:ascii="Arial" w:eastAsia="Arial" w:hAnsi="Arial" w:cs="Arial"/>
          <w:color w:val="000000"/>
          <w:sz w:val="24"/>
          <w:szCs w:val="24"/>
        </w:rPr>
        <w:t>Breakdown of the cost components that comprise the relevant Framework Price which shall be represented by a percentage of the total cost and the breakdown of each of the following areas  relating to material, production, labour, delivery costs and profit as appropriate;</w:t>
      </w:r>
    </w:p>
    <w:p w:rsidR="00487E92" w:rsidRDefault="0000485A">
      <w:pPr>
        <w:numPr>
          <w:ilvl w:val="3"/>
          <w:numId w:val="1"/>
        </w:numPr>
        <w:pBdr>
          <w:top w:val="nil"/>
          <w:left w:val="nil"/>
          <w:bottom w:val="nil"/>
          <w:right w:val="nil"/>
          <w:between w:val="nil"/>
        </w:pBdr>
        <w:tabs>
          <w:tab w:val="left" w:pos="709"/>
        </w:tabs>
        <w:spacing w:before="120" w:after="120" w:line="240" w:lineRule="auto"/>
        <w:ind w:left="2704"/>
        <w:rPr>
          <w:rFonts w:ascii="Arial" w:eastAsia="Arial" w:hAnsi="Arial" w:cs="Arial"/>
          <w:color w:val="000000"/>
          <w:sz w:val="24"/>
          <w:szCs w:val="24"/>
        </w:rPr>
      </w:pPr>
      <w:r>
        <w:rPr>
          <w:rFonts w:ascii="Arial" w:eastAsia="Arial" w:hAnsi="Arial" w:cs="Arial"/>
          <w:color w:val="000000"/>
          <w:sz w:val="24"/>
          <w:szCs w:val="24"/>
        </w:rPr>
        <w:t>details of the movement in the different identified cost components of the relevant Framework Price;</w:t>
      </w:r>
    </w:p>
    <w:p w:rsidR="00487E92" w:rsidRDefault="0000485A">
      <w:pPr>
        <w:numPr>
          <w:ilvl w:val="3"/>
          <w:numId w:val="1"/>
        </w:numPr>
        <w:pBdr>
          <w:top w:val="nil"/>
          <w:left w:val="nil"/>
          <w:bottom w:val="nil"/>
          <w:right w:val="nil"/>
          <w:between w:val="nil"/>
        </w:pBdr>
        <w:tabs>
          <w:tab w:val="left" w:pos="709"/>
        </w:tabs>
        <w:spacing w:before="120" w:after="120" w:line="240" w:lineRule="auto"/>
        <w:ind w:left="2704"/>
        <w:rPr>
          <w:rFonts w:ascii="Arial" w:eastAsia="Arial" w:hAnsi="Arial" w:cs="Arial"/>
          <w:color w:val="000000"/>
          <w:sz w:val="24"/>
          <w:szCs w:val="24"/>
        </w:rPr>
      </w:pPr>
      <w:r>
        <w:rPr>
          <w:rFonts w:ascii="Arial" w:eastAsia="Arial" w:hAnsi="Arial" w:cs="Arial"/>
          <w:color w:val="000000"/>
          <w:sz w:val="24"/>
          <w:szCs w:val="24"/>
        </w:rPr>
        <w:t>reasons for the movement in the different identified cost components of the relevant Framework Price;</w:t>
      </w:r>
    </w:p>
    <w:p w:rsidR="00487E92" w:rsidRDefault="0000485A">
      <w:pPr>
        <w:numPr>
          <w:ilvl w:val="1"/>
          <w:numId w:val="1"/>
        </w:numPr>
        <w:pBdr>
          <w:top w:val="nil"/>
          <w:left w:val="nil"/>
          <w:bottom w:val="nil"/>
          <w:right w:val="nil"/>
          <w:between w:val="nil"/>
        </w:pBdr>
        <w:tabs>
          <w:tab w:val="left" w:pos="709"/>
        </w:tabs>
        <w:spacing w:before="120" w:after="120" w:line="240" w:lineRule="auto"/>
        <w:ind w:left="1134" w:hanging="504"/>
        <w:rPr>
          <w:rFonts w:ascii="Arial" w:eastAsia="Arial" w:hAnsi="Arial" w:cs="Arial"/>
          <w:color w:val="000000"/>
          <w:sz w:val="24"/>
          <w:szCs w:val="24"/>
        </w:rPr>
      </w:pPr>
      <w:r>
        <w:rPr>
          <w:rFonts w:ascii="Arial" w:eastAsia="Arial" w:hAnsi="Arial" w:cs="Arial"/>
          <w:color w:val="000000"/>
          <w:sz w:val="24"/>
          <w:szCs w:val="24"/>
        </w:rPr>
        <w:t>CCS shall consider each request for a price increase. CCS may grant Approval to an increase at its sole discretion.</w:t>
      </w:r>
    </w:p>
    <w:p w:rsidR="00487E92" w:rsidRDefault="0000485A">
      <w:pPr>
        <w:numPr>
          <w:ilvl w:val="1"/>
          <w:numId w:val="1"/>
        </w:numPr>
        <w:pBdr>
          <w:top w:val="nil"/>
          <w:left w:val="nil"/>
          <w:bottom w:val="nil"/>
          <w:right w:val="nil"/>
          <w:between w:val="nil"/>
        </w:pBdr>
        <w:tabs>
          <w:tab w:val="left" w:pos="709"/>
        </w:tabs>
        <w:spacing w:before="120" w:after="120" w:line="240" w:lineRule="auto"/>
        <w:ind w:left="1134" w:hanging="504"/>
      </w:pPr>
      <w:r>
        <w:rPr>
          <w:rFonts w:ascii="Arial" w:eastAsia="Arial" w:hAnsi="Arial" w:cs="Arial"/>
          <w:color w:val="000000"/>
          <w:sz w:val="24"/>
          <w:szCs w:val="24"/>
        </w:rPr>
        <w:t>Where CCS approves an increase then it will be implemented from the first (1st) Working Day following the relevant Review Date or such later date as CCS may determine at its sole discretion and Annex 1 shall be updated accordingly.</w:t>
      </w:r>
    </w:p>
    <w:p w:rsidR="00487E92" w:rsidRDefault="0000485A">
      <w:pPr>
        <w:numPr>
          <w:ilvl w:val="0"/>
          <w:numId w:val="1"/>
        </w:numPr>
        <w:pBdr>
          <w:top w:val="nil"/>
          <w:left w:val="nil"/>
          <w:bottom w:val="nil"/>
          <w:right w:val="nil"/>
          <w:between w:val="nil"/>
        </w:pBdr>
        <w:tabs>
          <w:tab w:val="left" w:pos="142"/>
        </w:tabs>
        <w:spacing w:before="120" w:after="240" w:line="240" w:lineRule="auto"/>
        <w:jc w:val="both"/>
        <w:rPr>
          <w:rFonts w:ascii="Arial" w:eastAsia="Arial" w:hAnsi="Arial" w:cs="Arial"/>
          <w:b/>
          <w:color w:val="000000"/>
          <w:sz w:val="24"/>
          <w:szCs w:val="24"/>
        </w:rPr>
      </w:pPr>
      <w:r>
        <w:rPr>
          <w:rFonts w:ascii="Arial" w:eastAsia="Arial" w:hAnsi="Arial" w:cs="Arial"/>
          <w:b/>
          <w:color w:val="000000"/>
          <w:sz w:val="24"/>
          <w:szCs w:val="24"/>
        </w:rPr>
        <w:t>Other events that allow the Supplier to change the Framework Prices</w:t>
      </w:r>
    </w:p>
    <w:p w:rsidR="00487E92" w:rsidRDefault="0000485A">
      <w:pPr>
        <w:numPr>
          <w:ilvl w:val="1"/>
          <w:numId w:val="1"/>
        </w:numPr>
        <w:pBdr>
          <w:top w:val="nil"/>
          <w:left w:val="nil"/>
          <w:bottom w:val="nil"/>
          <w:right w:val="nil"/>
          <w:between w:val="nil"/>
        </w:pBdr>
        <w:tabs>
          <w:tab w:val="left" w:pos="709"/>
        </w:tabs>
        <w:spacing w:before="120" w:after="120" w:line="240" w:lineRule="auto"/>
        <w:ind w:left="1134" w:hanging="504"/>
      </w:pPr>
      <w:r>
        <w:rPr>
          <w:rFonts w:ascii="Arial" w:eastAsia="Arial" w:hAnsi="Arial" w:cs="Arial"/>
          <w:color w:val="000000"/>
          <w:sz w:val="24"/>
          <w:szCs w:val="24"/>
        </w:rPr>
        <w:t>The Framework Prices can also be varied (and Annex 1 will be updated accordingly) due to:</w:t>
      </w:r>
    </w:p>
    <w:p w:rsidR="00487E92" w:rsidRDefault="0000485A">
      <w:pPr>
        <w:numPr>
          <w:ilvl w:val="2"/>
          <w:numId w:val="1"/>
        </w:numPr>
        <w:pBdr>
          <w:top w:val="nil"/>
          <w:left w:val="nil"/>
          <w:bottom w:val="nil"/>
          <w:right w:val="nil"/>
          <w:between w:val="nil"/>
        </w:pBdr>
        <w:tabs>
          <w:tab w:val="left" w:pos="709"/>
        </w:tabs>
        <w:spacing w:before="120" w:after="120" w:line="240" w:lineRule="auto"/>
        <w:ind w:left="1797"/>
        <w:rPr>
          <w:rFonts w:ascii="Arial" w:eastAsia="Arial" w:hAnsi="Arial" w:cs="Arial"/>
          <w:color w:val="000000"/>
          <w:sz w:val="24"/>
          <w:szCs w:val="24"/>
        </w:rPr>
      </w:pPr>
      <w:r>
        <w:rPr>
          <w:rFonts w:ascii="Arial" w:eastAsia="Arial" w:hAnsi="Arial" w:cs="Arial"/>
          <w:color w:val="000000"/>
          <w:sz w:val="24"/>
          <w:szCs w:val="24"/>
        </w:rPr>
        <w:t>a Specific Change in Law in accordance with Clause 24;</w:t>
      </w:r>
    </w:p>
    <w:p w:rsidR="00487E92" w:rsidRDefault="0000485A">
      <w:pPr>
        <w:numPr>
          <w:ilvl w:val="2"/>
          <w:numId w:val="1"/>
        </w:numPr>
        <w:pBdr>
          <w:top w:val="nil"/>
          <w:left w:val="nil"/>
          <w:bottom w:val="nil"/>
          <w:right w:val="nil"/>
          <w:between w:val="nil"/>
        </w:pBdr>
        <w:tabs>
          <w:tab w:val="left" w:pos="709"/>
        </w:tabs>
        <w:spacing w:before="120" w:after="120" w:line="240" w:lineRule="auto"/>
        <w:ind w:left="1797"/>
        <w:rPr>
          <w:rFonts w:ascii="Arial" w:eastAsia="Arial" w:hAnsi="Arial" w:cs="Arial"/>
          <w:color w:val="000000"/>
          <w:sz w:val="24"/>
          <w:szCs w:val="24"/>
        </w:rPr>
      </w:pPr>
      <w:r>
        <w:rPr>
          <w:rFonts w:ascii="Arial" w:eastAsia="Arial" w:hAnsi="Arial" w:cs="Arial"/>
          <w:color w:val="000000"/>
          <w:sz w:val="24"/>
          <w:szCs w:val="24"/>
        </w:rPr>
        <w:t xml:space="preserve">a review in accordance with insurance requirements in Clause 13; </w:t>
      </w:r>
    </w:p>
    <w:p w:rsidR="00487E92" w:rsidRDefault="0000485A">
      <w:pPr>
        <w:numPr>
          <w:ilvl w:val="2"/>
          <w:numId w:val="1"/>
        </w:numPr>
        <w:pBdr>
          <w:top w:val="nil"/>
          <w:left w:val="nil"/>
          <w:bottom w:val="nil"/>
          <w:right w:val="nil"/>
          <w:between w:val="nil"/>
        </w:pBdr>
        <w:tabs>
          <w:tab w:val="left" w:pos="709"/>
        </w:tabs>
        <w:spacing w:before="120" w:after="120" w:line="240" w:lineRule="auto"/>
        <w:ind w:left="1797"/>
        <w:rPr>
          <w:rFonts w:ascii="Arial" w:eastAsia="Arial" w:hAnsi="Arial" w:cs="Arial"/>
          <w:color w:val="000000"/>
          <w:sz w:val="24"/>
          <w:szCs w:val="24"/>
        </w:rPr>
      </w:pPr>
      <w:r>
        <w:rPr>
          <w:rFonts w:ascii="Arial" w:eastAsia="Arial" w:hAnsi="Arial" w:cs="Arial"/>
          <w:color w:val="000000"/>
          <w:sz w:val="24"/>
          <w:szCs w:val="24"/>
        </w:rPr>
        <w:t>a benchmarking review in accordance with joint schedule 14 (Benchmarking)</w:t>
      </w:r>
    </w:p>
    <w:p w:rsidR="00487E92" w:rsidRDefault="0000485A">
      <w:pPr>
        <w:numPr>
          <w:ilvl w:val="2"/>
          <w:numId w:val="1"/>
        </w:numPr>
        <w:pBdr>
          <w:top w:val="nil"/>
          <w:left w:val="nil"/>
          <w:bottom w:val="nil"/>
          <w:right w:val="nil"/>
          <w:between w:val="nil"/>
        </w:pBdr>
        <w:tabs>
          <w:tab w:val="left" w:pos="709"/>
        </w:tabs>
        <w:spacing w:before="120" w:after="120" w:line="240" w:lineRule="auto"/>
        <w:ind w:left="1797"/>
        <w:rPr>
          <w:rFonts w:ascii="Arial" w:eastAsia="Arial" w:hAnsi="Arial" w:cs="Arial"/>
          <w:color w:val="000000"/>
          <w:sz w:val="24"/>
          <w:szCs w:val="24"/>
        </w:rPr>
      </w:pPr>
      <w:r>
        <w:rPr>
          <w:rFonts w:ascii="Arial" w:eastAsia="Arial" w:hAnsi="Arial" w:cs="Arial"/>
          <w:color w:val="000000"/>
          <w:sz w:val="24"/>
          <w:szCs w:val="24"/>
        </w:rPr>
        <w:t>a request from the Supplier, which it can make at any time, to decrease the Framework Prices; and</w:t>
      </w:r>
    </w:p>
    <w:p w:rsidR="00487E92" w:rsidRDefault="0000485A">
      <w:pPr>
        <w:numPr>
          <w:ilvl w:val="0"/>
          <w:numId w:val="1"/>
        </w:numPr>
        <w:pBdr>
          <w:top w:val="nil"/>
          <w:left w:val="nil"/>
          <w:bottom w:val="nil"/>
          <w:right w:val="nil"/>
          <w:between w:val="nil"/>
        </w:pBdr>
        <w:tabs>
          <w:tab w:val="left" w:pos="142"/>
        </w:tabs>
        <w:spacing w:before="120" w:after="240" w:line="240" w:lineRule="auto"/>
        <w:jc w:val="both"/>
        <w:rPr>
          <w:rFonts w:ascii="Arial" w:eastAsia="Arial" w:hAnsi="Arial" w:cs="Arial"/>
          <w:b/>
          <w:sz w:val="24"/>
          <w:szCs w:val="24"/>
        </w:rPr>
      </w:pPr>
      <w:r>
        <w:rPr>
          <w:rFonts w:ascii="Arial" w:eastAsia="Arial" w:hAnsi="Arial" w:cs="Arial"/>
          <w:b/>
          <w:color w:val="000000"/>
          <w:sz w:val="24"/>
          <w:szCs w:val="24"/>
        </w:rPr>
        <w:t>When you will be reimbursed for travel and subsistence</w:t>
      </w:r>
    </w:p>
    <w:p w:rsidR="00487E92" w:rsidRDefault="0000485A">
      <w:pPr>
        <w:numPr>
          <w:ilvl w:val="1"/>
          <w:numId w:val="1"/>
        </w:numPr>
        <w:pBdr>
          <w:top w:val="nil"/>
          <w:left w:val="nil"/>
          <w:bottom w:val="nil"/>
          <w:right w:val="nil"/>
          <w:between w:val="nil"/>
        </w:pBdr>
        <w:tabs>
          <w:tab w:val="left" w:pos="709"/>
        </w:tabs>
        <w:spacing w:before="120" w:after="120" w:line="240" w:lineRule="auto"/>
        <w:ind w:left="1134" w:hanging="504"/>
      </w:pPr>
      <w:r>
        <w:rPr>
          <w:rFonts w:ascii="Arial" w:eastAsia="Arial" w:hAnsi="Arial" w:cs="Arial"/>
          <w:color w:val="000000"/>
          <w:sz w:val="24"/>
          <w:szCs w:val="24"/>
        </w:rPr>
        <w:t>Expenses shall only be recoverable where:</w:t>
      </w:r>
    </w:p>
    <w:p w:rsidR="00487E92" w:rsidRDefault="0000485A">
      <w:pPr>
        <w:numPr>
          <w:ilvl w:val="2"/>
          <w:numId w:val="1"/>
        </w:numPr>
        <w:pBdr>
          <w:top w:val="nil"/>
          <w:left w:val="nil"/>
          <w:bottom w:val="nil"/>
          <w:right w:val="nil"/>
          <w:between w:val="nil"/>
        </w:pBdr>
        <w:tabs>
          <w:tab w:val="left" w:pos="709"/>
        </w:tabs>
        <w:spacing w:before="120" w:after="120" w:line="240" w:lineRule="auto"/>
        <w:ind w:left="1797"/>
        <w:rPr>
          <w:rFonts w:ascii="Arial" w:eastAsia="Arial" w:hAnsi="Arial" w:cs="Arial"/>
          <w:color w:val="000000"/>
          <w:sz w:val="24"/>
          <w:szCs w:val="24"/>
        </w:rPr>
      </w:pPr>
      <w:r>
        <w:rPr>
          <w:rFonts w:ascii="Arial" w:eastAsia="Arial" w:hAnsi="Arial" w:cs="Arial"/>
          <w:color w:val="000000"/>
          <w:sz w:val="24"/>
          <w:szCs w:val="24"/>
        </w:rPr>
        <w:t>the Time and Materials pricing mechanism is used; and</w:t>
      </w:r>
    </w:p>
    <w:p w:rsidR="00487E92" w:rsidRDefault="0000485A">
      <w:pPr>
        <w:numPr>
          <w:ilvl w:val="2"/>
          <w:numId w:val="1"/>
        </w:numPr>
        <w:pBdr>
          <w:top w:val="nil"/>
          <w:left w:val="nil"/>
          <w:bottom w:val="nil"/>
          <w:right w:val="nil"/>
          <w:between w:val="nil"/>
        </w:pBdr>
        <w:tabs>
          <w:tab w:val="left" w:pos="709"/>
        </w:tabs>
        <w:spacing w:before="120" w:after="120" w:line="240" w:lineRule="auto"/>
        <w:ind w:left="1797"/>
        <w:rPr>
          <w:rFonts w:ascii="Arial" w:eastAsia="Arial" w:hAnsi="Arial" w:cs="Arial"/>
          <w:color w:val="000000"/>
          <w:sz w:val="24"/>
          <w:szCs w:val="24"/>
        </w:rPr>
      </w:pPr>
      <w:r>
        <w:rPr>
          <w:rFonts w:ascii="Arial" w:eastAsia="Arial" w:hAnsi="Arial" w:cs="Arial"/>
          <w:color w:val="000000"/>
          <w:sz w:val="24"/>
          <w:szCs w:val="24"/>
        </w:rPr>
        <w:t>the Order Form states that recovery is permitted; and</w:t>
      </w:r>
    </w:p>
    <w:p w:rsidR="00487E92" w:rsidRDefault="0000485A">
      <w:pPr>
        <w:numPr>
          <w:ilvl w:val="2"/>
          <w:numId w:val="1"/>
        </w:numPr>
        <w:pBdr>
          <w:top w:val="nil"/>
          <w:left w:val="nil"/>
          <w:bottom w:val="nil"/>
          <w:right w:val="nil"/>
          <w:between w:val="nil"/>
        </w:pBdr>
        <w:tabs>
          <w:tab w:val="left" w:pos="709"/>
        </w:tabs>
        <w:spacing w:before="120" w:after="120" w:line="240" w:lineRule="auto"/>
        <w:ind w:left="1797"/>
        <w:rPr>
          <w:rFonts w:ascii="Arial" w:eastAsia="Arial" w:hAnsi="Arial" w:cs="Arial"/>
          <w:color w:val="000000"/>
          <w:sz w:val="24"/>
          <w:szCs w:val="24"/>
        </w:rPr>
      </w:pPr>
      <w:r>
        <w:rPr>
          <w:rFonts w:ascii="Arial" w:eastAsia="Arial" w:hAnsi="Arial" w:cs="Arial"/>
          <w:color w:val="000000"/>
          <w:sz w:val="24"/>
          <w:szCs w:val="24"/>
        </w:rPr>
        <w:t>they are Reimbursable Expenses and are supported by Supporting Documentation.</w:t>
      </w:r>
    </w:p>
    <w:p w:rsidR="00487E92" w:rsidRDefault="0000485A">
      <w:pPr>
        <w:numPr>
          <w:ilvl w:val="1"/>
          <w:numId w:val="1"/>
        </w:numPr>
        <w:pBdr>
          <w:top w:val="nil"/>
          <w:left w:val="nil"/>
          <w:bottom w:val="nil"/>
          <w:right w:val="nil"/>
          <w:between w:val="nil"/>
        </w:pBdr>
        <w:tabs>
          <w:tab w:val="left" w:pos="709"/>
        </w:tabs>
        <w:spacing w:before="120" w:after="120" w:line="240" w:lineRule="auto"/>
        <w:ind w:left="1134" w:hanging="504"/>
      </w:pPr>
      <w:bookmarkStart w:id="8" w:name="_heading=h.1t3h5sf" w:colFirst="0" w:colLast="0"/>
      <w:bookmarkEnd w:id="8"/>
      <w:r>
        <w:rPr>
          <w:rFonts w:ascii="Arial" w:eastAsia="Arial" w:hAnsi="Arial" w:cs="Arial"/>
          <w:color w:val="000000"/>
          <w:sz w:val="24"/>
          <w:szCs w:val="24"/>
        </w:rPr>
        <w:t xml:space="preserve">The Buyer shall provide a copy of their current expenses policy to the Supplier upon request. </w:t>
      </w:r>
    </w:p>
    <w:p w:rsidR="00487E92" w:rsidRDefault="00487E92">
      <w:pPr>
        <w:pBdr>
          <w:top w:val="nil"/>
          <w:left w:val="nil"/>
          <w:bottom w:val="nil"/>
          <w:right w:val="nil"/>
          <w:between w:val="nil"/>
        </w:pBdr>
        <w:shd w:val="clear" w:color="auto" w:fill="FFFFFF"/>
        <w:tabs>
          <w:tab w:val="left" w:pos="709"/>
        </w:tabs>
        <w:spacing w:before="120" w:after="120" w:line="240" w:lineRule="auto"/>
        <w:ind w:left="1134"/>
        <w:rPr>
          <w:rFonts w:ascii="Arial" w:eastAsia="Arial" w:hAnsi="Arial" w:cs="Arial"/>
          <w:color w:val="000000"/>
          <w:sz w:val="24"/>
          <w:szCs w:val="24"/>
        </w:rPr>
      </w:pPr>
    </w:p>
    <w:p w:rsidR="00487E92" w:rsidRDefault="00487E92">
      <w:pPr>
        <w:pBdr>
          <w:top w:val="nil"/>
          <w:left w:val="nil"/>
          <w:bottom w:val="nil"/>
          <w:right w:val="nil"/>
          <w:between w:val="nil"/>
        </w:pBdr>
        <w:shd w:val="clear" w:color="auto" w:fill="FFFFFF"/>
        <w:tabs>
          <w:tab w:val="left" w:pos="709"/>
        </w:tabs>
        <w:spacing w:before="120" w:after="120" w:line="240" w:lineRule="auto"/>
        <w:ind w:left="360"/>
        <w:rPr>
          <w:rFonts w:ascii="Arial" w:eastAsia="Arial" w:hAnsi="Arial" w:cs="Arial"/>
          <w:color w:val="000000"/>
          <w:sz w:val="24"/>
          <w:szCs w:val="24"/>
        </w:rPr>
      </w:pPr>
    </w:p>
    <w:p w:rsidR="00487E92" w:rsidRDefault="00487E92">
      <w:pPr>
        <w:pBdr>
          <w:top w:val="nil"/>
          <w:left w:val="nil"/>
          <w:bottom w:val="nil"/>
          <w:right w:val="nil"/>
          <w:between w:val="nil"/>
        </w:pBdr>
        <w:tabs>
          <w:tab w:val="left" w:pos="709"/>
        </w:tabs>
        <w:spacing w:before="120" w:after="120" w:line="240" w:lineRule="auto"/>
      </w:pPr>
    </w:p>
    <w:p w:rsidR="00487E92" w:rsidRDefault="00487E92">
      <w:pPr>
        <w:pBdr>
          <w:top w:val="nil"/>
          <w:left w:val="nil"/>
          <w:bottom w:val="nil"/>
          <w:right w:val="nil"/>
          <w:between w:val="nil"/>
        </w:pBdr>
        <w:tabs>
          <w:tab w:val="left" w:pos="1985"/>
          <w:tab w:val="left" w:pos="2127"/>
        </w:tabs>
        <w:spacing w:before="120" w:after="120" w:line="240" w:lineRule="auto"/>
        <w:ind w:left="644" w:hanging="360"/>
        <w:rPr>
          <w:rFonts w:ascii="Arial" w:eastAsia="Arial" w:hAnsi="Arial" w:cs="Arial"/>
          <w:color w:val="000000"/>
          <w:sz w:val="24"/>
          <w:szCs w:val="24"/>
        </w:rPr>
      </w:pPr>
    </w:p>
    <w:p w:rsidR="00487E92" w:rsidRDefault="0000485A">
      <w:pPr>
        <w:rPr>
          <w:rFonts w:ascii="Arial" w:eastAsia="Arial" w:hAnsi="Arial" w:cs="Arial"/>
          <w:b/>
          <w:sz w:val="24"/>
          <w:szCs w:val="24"/>
        </w:rPr>
      </w:pPr>
      <w:bookmarkStart w:id="9" w:name="_heading=h.4d34og8" w:colFirst="0" w:colLast="0"/>
      <w:bookmarkEnd w:id="9"/>
      <w:r>
        <w:br w:type="page"/>
      </w:r>
    </w:p>
    <w:sectPr w:rsidR="00487E92">
      <w:headerReference w:type="default" r:id="rId13"/>
      <w:footerReference w:type="default" r:id="rId14"/>
      <w:headerReference w:type="first" r:id="rId15"/>
      <w:footerReference w:type="first" r:id="rId16"/>
      <w:pgSz w:w="11906" w:h="16838"/>
      <w:pgMar w:top="1888"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6F5C" w:rsidRDefault="00426F5C">
      <w:pPr>
        <w:spacing w:after="0" w:line="240" w:lineRule="auto"/>
      </w:pPr>
      <w:r>
        <w:separator/>
      </w:r>
    </w:p>
  </w:endnote>
  <w:endnote w:type="continuationSeparator" w:id="0">
    <w:p w:rsidR="00426F5C" w:rsidRDefault="00426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E92" w:rsidRDefault="0000485A">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RM6297 Print and Digital Communications</w:t>
    </w:r>
  </w:p>
  <w:p w:rsidR="00487E92" w:rsidRDefault="0000485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D42D24">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487E92" w:rsidRDefault="0000485A">
    <w:pPr>
      <w:tabs>
        <w:tab w:val="left" w:pos="720"/>
        <w:tab w:val="left" w:pos="1440"/>
        <w:tab w:val="left" w:pos="2160"/>
        <w:tab w:val="left" w:pos="2880"/>
        <w:tab w:val="left" w:pos="3600"/>
        <w:tab w:val="left" w:pos="4320"/>
        <w:tab w:val="left" w:pos="4905"/>
      </w:tabs>
      <w:spacing w:after="0" w:line="240" w:lineRule="auto"/>
      <w:jc w:val="both"/>
      <w:rPr>
        <w:rFonts w:ascii="Arial" w:eastAsia="Arial" w:hAnsi="Arial" w:cs="Arial"/>
        <w:color w:val="BFBFBF"/>
        <w:sz w:val="20"/>
        <w:szCs w:val="20"/>
      </w:rPr>
    </w:pPr>
    <w:r>
      <w:rPr>
        <w:rFonts w:ascii="Arial" w:eastAsia="Arial" w:hAnsi="Arial" w:cs="Arial"/>
        <w:sz w:val="20"/>
        <w:szCs w:val="20"/>
      </w:rPr>
      <w:t>Model Version: v3.1</w:t>
    </w:r>
    <w:r>
      <w:rPr>
        <w:rFonts w:ascii="Arial" w:eastAsia="Arial" w:hAnsi="Arial" w:cs="Arial"/>
        <w:sz w:val="20"/>
        <w:szCs w:val="20"/>
      </w:rPr>
      <w:tab/>
    </w:r>
    <w:r>
      <w:rPr>
        <w:rFonts w:ascii="Arial" w:eastAsia="Arial" w:hAnsi="Arial" w:cs="Arial"/>
        <w:color w:val="BFBFBF"/>
        <w:sz w:val="20"/>
        <w:szCs w:val="20"/>
      </w:rPr>
      <w:tab/>
    </w:r>
    <w:r>
      <w:rPr>
        <w:color w:val="BFBFBF"/>
      </w:rPr>
      <w:tab/>
    </w:r>
    <w:r>
      <w:rPr>
        <w:color w:val="BFBFBF"/>
      </w:rPr>
      <w:tab/>
    </w:r>
    <w:r>
      <w:rPr>
        <w:color w:val="BFBFB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E92" w:rsidRDefault="0000485A">
    <w:pPr>
      <w:tabs>
        <w:tab w:val="center" w:pos="4513"/>
        <w:tab w:val="right" w:pos="9026"/>
      </w:tabs>
      <w:spacing w:after="0"/>
    </w:pPr>
    <w:r>
      <w:t>Framework Ref: RM</w:t>
    </w:r>
    <w:r>
      <w:tab/>
      <w:t xml:space="preserve">                                           </w:t>
    </w:r>
  </w:p>
  <w:p w:rsidR="00487E92" w:rsidRDefault="0000485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487E92" w:rsidRDefault="0000485A">
    <w:pPr>
      <w:tabs>
        <w:tab w:val="left" w:pos="720"/>
        <w:tab w:val="left" w:pos="1440"/>
        <w:tab w:val="left" w:pos="2160"/>
        <w:tab w:val="left" w:pos="2880"/>
        <w:tab w:val="left" w:pos="3600"/>
        <w:tab w:val="left" w:pos="4320"/>
        <w:tab w:val="left" w:pos="4905"/>
      </w:tabs>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6F5C" w:rsidRDefault="00426F5C">
      <w:pPr>
        <w:spacing w:after="0" w:line="240" w:lineRule="auto"/>
      </w:pPr>
      <w:r>
        <w:separator/>
      </w:r>
    </w:p>
  </w:footnote>
  <w:footnote w:type="continuationSeparator" w:id="0">
    <w:p w:rsidR="00426F5C" w:rsidRDefault="00426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E92" w:rsidRDefault="0000485A">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Framework Schedule 3 (Framework Prices)</w:t>
    </w:r>
  </w:p>
  <w:p w:rsidR="00487E92" w:rsidRDefault="0000485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E92" w:rsidRDefault="0000485A">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Framework Schedule 3 (Framework Prices)</w:t>
    </w:r>
  </w:p>
  <w:p w:rsidR="00487E92" w:rsidRDefault="0000485A">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000000"/>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73645A"/>
    <w:multiLevelType w:val="multilevel"/>
    <w:tmpl w:val="435211C2"/>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990" w:hanging="720"/>
      </w:pPr>
      <w:rPr>
        <w:b w:val="0"/>
        <w:i w:val="0"/>
        <w:smallCaps w:val="0"/>
        <w:strike w:val="0"/>
        <w:color w:val="000000"/>
        <w:sz w:val="24"/>
        <w:szCs w:val="24"/>
        <w:u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603B0E13"/>
    <w:multiLevelType w:val="multilevel"/>
    <w:tmpl w:val="585065E2"/>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E92"/>
    <w:rsid w:val="0000485A"/>
    <w:rsid w:val="00426F5C"/>
    <w:rsid w:val="00487E92"/>
    <w:rsid w:val="00D42D24"/>
    <w:rsid w:val="00EE5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47114D-5D16-4281-9D64-B2AD78595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416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65E"/>
    <w:rPr>
      <w:rFonts w:ascii="Segoe UI" w:hAnsi="Segoe UI" w:cs="Segoe UI"/>
      <w:sz w:val="18"/>
      <w:szCs w:val="18"/>
    </w:rPr>
  </w:style>
  <w:style w:type="paragraph" w:customStyle="1" w:styleId="GPsDefinition">
    <w:name w:val="GPs Definition"/>
    <w:basedOn w:val="Normal"/>
    <w:qFormat/>
    <w:rsid w:val="00647764"/>
    <w:pPr>
      <w:numPr>
        <w:numId w:val="2"/>
      </w:numPr>
      <w:tabs>
        <w:tab w:val="left" w:pos="175"/>
      </w:tabs>
      <w:overflowPunct w:val="0"/>
      <w:autoSpaceDE w:val="0"/>
      <w:autoSpaceDN w:val="0"/>
      <w:adjustRightInd w:val="0"/>
      <w:spacing w:after="120" w:line="240" w:lineRule="auto"/>
      <w:jc w:val="both"/>
      <w:textAlignment w:val="baseline"/>
    </w:pPr>
    <w:rPr>
      <w:rFonts w:eastAsia="Times New Roman" w:cs="Arial"/>
      <w:lang w:eastAsia="en-US"/>
    </w:rPr>
  </w:style>
  <w:style w:type="paragraph" w:customStyle="1" w:styleId="GPSDefinitionL2">
    <w:name w:val="GPS Definition L2"/>
    <w:basedOn w:val="GPsDefinition"/>
    <w:qFormat/>
    <w:rsid w:val="00647764"/>
    <w:pPr>
      <w:numPr>
        <w:ilvl w:val="1"/>
      </w:numPr>
    </w:pPr>
  </w:style>
  <w:style w:type="paragraph" w:customStyle="1" w:styleId="GPSDefinitionL3">
    <w:name w:val="GPS Definition L3"/>
    <w:basedOn w:val="GPSDefinitionL2"/>
    <w:qFormat/>
    <w:rsid w:val="00647764"/>
    <w:pPr>
      <w:numPr>
        <w:ilvl w:val="2"/>
      </w:numPr>
    </w:pPr>
  </w:style>
  <w:style w:type="paragraph" w:customStyle="1" w:styleId="GPSDefinitionL4">
    <w:name w:val="GPS Definition L4"/>
    <w:basedOn w:val="GPSDefinitionL3"/>
    <w:qFormat/>
    <w:rsid w:val="00647764"/>
    <w:pPr>
      <w:numPr>
        <w:ilvl w:val="3"/>
      </w:numPr>
    </w:pPr>
  </w:style>
  <w:style w:type="paragraph" w:styleId="CommentSubject">
    <w:name w:val="annotation subject"/>
    <w:basedOn w:val="CommentText"/>
    <w:next w:val="CommentText"/>
    <w:link w:val="CommentSubjectChar"/>
    <w:uiPriority w:val="99"/>
    <w:semiHidden/>
    <w:unhideWhenUsed/>
    <w:rsid w:val="00B9548A"/>
    <w:rPr>
      <w:b/>
      <w:bCs/>
    </w:rPr>
  </w:style>
  <w:style w:type="character" w:customStyle="1" w:styleId="CommentSubjectChar">
    <w:name w:val="Comment Subject Char"/>
    <w:basedOn w:val="CommentTextChar"/>
    <w:link w:val="CommentSubject"/>
    <w:uiPriority w:val="99"/>
    <w:semiHidden/>
    <w:rsid w:val="00B9548A"/>
    <w:rPr>
      <w:b/>
      <w:bCs/>
      <w:sz w:val="20"/>
      <w:szCs w:val="20"/>
    </w:rPr>
  </w:style>
  <w:style w:type="paragraph" w:styleId="Revision">
    <w:name w:val="Revision"/>
    <w:hidden/>
    <w:uiPriority w:val="99"/>
    <w:semiHidden/>
    <w:rsid w:val="00B9548A"/>
    <w:pPr>
      <w:spacing w:after="0" w:line="240" w:lineRule="auto"/>
    </w:pPr>
  </w:style>
  <w:style w:type="paragraph" w:customStyle="1" w:styleId="00-DefinitionHeading">
    <w:name w:val="00-DefinitionHeading"/>
    <w:basedOn w:val="Normal"/>
    <w:next w:val="Normal"/>
    <w:rsid w:val="00324CB7"/>
    <w:pPr>
      <w:spacing w:after="0" w:line="240" w:lineRule="auto"/>
      <w:ind w:left="720"/>
      <w:jc w:val="both"/>
    </w:pPr>
    <w:rPr>
      <w:rFonts w:ascii="Arial" w:eastAsia="Times New Roman" w:hAnsi="Arial" w:cs="Times New Roman"/>
      <w:b/>
      <w:szCs w:val="20"/>
      <w:lang w:eastAsia="en-US"/>
    </w:rPr>
  </w:style>
  <w:style w:type="paragraph" w:customStyle="1" w:styleId="GPSL1CLAUSEHEADING">
    <w:name w:val="GPS L1 CLAUSE HEADING"/>
    <w:basedOn w:val="Normal"/>
    <w:next w:val="Normal"/>
    <w:qFormat/>
    <w:rsid w:val="001617DC"/>
    <w:pPr>
      <w:tabs>
        <w:tab w:val="left" w:pos="142"/>
        <w:tab w:val="num" w:pos="720"/>
      </w:tabs>
      <w:adjustRightInd w:val="0"/>
      <w:spacing w:before="120" w:after="240" w:line="240" w:lineRule="auto"/>
      <w:ind w:left="720" w:hanging="720"/>
      <w:jc w:val="both"/>
      <w:outlineLvl w:val="1"/>
    </w:pPr>
    <w:rPr>
      <w:rFonts w:eastAsia="STZhongsong" w:cs="Arial"/>
      <w:b/>
      <w:caps/>
      <w:lang w:eastAsia="zh-CN"/>
    </w:rPr>
  </w:style>
  <w:style w:type="paragraph" w:customStyle="1" w:styleId="GPSL3numberedclause">
    <w:name w:val="GPS L3 numbered clause"/>
    <w:basedOn w:val="Normal"/>
    <w:qFormat/>
    <w:rsid w:val="001617DC"/>
    <w:pPr>
      <w:tabs>
        <w:tab w:val="left" w:pos="1985"/>
        <w:tab w:val="num" w:pos="2160"/>
      </w:tabs>
      <w:adjustRightInd w:val="0"/>
      <w:spacing w:before="120" w:after="120" w:line="240" w:lineRule="auto"/>
      <w:ind w:left="2160" w:hanging="720"/>
      <w:jc w:val="both"/>
    </w:pPr>
    <w:rPr>
      <w:rFonts w:eastAsia="Times New Roman" w:cs="Arial"/>
      <w:lang w:eastAsia="zh-CN"/>
    </w:rPr>
  </w:style>
  <w:style w:type="paragraph" w:customStyle="1" w:styleId="GPSL4numberedclause">
    <w:name w:val="GPS L4 numbered clause"/>
    <w:basedOn w:val="GPSL3numberedclause"/>
    <w:qFormat/>
    <w:rsid w:val="001617DC"/>
    <w:pPr>
      <w:numPr>
        <w:ilvl w:val="3"/>
      </w:numPr>
      <w:tabs>
        <w:tab w:val="num" w:pos="2160"/>
        <w:tab w:val="left" w:pos="2552"/>
      </w:tabs>
      <w:ind w:left="2160" w:hanging="720"/>
    </w:pPr>
  </w:style>
  <w:style w:type="paragraph" w:customStyle="1" w:styleId="GPSL5numberedclause">
    <w:name w:val="GPS L5 numbered clause"/>
    <w:basedOn w:val="GPSL4numberedclause"/>
    <w:qFormat/>
    <w:rsid w:val="001617DC"/>
    <w:pPr>
      <w:numPr>
        <w:ilvl w:val="4"/>
      </w:numPr>
      <w:tabs>
        <w:tab w:val="num" w:pos="2160"/>
        <w:tab w:val="left" w:pos="3119"/>
      </w:tabs>
      <w:ind w:left="2160" w:hanging="720"/>
    </w:pPr>
  </w:style>
  <w:style w:type="paragraph" w:customStyle="1" w:styleId="GPSL2NumberedBoldHeading">
    <w:name w:val="GPS L2 Numbered Bold Heading"/>
    <w:basedOn w:val="Normal"/>
    <w:qFormat/>
    <w:rsid w:val="001617DC"/>
    <w:pPr>
      <w:tabs>
        <w:tab w:val="left" w:pos="1134"/>
        <w:tab w:val="num" w:pos="1440"/>
      </w:tabs>
      <w:adjustRightInd w:val="0"/>
      <w:spacing w:before="120" w:after="120" w:line="240" w:lineRule="auto"/>
      <w:ind w:left="1440" w:hanging="720"/>
      <w:jc w:val="both"/>
    </w:pPr>
    <w:rPr>
      <w:rFonts w:eastAsia="Times New Roman" w:cs="Arial"/>
      <w:b/>
      <w:lang w:eastAsia="zh-CN"/>
    </w:rPr>
  </w:style>
  <w:style w:type="paragraph" w:customStyle="1" w:styleId="GPSL6numbered">
    <w:name w:val="GPS L6 numbered"/>
    <w:basedOn w:val="GPSL5numberedclause"/>
    <w:qFormat/>
    <w:rsid w:val="001617DC"/>
    <w:pPr>
      <w:numPr>
        <w:ilvl w:val="5"/>
      </w:numPr>
      <w:tabs>
        <w:tab w:val="num" w:pos="2160"/>
        <w:tab w:val="left" w:pos="3686"/>
      </w:tabs>
      <w:ind w:left="2160" w:hanging="720"/>
    </w:pPr>
  </w:style>
  <w:style w:type="paragraph" w:customStyle="1" w:styleId="GPSL2Numbered">
    <w:name w:val="GPS L2 Numbered"/>
    <w:basedOn w:val="GPSL2NumberedBoldHeading"/>
    <w:link w:val="GPSL2NumberedChar"/>
    <w:qFormat/>
    <w:rsid w:val="001617DC"/>
    <w:pPr>
      <w:tabs>
        <w:tab w:val="left" w:pos="709"/>
      </w:tabs>
    </w:pPr>
    <w:rPr>
      <w:b w:val="0"/>
    </w:rPr>
  </w:style>
  <w:style w:type="character" w:customStyle="1" w:styleId="GPSL2NumberedChar">
    <w:name w:val="GPS L2 Numbered Char"/>
    <w:link w:val="GPSL2Numbered"/>
    <w:locked/>
    <w:rsid w:val="001617DC"/>
    <w:rPr>
      <w:rFonts w:eastAsia="Times New Roman" w:cs="Arial"/>
      <w:lang w:eastAsia="zh-CN"/>
    </w:rPr>
  </w:style>
  <w:style w:type="paragraph" w:styleId="ListParagraph">
    <w:name w:val="List Paragraph"/>
    <w:basedOn w:val="Normal"/>
    <w:uiPriority w:val="34"/>
    <w:qFormat/>
    <w:rsid w:val="00236C4E"/>
    <w:pPr>
      <w:ind w:left="720"/>
      <w:contextualSpacing/>
    </w:pPr>
  </w:style>
  <w:style w:type="paragraph" w:styleId="Header">
    <w:name w:val="header"/>
    <w:basedOn w:val="Normal"/>
    <w:link w:val="HeaderChar"/>
    <w:uiPriority w:val="99"/>
    <w:unhideWhenUsed/>
    <w:rsid w:val="00FE30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09C"/>
  </w:style>
  <w:style w:type="paragraph" w:styleId="Footer">
    <w:name w:val="footer"/>
    <w:basedOn w:val="Normal"/>
    <w:link w:val="FooterChar"/>
    <w:uiPriority w:val="99"/>
    <w:unhideWhenUsed/>
    <w:rsid w:val="00FE30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09C"/>
  </w:style>
  <w:style w:type="paragraph" w:styleId="NormalWeb">
    <w:name w:val="Normal (Web)"/>
    <w:basedOn w:val="Normal"/>
    <w:uiPriority w:val="99"/>
    <w:semiHidden/>
    <w:unhideWhenUsed/>
    <w:rsid w:val="0013393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15A4"/>
    <w:rPr>
      <w:color w:val="0000FF" w:themeColor="hyperlink"/>
      <w:u w:val="single"/>
    </w:r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risiinfo.com/product/ppi-pulp-paper-wee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ns.gov.uk/economy/inflationandpriceindices/bulletins/producerpriceinflation/february202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siinfo.com/product/ppi-%20pulp-paper-wee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risiinfo.com/product/ppi-%20pulp-paper-week/" TargetMode="External"/><Relationship Id="rId4" Type="http://schemas.openxmlformats.org/officeDocument/2006/relationships/settings" Target="settings.xml"/><Relationship Id="rId9" Type="http://schemas.openxmlformats.org/officeDocument/2006/relationships/hyperlink" Target="http://www.risiinfo.com/product/ppi-%20pulp-paper-wee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UzaFps1rtoQs+SN7DVI9G1hbw==">CgMxLjAyCGguZ2pkZ3hzMgloLjMwajB6bGwyCWguMWZvYjl0ZTIJaC4zem55c2g3MglpZC50eWpjd3QyCWguMmV0OTJwMDIJaC4zZHk2dmttMgloLjF0M2g1c2YyCWguNGQzNG9nODgAciExVWJYZW9aemZxWUE5dm9aT1NLcElSZXNhYVNCRndYOFU=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2011</Words>
  <Characters>11465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Whitehurst</dc:creator>
  <cp:lastModifiedBy>Jenny Tarrant</cp:lastModifiedBy>
  <cp:revision>2</cp:revision>
  <dcterms:created xsi:type="dcterms:W3CDTF">2025-01-22T16:21:00Z</dcterms:created>
  <dcterms:modified xsi:type="dcterms:W3CDTF">2025-01-22T16:21:00Z</dcterms:modified>
</cp:coreProperties>
</file>