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6"/>
          <w:szCs w:val="36"/>
        </w:rPr>
      </w:pPr>
      <w:bookmarkStart w:colFirst="0" w:colLast="0" w:name="_heading=h.2et92p0" w:id="0"/>
      <w:bookmarkEnd w:id="0"/>
      <w:r w:rsidDel="00000000" w:rsidR="00000000" w:rsidRPr="00000000">
        <w:rPr>
          <w:rFonts w:ascii="Arial" w:cs="Arial" w:eastAsia="Arial" w:hAnsi="Arial"/>
          <w:b w:val="1"/>
          <w:sz w:val="36"/>
          <w:szCs w:val="36"/>
          <w:rtl w:val="0"/>
        </w:rPr>
        <w:t xml:space="preserve">Joint Schedule 1 (Definitions)</w:t>
      </w:r>
    </w:p>
    <w:p w:rsidR="00000000" w:rsidDel="00000000" w:rsidP="00000000" w:rsidRDefault="00000000" w:rsidRPr="00000000" w14:paraId="00000003">
      <w:pPr>
        <w:numPr>
          <w:ilvl w:val="1"/>
          <w:numId w:val="6"/>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t>
      </w:r>
      <w:bookmarkStart w:colFirst="0" w:colLast="0" w:name="bookmark=id.gjdgxs" w:id="1"/>
      <w:bookmarkEnd w:id="1"/>
      <w:r w:rsidDel="00000000" w:rsidR="00000000" w:rsidRPr="00000000">
        <w:rPr>
          <w:rFonts w:ascii="Arial" w:cs="Arial" w:eastAsia="Arial" w:hAnsi="Arial"/>
          <w:color w:val="000000"/>
          <w:sz w:val="24"/>
          <w:szCs w:val="24"/>
          <w:rtl w:val="0"/>
        </w:rPr>
        <w:t xml:space="preserve">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4">
      <w:pPr>
        <w:numPr>
          <w:ilvl w:val="1"/>
          <w:numId w:val="6"/>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bookmarkStart w:colFirst="0" w:colLast="0" w:name="_heading=h.30j0zll" w:id="2"/>
      <w:bookmarkEnd w:id="2"/>
      <w:r w:rsidDel="00000000" w:rsidR="00000000" w:rsidRPr="00000000">
        <w:rPr>
          <w:rFonts w:ascii="Arial" w:cs="Arial" w:eastAsia="Arial" w:hAnsi="Arial"/>
          <w:color w:val="000000"/>
          <w:sz w:val="24"/>
          <w:szCs w:val="24"/>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5">
      <w:pPr>
        <w:numPr>
          <w:ilvl w:val="1"/>
          <w:numId w:val="6"/>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w:t>
      </w:r>
    </w:p>
    <w:p w:rsidR="00000000" w:rsidDel="00000000" w:rsidP="00000000" w:rsidRDefault="00000000" w:rsidRPr="00000000" w14:paraId="00000006">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singular includes the plural and vice versa;</w:t>
      </w:r>
    </w:p>
    <w:p w:rsidR="00000000" w:rsidDel="00000000" w:rsidP="00000000" w:rsidRDefault="00000000" w:rsidRPr="00000000" w14:paraId="00000007">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 gender includes the other gender and the neuter;</w:t>
      </w:r>
    </w:p>
    <w:p w:rsidR="00000000" w:rsidDel="00000000" w:rsidP="00000000" w:rsidRDefault="00000000" w:rsidRPr="00000000" w14:paraId="00000008">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person include an individual, company, body corporate, corporation, unincorporated association, firm, partnership or other legal entity or Central Government Body;</w:t>
      </w:r>
    </w:p>
    <w:p w:rsidR="00000000" w:rsidDel="00000000" w:rsidP="00000000" w:rsidRDefault="00000000" w:rsidRPr="00000000" w14:paraId="00000009">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reference to any Law includes a reference to that Law as amended, extended, consolidated or re-enacted from time to time;</w:t>
      </w:r>
    </w:p>
    <w:p w:rsidR="00000000" w:rsidDel="00000000" w:rsidP="00000000" w:rsidRDefault="00000000" w:rsidRPr="00000000" w14:paraId="0000000A">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b w:val="1"/>
          <w:color w:val="000000"/>
          <w:sz w:val="24"/>
          <w:szCs w:val="24"/>
          <w:rtl w:val="0"/>
        </w:rPr>
        <w:t xml:space="preserve">including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other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in particular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for example</w:t>
      </w:r>
      <w:r w:rsidDel="00000000" w:rsidR="00000000" w:rsidRPr="00000000">
        <w:rPr>
          <w:rFonts w:ascii="Arial" w:cs="Arial" w:eastAsia="Arial" w:hAnsi="Arial"/>
          <w:color w:val="000000"/>
          <w:sz w:val="24"/>
          <w:szCs w:val="24"/>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color w:val="000000"/>
          <w:sz w:val="24"/>
          <w:szCs w:val="24"/>
          <w:rtl w:val="0"/>
        </w:rPr>
        <w:t xml:space="preserve">without limitation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B">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writing</w:t>
      </w:r>
      <w:r w:rsidDel="00000000" w:rsidR="00000000" w:rsidRPr="00000000">
        <w:rPr>
          <w:rFonts w:ascii="Arial" w:cs="Arial" w:eastAsia="Arial" w:hAnsi="Arial"/>
          <w:color w:val="000000"/>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C">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representations</w:t>
      </w:r>
      <w:r w:rsidDel="00000000" w:rsidR="00000000" w:rsidRPr="00000000">
        <w:rPr>
          <w:rFonts w:ascii="Arial" w:cs="Arial" w:eastAsia="Arial" w:hAnsi="Arial"/>
          <w:color w:val="000000"/>
          <w:sz w:val="24"/>
          <w:szCs w:val="24"/>
          <w:rtl w:val="0"/>
        </w:rPr>
        <w:t xml:space="preserve">" shall be construed as references to present facts, to "</w:t>
      </w:r>
      <w:r w:rsidDel="00000000" w:rsidR="00000000" w:rsidRPr="00000000">
        <w:rPr>
          <w:rFonts w:ascii="Arial" w:cs="Arial" w:eastAsia="Arial" w:hAnsi="Arial"/>
          <w:b w:val="1"/>
          <w:color w:val="000000"/>
          <w:sz w:val="24"/>
          <w:szCs w:val="24"/>
          <w:rtl w:val="0"/>
        </w:rPr>
        <w:t xml:space="preserve">warranties</w:t>
      </w:r>
      <w:r w:rsidDel="00000000" w:rsidR="00000000" w:rsidRPr="00000000">
        <w:rPr>
          <w:rFonts w:ascii="Arial" w:cs="Arial" w:eastAsia="Arial" w:hAnsi="Arial"/>
          <w:color w:val="000000"/>
          <w:sz w:val="24"/>
          <w:szCs w:val="24"/>
          <w:rtl w:val="0"/>
        </w:rPr>
        <w:t xml:space="preserve">" as references to present and future facts and to "</w:t>
      </w:r>
      <w:r w:rsidDel="00000000" w:rsidR="00000000" w:rsidRPr="00000000">
        <w:rPr>
          <w:rFonts w:ascii="Arial" w:cs="Arial" w:eastAsia="Arial" w:hAnsi="Arial"/>
          <w:b w:val="1"/>
          <w:color w:val="000000"/>
          <w:sz w:val="24"/>
          <w:szCs w:val="24"/>
          <w:rtl w:val="0"/>
        </w:rPr>
        <w:t xml:space="preserve">undertakings"</w:t>
      </w:r>
      <w:r w:rsidDel="00000000" w:rsidR="00000000" w:rsidRPr="00000000">
        <w:rPr>
          <w:rFonts w:ascii="Arial" w:cs="Arial" w:eastAsia="Arial" w:hAnsi="Arial"/>
          <w:color w:val="000000"/>
          <w:sz w:val="24"/>
          <w:szCs w:val="24"/>
          <w:rtl w:val="0"/>
        </w:rPr>
        <w:t xml:space="preserve"> as references to obligations under the Contract; </w:t>
      </w:r>
    </w:p>
    <w:p w:rsidR="00000000" w:rsidDel="00000000" w:rsidP="00000000" w:rsidRDefault="00000000" w:rsidRPr="00000000" w14:paraId="0000000D">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"Clauses"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b w:val="1"/>
          <w:color w:val="000000"/>
          <w:sz w:val="24"/>
          <w:szCs w:val="24"/>
          <w:rtl w:val="0"/>
        </w:rPr>
        <w:t xml:space="preserve">"Schedules"</w:t>
      </w:r>
      <w:r w:rsidDel="00000000" w:rsidR="00000000" w:rsidRPr="00000000">
        <w:rPr>
          <w:rFonts w:ascii="Arial" w:cs="Arial" w:eastAsia="Arial" w:hAnsi="Arial"/>
          <w:color w:val="000000"/>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E">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"Paragraphs"</w:t>
      </w:r>
      <w:r w:rsidDel="00000000" w:rsidR="00000000" w:rsidRPr="00000000">
        <w:rPr>
          <w:rFonts w:ascii="Arial" w:cs="Arial" w:eastAsia="Arial" w:hAnsi="Arial"/>
          <w:color w:val="000000"/>
          <w:sz w:val="24"/>
          <w:szCs w:val="24"/>
          <w:rtl w:val="0"/>
        </w:rPr>
        <w:t xml:space="preserve"> are, unless otherwise provided, references to the paragraph of the appropriate Schedules unless otherwise provided; </w:t>
      </w:r>
    </w:p>
    <w:p w:rsidR="00000000" w:rsidDel="00000000" w:rsidP="00000000" w:rsidRDefault="00000000" w:rsidRPr="00000000" w14:paraId="0000000F">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series of Clauses or Paragraphs shall be inclusive of the clause numbers specified;</w:t>
      </w:r>
    </w:p>
    <w:p w:rsidR="00000000" w:rsidDel="00000000" w:rsidP="00000000" w:rsidRDefault="00000000" w:rsidRPr="00000000" w14:paraId="00000010">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bookmarkStart w:colFirst="0" w:colLast="0" w:name="_heading=h.1fob9te" w:id="3"/>
      <w:bookmarkEnd w:id="3"/>
      <w:r w:rsidDel="00000000" w:rsidR="00000000" w:rsidRPr="00000000">
        <w:rPr>
          <w:rFonts w:ascii="Arial" w:cs="Arial" w:eastAsia="Arial" w:hAnsi="Arial"/>
          <w:color w:val="000000"/>
          <w:sz w:val="24"/>
          <w:szCs w:val="24"/>
          <w:rtl w:val="0"/>
        </w:rPr>
        <w:t xml:space="preserve">the headings in each Contract are for ease of reference only and shall not affect the interpretation or construction of a Contract; </w:t>
      </w:r>
    </w:p>
    <w:p w:rsidR="00000000" w:rsidDel="00000000" w:rsidP="00000000" w:rsidRDefault="00000000" w:rsidRPr="00000000" w14:paraId="00000011">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Buyer is a Central Government Body it shall be treated as contracting with the Crown as a whole;</w:t>
      </w:r>
    </w:p>
    <w:p w:rsidR="00000000" w:rsidDel="00000000" w:rsidP="00000000" w:rsidRDefault="00000000" w:rsidRPr="00000000" w14:paraId="00000012">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reference in a Contract which immediately before Exit Day was a reference to (as it has effect from time to time):</w:t>
      </w:r>
    </w:p>
    <w:p w:rsidR="00000000" w:rsidDel="00000000" w:rsidP="00000000" w:rsidRDefault="00000000" w:rsidRPr="00000000" w14:paraId="00000013">
      <w:pPr>
        <w:numPr>
          <w:ilvl w:val="3"/>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regulation, EU decision, EU tertiary legislation or provision of the EEA agreement (“</w:t>
      </w:r>
      <w:r w:rsidDel="00000000" w:rsidR="00000000" w:rsidRPr="00000000">
        <w:rPr>
          <w:rFonts w:ascii="Arial" w:cs="Arial" w:eastAsia="Arial" w:hAnsi="Arial"/>
          <w:b w:val="1"/>
          <w:color w:val="000000"/>
          <w:sz w:val="24"/>
          <w:szCs w:val="24"/>
          <w:rtl w:val="0"/>
        </w:rPr>
        <w:t xml:space="preserve">EU References</w:t>
      </w:r>
      <w:r w:rsidDel="00000000" w:rsidR="00000000" w:rsidRPr="00000000">
        <w:rPr>
          <w:rFonts w:ascii="Arial" w:cs="Arial" w:eastAsia="Arial" w:hAnsi="Arial"/>
          <w:color w:val="000000"/>
          <w:sz w:val="24"/>
          <w:szCs w:val="24"/>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000000" w:rsidDel="00000000" w:rsidP="00000000" w:rsidRDefault="00000000" w:rsidRPr="00000000" w14:paraId="00000014">
      <w:pPr>
        <w:numPr>
          <w:ilvl w:val="3"/>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institution or EU authority or other such EU body shall be read on and after Exit Day as a reference to the UK institution, authority or body to which its functions were transferred; and</w:t>
      </w:r>
    </w:p>
    <w:p w:rsidR="00000000" w:rsidDel="00000000" w:rsidP="00000000" w:rsidRDefault="00000000" w:rsidRPr="00000000" w14:paraId="00000015">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color w:val="000000"/>
          <w:sz w:val="24"/>
          <w:szCs w:val="24"/>
          <w:rtl w:val="0"/>
        </w:rPr>
        <w:t xml:space="preserve">” shall be construed as including Exempt Buyers; and</w:t>
      </w:r>
    </w:p>
    <w:p w:rsidR="00000000" w:rsidDel="00000000" w:rsidP="00000000" w:rsidRDefault="00000000" w:rsidRPr="00000000" w14:paraId="00000016">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Call-Off Contract</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shall be construed as including Exempt Call-off Contracts.</w:t>
      </w:r>
    </w:p>
    <w:p w:rsidR="00000000" w:rsidDel="00000000" w:rsidP="00000000" w:rsidRDefault="00000000" w:rsidRPr="00000000" w14:paraId="00000017">
      <w:pPr>
        <w:numPr>
          <w:ilvl w:val="1"/>
          <w:numId w:val="6"/>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 the following words shall have the following meanings:</w:t>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360"/>
        <w:jc w:val="both"/>
        <w:rPr>
          <w:rFonts w:ascii="Arial" w:cs="Arial" w:eastAsia="Arial" w:hAnsi="Arial"/>
          <w:color w:val="000000"/>
          <w:sz w:val="24"/>
          <w:szCs w:val="24"/>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8010"/>
        <w:tblGridChange w:id="0">
          <w:tblGrid>
            <w:gridCol w:w="2070"/>
            <w:gridCol w:w="8010"/>
          </w:tblGrid>
        </w:tblGridChange>
      </w:tblGrid>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bookmarkStart w:colFirst="0" w:colLast="0" w:name="_heading=h.3znysh7" w:id="4"/>
            <w:bookmarkEnd w:id="4"/>
            <w:r w:rsidDel="00000000" w:rsidR="00000000" w:rsidRPr="00000000">
              <w:rPr>
                <w:rFonts w:ascii="Arial" w:cs="Arial" w:eastAsia="Arial" w:hAnsi="Arial"/>
                <w:b w:val="1"/>
                <w:color w:val="000000"/>
                <w:sz w:val="24"/>
                <w:szCs w:val="24"/>
                <w:rtl w:val="0"/>
              </w:rPr>
              <w:t xml:space="preserve">"Achieve"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Test, to successfully pass such Test without any Test Issues and in respect of a Milestone, the issue of a Satisfaction Certificate in respect of that Milestone and "</w:t>
            </w:r>
            <w:r w:rsidDel="00000000" w:rsidR="00000000" w:rsidRPr="00000000">
              <w:rPr>
                <w:rFonts w:ascii="Arial" w:cs="Arial" w:eastAsia="Arial" w:hAnsi="Arial"/>
                <w:b w:val="1"/>
                <w:color w:val="000000"/>
                <w:sz w:val="24"/>
                <w:szCs w:val="24"/>
                <w:rtl w:val="0"/>
              </w:rPr>
              <w:t xml:space="preserve">Achieved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Achieving</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Achievement</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"Additional Insurances"</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insurance requirements relating to a Call-Off Contract specified in the Order Form additional to those outlined in Joint Schedule 3 (Insurance Requirements); </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costs incurred by CCS in dealing with MI Failures calculated in accordance with the tariff of administration charges published by the CCS on: http://CCS.cabinetoffice.gov.uk/i-am-supplier/management-information/admin-fees;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"Affected Party"</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"Affiliates"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extra information which supports a Schedule;</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"Approval"</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prior written consent of the Buyer and "</w:t>
            </w:r>
            <w:r w:rsidDel="00000000" w:rsidR="00000000" w:rsidRPr="00000000">
              <w:rPr>
                <w:rFonts w:ascii="Arial" w:cs="Arial" w:eastAsia="Arial" w:hAnsi="Arial"/>
                <w:b w:val="1"/>
                <w:color w:val="000000"/>
                <w:sz w:val="24"/>
                <w:szCs w:val="24"/>
                <w:rtl w:val="0"/>
              </w:rPr>
              <w:t xml:space="preserve">Approve</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Approved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“Associates”</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r w:rsidDel="00000000" w:rsidR="00000000" w:rsidRPr="00000000">
              <w:rPr>
                <w:rtl w:val="0"/>
              </w:rPr>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right to: </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costs of the Supplier (including the costs of all Subcontractors and any third party suppliers) in connection with the provision of the Services;</w:t>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Open Book Data;</w:t>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Supplier’s and each Subcontractor’s compliance with the Contract and applicable Law;</w:t>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any books of account and the internal contract management accounts kept by the Supplier in connection with each Contract;</w:t>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and completeness of any Management Information delivered or required by the Framework Contract;</w:t>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"Auditor"</w:t>
            </w:r>
          </w:p>
        </w:tc>
        <w:tc>
          <w:tcPr/>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501" w:hanging="33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internal and external auditors;</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statutory or regulatory auditors;</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Comptroller and Auditor General, their staff and/or any appointed representatives of the National Audit Office;</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 Treasury or the Cabinet Office;</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party formally appointed by the Relevant Authority to carry out audit or similar review functions; and</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successors or assigns of any of the above;</w:t>
            </w:r>
          </w:p>
        </w:tc>
      </w:tr>
      <w:tr>
        <w:trPr>
          <w:cantSplit w:val="0"/>
          <w:trHeight w:val="601"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w:t>
            </w:r>
          </w:p>
        </w:tc>
        <w:tc>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   CCS and each Buyer;</w:t>
            </w:r>
          </w:p>
        </w:tc>
      </w:tr>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 Cause"</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"BACS"</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Bankers’ Automated Clearing Services, which is a scheme for the electronic processing of financial transactions within the United Kingdom;</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having (or claiming to have) the benefit of an indemnity under this Contract;</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"Business Continuity Plan"</w: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given to it in Paragraph 1.3.2 of Call-Off Schedule 8;</w:t>
            </w:r>
            <w:r w:rsidDel="00000000" w:rsidR="00000000" w:rsidRPr="00000000">
              <w:rPr>
                <w:rtl w:val="0"/>
              </w:rPr>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4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Assets"</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Authorised Representative"</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Buyer from time to time in relation to the Call-Off Contract initially identified in the Order Form;</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Premises"</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 Period"</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Period in respect of the Call-Off Contract;</w:t>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Expiry Date"</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a Call-Off Contract as stated in the Order Form;</w:t>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Incorporated Terms"</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Initial Period"</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Period of a Call-Off Contract specified in the Order Form;</w:t>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Optional Extension Period"</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Call-Off Initial Period may be extended as specified in the Order Form;</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Procedure"</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for awarding a Call-Off Contract pursuant to Clause 2 (How the contract works) and Framework Schedule 7 (Call-Off Award Procedure);</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Special Terms"</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Start Date"</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a Call-Off Contract as stated in the Order Form;</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Tender"</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in response to the Buyer’s Statement of Requirements following a Further Competition Procedure and set out at Call-Off Schedule 4 (Call-Off Tender);</w:t>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Authorised Representative"</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"Central Government Body"</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69">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Government Department;</w:t>
            </w:r>
          </w:p>
          <w:p w:rsidR="00000000" w:rsidDel="00000000" w:rsidP="00000000" w:rsidRDefault="00000000" w:rsidRPr="00000000" w14:paraId="0000006A">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Non-Departmental Public Body or Assembly Sponsored Public Body (advisory, executive, or tribunal);</w:t>
            </w:r>
          </w:p>
          <w:p w:rsidR="00000000" w:rsidDel="00000000" w:rsidP="00000000" w:rsidRDefault="00000000" w:rsidRPr="00000000" w14:paraId="0000006B">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Non-Ministerial Department; or</w:t>
            </w:r>
          </w:p>
          <w:p w:rsidR="00000000" w:rsidDel="00000000" w:rsidP="00000000" w:rsidRDefault="00000000" w:rsidRPr="00000000" w14:paraId="0000006C">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Executive Agency;</w:t>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in Law"</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of Control"</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"Charges"</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"Claim"</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which it appears that a Beneficiary is, or may become, entitled to indemnification under this Contract;</w:t>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"Commercially Sensitive Information"</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Supply"</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person(s) appointed by the Supplier who is responsible for ensuring that the Supplier complies with its legal obligations;</w:t>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"Confidential Information"</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Del="00000000" w:rsidR="00000000" w:rsidRPr="00000000">
              <w:rPr>
                <w:rFonts w:ascii="Arial" w:cs="Arial" w:eastAsia="Arial" w:hAnsi="Arial"/>
                <w:b w:val="1"/>
                <w:color w:val="000000"/>
                <w:sz w:val="24"/>
                <w:szCs w:val="24"/>
                <w:rtl w:val="0"/>
              </w:rPr>
              <w:t xml:space="preserve">"confidential"</w:t>
            </w:r>
            <w:r w:rsidDel="00000000" w:rsidR="00000000" w:rsidRPr="00000000">
              <w:rPr>
                <w:rFonts w:ascii="Arial" w:cs="Arial" w:eastAsia="Arial" w:hAnsi="Arial"/>
                <w:color w:val="000000"/>
                <w:sz w:val="24"/>
                <w:szCs w:val="24"/>
                <w:rtl w:val="0"/>
              </w:rPr>
              <w:t xml:space="preserve">) or which ought reasonably to be considered to be confidential;</w:t>
            </w:r>
          </w:p>
        </w:tc>
      </w:tr>
      <w:tr>
        <w:trPr>
          <w:cantSplit w:val="0"/>
          <w:tblHeader w:val="0"/>
        </w:trPr>
        <w:tc>
          <w:tcPr/>
          <w:p w:rsidR="00000000" w:rsidDel="00000000" w:rsidP="00000000" w:rsidRDefault="00000000" w:rsidRPr="00000000" w14:paraId="0000007D">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"Conflict of Interest"</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conflict between the financial or personal duties of the Supplier or the Supplier Staff and the duties owed to CCS or any Buyer under a Contract, in the reasonable opinion of the Buyer or CCS;</w:t>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Period"</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 of either a Framework Contract or Call-Off Contract on and from the earlier of the:</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applicable Start Date; or</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 Effective Date</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 to and including the applicable End Date; </w:t>
            </w:r>
          </w:p>
        </w:tc>
      </w:tr>
      <w:tr>
        <w:trPr>
          <w:cantSplit w:val="0"/>
          <w:tblHeader w:val="0"/>
        </w:trPr>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Value"</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Year"</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consecutive period of twelve (12) Months commencing on the Start Date or each anniversary thereof;</w:t>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 in either of the senses defined in sections 450 and 1124 of the Corporation Tax Act 2010 and "</w:t>
            </w:r>
            <w:r w:rsidDel="00000000" w:rsidR="00000000" w:rsidRPr="00000000">
              <w:rPr>
                <w:rFonts w:ascii="Arial" w:cs="Arial" w:eastAsia="Arial" w:hAnsi="Arial"/>
                <w:b w:val="1"/>
                <w:color w:val="000000"/>
                <w:sz w:val="24"/>
                <w:szCs w:val="24"/>
                <w:rtl w:val="0"/>
              </w:rPr>
              <w:t xml:space="preserve">Controlled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“Controller”</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“Core Terms”</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terms and conditions for common goods and services which govern how Suppliers must interact with CCS and Buyers under Framework Contracts and Call-Off Contracts;</w:t>
            </w:r>
          </w:p>
        </w:tc>
      </w:tr>
      <w:tr>
        <w:trPr>
          <w:cantSplit w:val="0"/>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"Costs"</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92">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to the Supplier or the Key Subcontractor (as the context requires), calculated per Work Day, of engaging the Supplier Staff, including:</w:t>
            </w:r>
          </w:p>
          <w:p w:rsidR="00000000" w:rsidDel="00000000" w:rsidP="00000000" w:rsidRDefault="00000000" w:rsidRPr="00000000" w14:paraId="00000093">
            <w:pPr>
              <w:numPr>
                <w:ilvl w:val="2"/>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base salary paid to the Supplier Staff;</w:t>
            </w:r>
          </w:p>
          <w:p w:rsidR="00000000" w:rsidDel="00000000" w:rsidP="00000000" w:rsidRDefault="00000000" w:rsidRPr="00000000" w14:paraId="00000094">
            <w:pPr>
              <w:numPr>
                <w:ilvl w:val="2"/>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employer’s National Insurance contributions;</w:t>
            </w:r>
          </w:p>
          <w:p w:rsidR="00000000" w:rsidDel="00000000" w:rsidP="00000000" w:rsidRDefault="00000000" w:rsidRPr="00000000" w14:paraId="00000095">
            <w:pPr>
              <w:numPr>
                <w:ilvl w:val="2"/>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pension contributions;</w:t>
            </w:r>
          </w:p>
          <w:p w:rsidR="00000000" w:rsidDel="00000000" w:rsidP="00000000" w:rsidRDefault="00000000" w:rsidRPr="00000000" w14:paraId="00000096">
            <w:pPr>
              <w:numPr>
                <w:ilvl w:val="2"/>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 allowances; </w:t>
            </w:r>
          </w:p>
          <w:p w:rsidR="00000000" w:rsidDel="00000000" w:rsidP="00000000" w:rsidRDefault="00000000" w:rsidRPr="00000000" w14:paraId="00000097">
            <w:pPr>
              <w:numPr>
                <w:ilvl w:val="2"/>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contractual employment benefits;</w:t>
            </w:r>
          </w:p>
          <w:p w:rsidR="00000000" w:rsidDel="00000000" w:rsidP="00000000" w:rsidRDefault="00000000" w:rsidRPr="00000000" w14:paraId="00000098">
            <w:pPr>
              <w:numPr>
                <w:ilvl w:val="2"/>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training;</w:t>
            </w:r>
          </w:p>
          <w:p w:rsidR="00000000" w:rsidDel="00000000" w:rsidP="00000000" w:rsidRDefault="00000000" w:rsidRPr="00000000" w14:paraId="00000099">
            <w:pPr>
              <w:numPr>
                <w:ilvl w:val="2"/>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accommodation;</w:t>
            </w:r>
          </w:p>
          <w:p w:rsidR="00000000" w:rsidDel="00000000" w:rsidP="00000000" w:rsidRDefault="00000000" w:rsidRPr="00000000" w14:paraId="0000009A">
            <w:pPr>
              <w:numPr>
                <w:ilvl w:val="2"/>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IT equipment and tools reasonably necessary to provide the Deliverables (but not including items included within limb (b) below); and</w:t>
            </w:r>
          </w:p>
          <w:p w:rsidR="00000000" w:rsidDel="00000000" w:rsidP="00000000" w:rsidRDefault="00000000" w:rsidRPr="00000000" w14:paraId="0000009B">
            <w:pPr>
              <w:numPr>
                <w:ilvl w:val="2"/>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reasonable recruitment costs, as agreed with the Buyer; </w:t>
            </w:r>
          </w:p>
          <w:p w:rsidR="00000000" w:rsidDel="00000000" w:rsidP="00000000" w:rsidRDefault="00000000" w:rsidRPr="00000000" w14:paraId="0000009C">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9D">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9E">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79"/>
                <w:tab w:val="left" w:leader="none" w:pos="411"/>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but excluding:</w:t>
            </w:r>
          </w:p>
          <w:p w:rsidR="00000000" w:rsidDel="00000000" w:rsidP="00000000" w:rsidRDefault="00000000" w:rsidRPr="00000000" w14:paraId="000000A0">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Overhead;</w:t>
            </w:r>
          </w:p>
          <w:p w:rsidR="00000000" w:rsidDel="00000000" w:rsidP="00000000" w:rsidRDefault="00000000" w:rsidRPr="00000000" w14:paraId="000000A1">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financing or similar costs;</w:t>
            </w:r>
          </w:p>
          <w:p w:rsidR="00000000" w:rsidDel="00000000" w:rsidP="00000000" w:rsidRDefault="00000000" w:rsidRPr="00000000" w14:paraId="000000A2">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A3">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taxation;</w:t>
            </w:r>
          </w:p>
          <w:p w:rsidR="00000000" w:rsidDel="00000000" w:rsidP="00000000" w:rsidRDefault="00000000" w:rsidRPr="00000000" w14:paraId="000000A4">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fines and penalties;</w:t>
            </w:r>
          </w:p>
          <w:p w:rsidR="00000000" w:rsidDel="00000000" w:rsidP="00000000" w:rsidRDefault="00000000" w:rsidRPr="00000000" w14:paraId="000000A5">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amounts payable under Call-Off Schedule 16 (Benchmarking) where such Schedule is used; and</w:t>
            </w:r>
          </w:p>
          <w:p w:rsidR="00000000" w:rsidDel="00000000" w:rsidP="00000000" w:rsidRDefault="00000000" w:rsidRPr="00000000" w14:paraId="000000A6">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non-cash items (including depreciation, amortisation, impairments and movements in provisions);</w:t>
            </w:r>
          </w:p>
        </w:tc>
      </w:tr>
      <w:tr>
        <w:trPr>
          <w:cantSplit w:val="0"/>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"CRTPA"</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Rights of Third Parties Act 1999;</w:t>
            </w:r>
          </w:p>
        </w:tc>
      </w:tr>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Impact Assessment”</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Legislation"</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the UK GDPR as amended from time to time; (ii) the DPA 2018 to the extent that it relates to Processing of Personal Data and privacy; (iii) all applicable Law about the Processing of Personal Data and privacy;</w:t>
            </w:r>
          </w:p>
        </w:tc>
      </w:tr>
      <w:tr>
        <w:trPr>
          <w:cantSplit w:val="0"/>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specified in the Framework Award Form;</w:t>
            </w:r>
          </w:p>
        </w:tc>
      </w:tr>
      <w:tr>
        <w:trPr>
          <w:cantSplit w:val="0"/>
          <w:tblHeader w:val="0"/>
        </w:trPr>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Officer"</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 Access Request"</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"Deductions"</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Service Credits, Delay Payments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 Management Charge"</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8.1.1 of Framework Schedule 5 (Management Charges and Information);</w:t>
            </w:r>
          </w:p>
        </w:tc>
      </w:tr>
      <w:tr>
        <w:trPr>
          <w:cantSplit w:val="0"/>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"Delay Payments"</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(if any) payable by the Supplier to the Buyer in respect of a delay in respect of a Milestone as specified in the Implementation Plan;</w:t>
            </w:r>
          </w:p>
        </w:tc>
      </w:tr>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and/or Services that may be ordered under the Contract including the Documentation; </w:t>
            </w:r>
          </w:p>
        </w:tc>
      </w:tr>
      <w:tr>
        <w:trPr>
          <w:cantSplit w:val="0"/>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"Delivery"</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Del="00000000" w:rsidR="00000000" w:rsidRPr="00000000">
              <w:rPr>
                <w:rFonts w:ascii="Arial" w:cs="Arial" w:eastAsia="Arial" w:hAnsi="Arial"/>
                <w:b w:val="1"/>
                <w:color w:val="000000"/>
                <w:sz w:val="24"/>
                <w:szCs w:val="24"/>
                <w:rtl w:val="0"/>
              </w:rPr>
              <w:t xml:space="preserve">Deliver</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Delivered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“Dependent Parent Undertaking”</w:t>
            </w: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r w:rsidDel="00000000" w:rsidR="00000000" w:rsidRPr="00000000">
              <w:rPr>
                <w:rtl w:val="0"/>
              </w:rPr>
            </w:r>
          </w:p>
        </w:tc>
      </w:tr>
      <w:tr>
        <w:trPr>
          <w:cantSplit w:val="0"/>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"Disclosing Party"</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directly or indirectly providing Confidential Information to the other Party in accordance with Clause 15 (What you must keep confidential);</w:t>
            </w:r>
          </w:p>
        </w:tc>
      </w:tr>
      <w:tr>
        <w:trPr>
          <w:cantSplit w:val="0"/>
          <w:tblHeader w:val="0"/>
        </w:trPr>
        <w:tc>
          <w:tcPr/>
          <w:p w:rsidR="00000000" w:rsidDel="00000000" w:rsidP="00000000" w:rsidRDefault="00000000" w:rsidRPr="00000000" w14:paraId="000000C5">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 Resolution Procedure"</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dispute resolution procedure set out in Clause 34 (Resolving disputes);</w:t>
            </w:r>
          </w:p>
        </w:tc>
      </w:tr>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"Documentation"</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0CB">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0CC">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required by the Supplier in order to provide the Deliverables; and/or</w:t>
            </w:r>
          </w:p>
          <w:p w:rsidR="00000000" w:rsidDel="00000000" w:rsidP="00000000" w:rsidRDefault="00000000" w:rsidRPr="00000000" w14:paraId="000000CD">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been or shall be generated for the purpose of providing the Deliverables;</w:t>
            </w:r>
          </w:p>
        </w:tc>
      </w:tr>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"DOTAS"</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“DPA 2018”</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Protection Act 2018;</w:t>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"Due Diligence Information"</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supplied to the Supplier by or on behalf of the Authority prior to the Start Date;</w:t>
            </w:r>
          </w:p>
        </w:tc>
      </w:tr>
      <w:tr>
        <w:trPr>
          <w:cantSplit w:val="0"/>
          <w:tblHeader w:val="0"/>
        </w:trPr>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“Effective Date”</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on which the final Party has signed the Contract;</w:t>
            </w:r>
          </w:p>
        </w:tc>
      </w:tr>
      <w:tr>
        <w:trPr>
          <w:cantSplit w:val="0"/>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"EIR"</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Environmental Information Regulations 2004;</w:t>
            </w:r>
          </w:p>
        </w:tc>
      </w:tr>
      <w:tr>
        <w:trPr>
          <w:cantSplit w:val="0"/>
          <w:tblHeader w:val="0"/>
        </w:trPr>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“Electronic Invoice”</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Regulations"</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Transfer of Undertakings (Protection of Employment) Regulations 2006 (SI 2006/246) as amended or replaced or any other Regulations implementing the European Council Directive 77/187/EEC;</w:t>
            </w:r>
          </w:p>
        </w:tc>
      </w:tr>
      <w:tr>
        <w:trPr>
          <w:cantSplit w:val="0"/>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"End Date" </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576"/>
                <w:tab w:val="left" w:leader="none" w:pos="144"/>
              </w:tabs>
              <w:spacing w:after="120" w:lineRule="auto"/>
              <w:ind w:firstLine="14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earlier of: </w:t>
            </w:r>
          </w:p>
          <w:p w:rsidR="00000000" w:rsidDel="00000000" w:rsidP="00000000" w:rsidRDefault="00000000" w:rsidRPr="00000000" w14:paraId="000000DE">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Expiry Date (as extended by any Extension Period exercised by the Relevant Authority under Clause 10.1.2); or</w:t>
            </w:r>
          </w:p>
          <w:p w:rsidR="00000000" w:rsidDel="00000000" w:rsidP="00000000" w:rsidRDefault="00000000" w:rsidRPr="00000000" w14:paraId="000000DF">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Contract is terminated before the date specified in (a) above, the date of termination of the Contract;</w:t>
            </w:r>
          </w:p>
        </w:tc>
      </w:tr>
      <w:tr>
        <w:trPr>
          <w:cantSplit w:val="0"/>
          <w:tblHeader w:val="0"/>
        </w:trPr>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"Environmental Policy"</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"Equality and Human Rights Commission"</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 1 Charges”</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anticipated total Charges payable by the Buyer in the first Contract Year specified in the Order Form;</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bl>
      <w:tblPr>
        <w:tblStyle w:val="Table2"/>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7350"/>
        <w:tblGridChange w:id="0">
          <w:tblGrid>
            <w:gridCol w:w="2400"/>
            <w:gridCol w:w="7350"/>
          </w:tblGrid>
        </w:tblGridChange>
      </w:tblGrid>
      <w:tr>
        <w:trPr>
          <w:cantSplit w:val="0"/>
          <w:tblHeader w:val="0"/>
        </w:trPr>
        <w:tc>
          <w:tcPr>
            <w:tcBorders>
              <w:top w:color="000000" w:space="0" w:sz="0" w:val="nil"/>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Yearly Charges"</w:t>
            </w:r>
          </w:p>
        </w:tc>
        <w:tc>
          <w:tcPr>
            <w:tcBorders>
              <w:top w:color="000000" w:space="0" w:sz="0" w:val="nil"/>
              <w:left w:color="000000" w:space="0" w:sz="0" w:val="nil"/>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for the purposes of calculating each Party’s annual liability under clause 11.2 :</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in the first Contract Year, the Estimated Year 1 Charges; or </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in the any subsequent Contract Years, the Charges paid or payable in the previous Call-off Contract Year; or</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17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iii) after the end of the Call-off Contract, the Charges paid or payable in the last Contract Year during the Call-off Contract Period;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Exempt Buyer</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public sector purchaser that is:</w:t>
            </w:r>
          </w:p>
          <w:p w:rsidR="00000000" w:rsidDel="00000000" w:rsidP="00000000" w:rsidRDefault="00000000" w:rsidRPr="00000000" w14:paraId="000000EF">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388" w:hanging="360"/>
              <w:jc w:val="both"/>
              <w:rPr/>
            </w:pPr>
            <w:r w:rsidDel="00000000" w:rsidR="00000000" w:rsidRPr="00000000">
              <w:rPr>
                <w:rFonts w:ascii="Arial" w:cs="Arial" w:eastAsia="Arial" w:hAnsi="Arial"/>
                <w:color w:val="000000"/>
                <w:sz w:val="22"/>
                <w:szCs w:val="22"/>
                <w:rtl w:val="0"/>
              </w:rPr>
              <w:t xml:space="preserve">eligible to use the Framework Contract; and</w:t>
            </w:r>
            <w:r w:rsidDel="00000000" w:rsidR="00000000" w:rsidRPr="00000000">
              <w:rPr>
                <w:rtl w:val="0"/>
              </w:rPr>
            </w:r>
          </w:p>
          <w:p w:rsidR="00000000" w:rsidDel="00000000" w:rsidP="00000000" w:rsidRDefault="00000000" w:rsidRPr="00000000" w14:paraId="000000F0">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388" w:hanging="360"/>
              <w:jc w:val="both"/>
              <w:rPr/>
            </w:pPr>
            <w:r w:rsidDel="00000000" w:rsidR="00000000" w:rsidRPr="00000000">
              <w:rPr>
                <w:rFonts w:ascii="Arial" w:cs="Arial" w:eastAsia="Arial" w:hAnsi="Arial"/>
                <w:color w:val="000000"/>
                <w:sz w:val="22"/>
                <w:szCs w:val="22"/>
                <w:rtl w:val="0"/>
              </w:rPr>
              <w:t xml:space="preserve">is entering into an Exempt Call-off Contract that is not subject to (as applicable) any of:</w:t>
            </w:r>
            <w:r w:rsidDel="00000000" w:rsidR="00000000" w:rsidRPr="00000000">
              <w:rPr>
                <w:rtl w:val="0"/>
              </w:rPr>
            </w:r>
          </w:p>
          <w:p w:rsidR="00000000" w:rsidDel="00000000" w:rsidP="00000000" w:rsidRDefault="00000000" w:rsidRPr="00000000" w14:paraId="000000F1">
            <w:pPr>
              <w:numPr>
                <w:ilvl w:val="1"/>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Regulations;</w:t>
            </w:r>
            <w:r w:rsidDel="00000000" w:rsidR="00000000" w:rsidRPr="00000000">
              <w:rPr>
                <w:rtl w:val="0"/>
              </w:rPr>
            </w:r>
          </w:p>
          <w:p w:rsidR="00000000" w:rsidDel="00000000" w:rsidP="00000000" w:rsidRDefault="00000000" w:rsidRPr="00000000" w14:paraId="000000F2">
            <w:pPr>
              <w:numPr>
                <w:ilvl w:val="1"/>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Concession Contracts Regulations 2016 (SI 2016/273);</w:t>
            </w:r>
            <w:r w:rsidDel="00000000" w:rsidR="00000000" w:rsidRPr="00000000">
              <w:rPr>
                <w:rtl w:val="0"/>
              </w:rPr>
            </w:r>
          </w:p>
          <w:p w:rsidR="00000000" w:rsidDel="00000000" w:rsidP="00000000" w:rsidRDefault="00000000" w:rsidRPr="00000000" w14:paraId="000000F3">
            <w:pPr>
              <w:numPr>
                <w:ilvl w:val="1"/>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Utilities Contracts Regulations 2016 (SI 2016/274);</w:t>
            </w:r>
            <w:r w:rsidDel="00000000" w:rsidR="00000000" w:rsidRPr="00000000">
              <w:rPr>
                <w:rtl w:val="0"/>
              </w:rPr>
            </w:r>
          </w:p>
          <w:p w:rsidR="00000000" w:rsidDel="00000000" w:rsidP="00000000" w:rsidRDefault="00000000" w:rsidRPr="00000000" w14:paraId="000000F4">
            <w:pPr>
              <w:numPr>
                <w:ilvl w:val="1"/>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Defence and Security Public Contracts Regulations 2011 (SI 2011/1848);</w:t>
            </w:r>
            <w:r w:rsidDel="00000000" w:rsidR="00000000" w:rsidRPr="00000000">
              <w:rPr>
                <w:rtl w:val="0"/>
              </w:rPr>
            </w:r>
          </w:p>
          <w:p w:rsidR="00000000" w:rsidDel="00000000" w:rsidP="00000000" w:rsidRDefault="00000000" w:rsidRPr="00000000" w14:paraId="000000F5">
            <w:pPr>
              <w:numPr>
                <w:ilvl w:val="1"/>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Remedies Directive (2007/66/EC);</w:t>
            </w:r>
            <w:r w:rsidDel="00000000" w:rsidR="00000000" w:rsidRPr="00000000">
              <w:rPr>
                <w:rtl w:val="0"/>
              </w:rPr>
            </w:r>
          </w:p>
          <w:p w:rsidR="00000000" w:rsidDel="00000000" w:rsidP="00000000" w:rsidRDefault="00000000" w:rsidRPr="00000000" w14:paraId="000000F6">
            <w:pPr>
              <w:numPr>
                <w:ilvl w:val="1"/>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Directive 2014/23/EU of the European Parliament and Council;</w:t>
            </w:r>
            <w:r w:rsidDel="00000000" w:rsidR="00000000" w:rsidRPr="00000000">
              <w:rPr>
                <w:rtl w:val="0"/>
              </w:rPr>
            </w:r>
          </w:p>
          <w:p w:rsidR="00000000" w:rsidDel="00000000" w:rsidP="00000000" w:rsidRDefault="00000000" w:rsidRPr="00000000" w14:paraId="000000F7">
            <w:pPr>
              <w:numPr>
                <w:ilvl w:val="1"/>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Directive 2014/24/EU of the European Parliament and Council;</w:t>
            </w:r>
            <w:r w:rsidDel="00000000" w:rsidR="00000000" w:rsidRPr="00000000">
              <w:rPr>
                <w:rtl w:val="0"/>
              </w:rPr>
            </w:r>
          </w:p>
          <w:p w:rsidR="00000000" w:rsidDel="00000000" w:rsidP="00000000" w:rsidRDefault="00000000" w:rsidRPr="00000000" w14:paraId="000000F8">
            <w:pPr>
              <w:numPr>
                <w:ilvl w:val="1"/>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Directive 2014/25/EU of the European Parliament and Council; or</w:t>
            </w:r>
            <w:r w:rsidDel="00000000" w:rsidR="00000000" w:rsidRPr="00000000">
              <w:rPr>
                <w:rtl w:val="0"/>
              </w:rPr>
            </w:r>
          </w:p>
          <w:p w:rsidR="00000000" w:rsidDel="00000000" w:rsidP="00000000" w:rsidRDefault="00000000" w:rsidRPr="00000000" w14:paraId="000000F9">
            <w:pPr>
              <w:numPr>
                <w:ilvl w:val="1"/>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2"/>
                <w:szCs w:val="22"/>
                <w:rtl w:val="0"/>
              </w:rPr>
              <w:t xml:space="preserve">Directive 2009/81/EC of the European Parliament and Council;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Exempt Call-off Contract</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contract between the Exempt Buyer and the Supplier for Deliverables which consists of the terms set out and referred to in the Order Form incorporating and, where necessary, amending, refining or adding to the terms of the Framework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Exempt Procurement Amendments</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3"/>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5"/>
        <w:gridCol w:w="7515"/>
        <w:tblGridChange w:id="0">
          <w:tblGrid>
            <w:gridCol w:w="2445"/>
            <w:gridCol w:w="7515"/>
          </w:tblGrid>
        </w:tblGridChange>
      </w:tblGrid>
      <w:tr>
        <w:trPr>
          <w:cantSplit w:val="0"/>
          <w:tblHeader w:val="0"/>
        </w:trPr>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"Existing IPR"</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and all IPR that are owned by or licensed to either Party and which are or have been developed independently of the Contract (whether prior to the Start Date or otherwise);</w:t>
            </w:r>
          </w:p>
        </w:tc>
      </w:tr>
      <w:tr>
        <w:trPr>
          <w:cantSplit w:val="0"/>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Day”</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have the meaning in the European Union (Withdrawal) Act 2018;</w:t>
            </w:r>
          </w:p>
        </w:tc>
      </w:tr>
      <w:tr>
        <w:trPr>
          <w:cantSplit w:val="0"/>
          <w:tblHeader w:val="0"/>
        </w:trPr>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"Expiry Date"</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 Period"</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Optional Extension Period or the Call-Off Optional Extension Period as the context dictates;</w:t>
            </w:r>
          </w:p>
        </w:tc>
      </w:tr>
      <w:tr>
        <w:trPr>
          <w:cantSplit w:val="0"/>
          <w:tblHeader w:val="0"/>
        </w:trPr>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"FOIA"</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Event"</w: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000000" w:rsidDel="00000000" w:rsidP="00000000" w:rsidRDefault="00000000" w:rsidRPr="00000000" w14:paraId="0000010B">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riots, civil commotion, war or armed conflict;</w:t>
            </w:r>
          </w:p>
          <w:p w:rsidR="00000000" w:rsidDel="00000000" w:rsidP="00000000" w:rsidRDefault="00000000" w:rsidRPr="00000000" w14:paraId="0000010C">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terrorism;</w:t>
            </w:r>
          </w:p>
          <w:p w:rsidR="00000000" w:rsidDel="00000000" w:rsidP="00000000" w:rsidRDefault="00000000" w:rsidRPr="00000000" w14:paraId="0000010D">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government, local government or regulatory bodies;</w:t>
            </w:r>
          </w:p>
          <w:p w:rsidR="00000000" w:rsidDel="00000000" w:rsidP="00000000" w:rsidRDefault="00000000" w:rsidRPr="00000000" w14:paraId="0000010E">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fire, flood, storm or earthquake or other natural disaster,</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excluding any industrial dispute relating to the Supplier, the Supplier Staff or any other failure in the Supplier or the Subcontractor's supply chain;</w:t>
            </w:r>
          </w:p>
        </w:tc>
      </w:tr>
      <w:tr>
        <w:trPr>
          <w:cantSplit w:val="0"/>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Notice"</w:t>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served by the Affected Party on the other Party stating that the Affected Party believes that there is a Force Majeure Event;</w:t>
            </w:r>
          </w:p>
        </w:tc>
      </w:tr>
      <w:tr>
        <w:trPr>
          <w:cantSplit w:val="0"/>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Award Form"</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agreement established between CCS and the Supplier in accordance with Regulation 33 by the Framework Award Form for the provision of the Deliverables to Buyers by the Supplier pursuant to the notice published on the Find a Tender Service;</w:t>
            </w:r>
          </w:p>
        </w:tc>
      </w:tr>
      <w:tr>
        <w:trPr>
          <w:cantSplit w:val="0"/>
          <w:tblHeader w:val="0"/>
        </w:trPr>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 Period"</w:t>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from the Framework Start Date until the End Date of the Framework Contract;</w:t>
            </w:r>
          </w:p>
        </w:tc>
      </w:tr>
      <w:tr>
        <w:trPr>
          <w:cantSplit w:val="0"/>
          <w:tblHeader w:val="0"/>
        </w:trPr>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the Framework Contract as stated in the Framework Award Form;</w:t>
            </w:r>
          </w:p>
        </w:tc>
      </w:tr>
      <w:tr>
        <w:trPr>
          <w:cantSplit w:val="0"/>
          <w:tblHeader w:val="0"/>
        </w:trPr>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Framework Contract specified in the Framework Award Form;</w:t>
            </w:r>
          </w:p>
        </w:tc>
      </w:tr>
      <w:tr>
        <w:trPr>
          <w:cantSplit w:val="0"/>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Optional Extension Period"</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Framework Contract Period may be extended as specified in the Framework Award Form;</w:t>
            </w:r>
          </w:p>
        </w:tc>
      </w:tr>
      <w:tr>
        <w:trPr>
          <w:cantSplit w:val="0"/>
          <w:tblHeader w:val="0"/>
        </w:trPr>
        <w:tc>
          <w:tcPr/>
          <w:p w:rsidR="00000000" w:rsidDel="00000000" w:rsidP="00000000" w:rsidRDefault="00000000" w:rsidRPr="00000000" w14:paraId="0000011E">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applicable to the provision of the Deliverables set out in Framework Schedule 3 (Framework Prices);</w:t>
            </w:r>
          </w:p>
        </w:tc>
      </w:tr>
      <w:tr>
        <w:trPr>
          <w:cantSplit w:val="0"/>
          <w:tblHeader w:val="0"/>
        </w:trPr>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Start Date"</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Tender Response"</w:t>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to CCS and annexed to or referred to in Framework Schedule 2 (Framework Tender);</w:t>
            </w:r>
          </w:p>
        </w:tc>
      </w:tr>
      <w:tr>
        <w:trPr>
          <w:cantSplit w:val="0"/>
          <w:tblHeader w:val="0"/>
        </w:trPr>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"Further Competition Procedure"</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further competition procedure described in Framework Schedule 7 (Call-Off Award Procedure);</w:t>
            </w:r>
          </w:p>
        </w:tc>
      </w:tr>
      <w:tr>
        <w:trPr>
          <w:cantSplit w:val="0"/>
          <w:tblHeader w:val="0"/>
        </w:trPr>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"UK GDPR"</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retained EU law version of the General Data Protection Regulation (Regulation (EU) 2016/679);</w:t>
            </w:r>
          </w:p>
        </w:tc>
      </w:tr>
      <w:tr>
        <w:trPr>
          <w:cantSplit w:val="0"/>
          <w:tblHeader w:val="0"/>
        </w:trPr>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Anti-Abuse Rule"</w:t>
            </w:r>
          </w:p>
        </w:tc>
        <w:tc>
          <w:tcPr/>
          <w:p w:rsidR="00000000" w:rsidDel="00000000" w:rsidP="00000000" w:rsidRDefault="00000000" w:rsidRPr="00000000" w14:paraId="0000012B">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legislation in Part 5 of the Finance Act 2013 and; and </w:t>
            </w:r>
          </w:p>
          <w:p w:rsidR="00000000" w:rsidDel="00000000" w:rsidP="00000000" w:rsidRDefault="00000000" w:rsidRPr="00000000" w14:paraId="0000012C">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future legislation introduced into parliament to counteract Tax advantages arising from abusive arrangements to avoid National Insurance contributions;</w:t>
            </w:r>
          </w:p>
        </w:tc>
      </w:tr>
      <w:tr>
        <w:trPr>
          <w:cantSplit w:val="0"/>
          <w:tblHeader w:val="0"/>
        </w:trPr>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Change in Law"</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where the change is of a general legislative nature (including Tax or duties of any sort affecting the Supplier) or which affects or relates to a Comparable Supply;</w:t>
            </w:r>
          </w:p>
        </w:tc>
      </w:tr>
      <w:tr>
        <w:trPr>
          <w:cantSplit w:val="0"/>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"Goods"</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made available by the Supplier as specified in Framework Schedule 1 (Specification) and in relation to a Call-Off Contract as specified in the Order Form ;</w:t>
            </w:r>
          </w:p>
        </w:tc>
      </w:tr>
      <w:tr>
        <w:trPr>
          <w:cantSplit w:val="0"/>
          <w:tblHeader w:val="0"/>
        </w:trPr>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Industry Practice"</w:t>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rPr>
          <w:cantSplit w:val="0"/>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 Data"</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576"/>
                <w:tab w:val="left" w:leader="none"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p>
          <w:p w:rsidR="00000000" w:rsidDel="00000000" w:rsidP="00000000" w:rsidRDefault="00000000" w:rsidRPr="00000000" w14:paraId="00000137">
            <w:pPr>
              <w:numPr>
                <w:ilvl w:val="2"/>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are supplied to the Supplier by or on behalf of the Authority; or</w:t>
            </w:r>
          </w:p>
          <w:p w:rsidR="00000000" w:rsidDel="00000000" w:rsidP="00000000" w:rsidRDefault="00000000" w:rsidRPr="00000000" w14:paraId="00000138">
            <w:pPr>
              <w:numPr>
                <w:ilvl w:val="2"/>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is required to generate, process, store or transmit pursuant to a Contract; </w:t>
            </w:r>
          </w:p>
        </w:tc>
      </w:tr>
      <w:tr>
        <w:trPr>
          <w:cantSplit w:val="0"/>
          <w:tblHeader w:val="0"/>
        </w:trPr>
        <w:tc>
          <w:tcPr/>
          <w:p w:rsidR="00000000" w:rsidDel="00000000" w:rsidP="00000000" w:rsidRDefault="00000000" w:rsidRPr="00000000" w14:paraId="0000013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(if any) who has entered into a guarantee in the form set out in Joint Schedule 8 (Guarantee) in relation to this Contract;</w:t>
            </w:r>
          </w:p>
        </w:tc>
      </w:tr>
      <w:tr>
        <w:trPr>
          <w:cantSplit w:val="0"/>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"Halifax Abuse Principle"</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"HMRC"</w:t>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His Majesty’s Revenue and Customs;</w:t>
            </w:r>
          </w:p>
        </w:tc>
      </w:tr>
      <w:tr>
        <w:trPr>
          <w:cantSplit w:val="0"/>
          <w:tblHeader w:val="0"/>
        </w:trPr>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Policy"</w:t>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143">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144">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cost of implementing the proposed Variation;</w:t>
            </w:r>
          </w:p>
          <w:p w:rsidR="00000000" w:rsidDel="00000000" w:rsidP="00000000" w:rsidRDefault="00000000" w:rsidRPr="00000000" w14:paraId="00000145">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146">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timetable for the implementation, together with any proposals for the testing of the Variation; and</w:t>
            </w:r>
          </w:p>
          <w:p w:rsidR="00000000" w:rsidDel="00000000" w:rsidP="00000000" w:rsidRDefault="00000000" w:rsidRPr="00000000" w14:paraId="00000147">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other information as the Relevant Authority may reasonably request in (or in response to) the Variation request;</w:t>
            </w:r>
          </w:p>
        </w:tc>
      </w:tr>
      <w:tr>
        <w:trPr>
          <w:cantSplit w:val="0"/>
          <w:tblHeader w:val="0"/>
        </w:trPr>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"Implementation Plan"</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for provision of the Deliverables set out in Call-Off Schedule 13 (Implementation Plan and Testing) where that Schedule is used or otherwise as agreed between the Supplier and the Buyer;</w:t>
            </w:r>
          </w:p>
        </w:tc>
      </w:tr>
      <w:tr>
        <w:trPr>
          <w:cantSplit w:val="0"/>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"Indemnifier"</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from whom an indemnity is sought under this Contract;</w:t>
            </w:r>
          </w:p>
        </w:tc>
      </w:tr>
      <w:tr>
        <w:trPr>
          <w:cantSplit w:val="0"/>
          <w:tblHeader w:val="0"/>
        </w:trPr>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rFonts w:ascii="Arial" w:cs="Arial" w:eastAsia="Arial" w:hAnsi="Arial"/>
                <w:b w:val="1"/>
                <w:color w:val="000000"/>
                <w:sz w:val="24"/>
                <w:szCs w:val="24"/>
                <w:rtl w:val="0"/>
              </w:rPr>
              <w:t xml:space="preserve">Independent Controller</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"Indexation"</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adjustment of an amount or sum in accordance with Framework Schedule 3 (Framework Prices) and the relevant Order Form;</w:t>
            </w:r>
          </w:p>
        </w:tc>
      </w:tr>
      <w:tr>
        <w:trPr>
          <w:cantSplit w:val="0"/>
          <w:tblHeader w:val="0"/>
        </w:trPr>
        <w:tc>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w:t>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under section 84 of the Freedom of Information Act 2000;</w:t>
            </w:r>
          </w:p>
        </w:tc>
      </w:tr>
      <w:tr>
        <w:trPr>
          <w:cantSplit w:val="0"/>
          <w:tblHeader w:val="0"/>
        </w:trPr>
        <w:tc>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Commissioner"</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"Initial Period"</w:t>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"Insolvency Event"</w:t>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respect to any person, means:</w: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that person suspends, or threatens to suspend, payment of its debts, or is unable to pay its debts as they fall due or admits inability to pay its debts, or:</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(being a company or a LLP) is deemed unable to pay its debts within the meaning of section 123 of the Insolvency Act 1986, or</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(being a partnership) is deemed unable to pay its debts within the meaning of section 222 of the Insolvency Act 1986;</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another person becomes entitled to appoint a receiver over the assets of that person or a receiver is appointed over the assets of that person;</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that person suspends or ceases, or threatens to suspend or cease, carrying on all or a substantial part of its business;</w:t>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where that person is a company, a LLP or a partnership:</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 (being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165">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"Installation Works"</w:t>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works which the Supplier is to carry out at the beginning of the Call-Off Contract Period to install the Goods in accordance with the Call-Off Contract;</w:t>
            </w:r>
          </w:p>
        </w:tc>
      </w:tr>
      <w:tr>
        <w:trPr>
          <w:cantSplit w:val="0"/>
          <w:tblHeader w:val="0"/>
        </w:trPr>
        <w:tc>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 or "IPR"</w:t>
            </w:r>
          </w:p>
        </w:tc>
        <w:tc>
          <w:tcPr/>
          <w:p w:rsidR="00000000" w:rsidDel="00000000" w:rsidP="00000000" w:rsidRDefault="00000000" w:rsidRPr="00000000" w14:paraId="00000168">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000000" w:rsidDel="00000000" w:rsidP="00000000" w:rsidRDefault="00000000" w:rsidRPr="00000000" w14:paraId="00000169">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16A">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rights having equivalent or similar effect in any country or jurisdiction;</w:t>
            </w:r>
          </w:p>
        </w:tc>
      </w:tr>
      <w:tr>
        <w:trPr>
          <w:cantSplit w:val="0"/>
          <w:tblHeader w:val="0"/>
        </w:trPr>
        <w:tc>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"Invoicing Address"</w:t>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"IPR Claim"</w:t>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"IR35"</w:t>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off-payroll rules requiring individuals who work through their company pay the same income tax and National Insurance contributions as an employee which can be found online at: </w:t>
            </w:r>
            <w:hyperlink r:id="rId7">
              <w:r w:rsidDel="00000000" w:rsidR="00000000" w:rsidRPr="00000000">
                <w:rPr>
                  <w:rFonts w:ascii="Arial" w:cs="Arial" w:eastAsia="Arial" w:hAnsi="Arial"/>
                  <w:color w:val="0000ff"/>
                  <w:sz w:val="24"/>
                  <w:szCs w:val="24"/>
                  <w:u w:val="single"/>
                  <w:rtl w:val="0"/>
                </w:rPr>
                <w:t xml:space="preserve">https://www.gov.uk/guidance/ir35-find-out-if-it-applies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 Agreement”</w:t>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agreement (if any) entered into between the Relevant Authority and the Supplier substantially in the form set out in Annex 2 of Joint Schedule 11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Controllers”</w:t>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Staff"</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individuals (if any) identified as such in the Order Form;</w:t>
            </w:r>
          </w:p>
        </w:tc>
      </w:tr>
      <w:tr>
        <w:trPr>
          <w:cantSplit w:val="0"/>
          <w:trHeight w:val="357" w:hRule="atLeast"/>
          <w:tblHeader w:val="0"/>
        </w:trPr>
        <w:tc>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w:t>
            </w:r>
          </w:p>
        </w:tc>
        <w:tc>
          <w:tcPr/>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Sub-Contract with a Key Subcontractor;</w:t>
            </w:r>
          </w:p>
        </w:tc>
      </w:tr>
      <w:tr>
        <w:trPr>
          <w:cantSplit w:val="0"/>
          <w:trHeight w:val="426" w:hRule="atLeast"/>
          <w:tblHeader w:val="0"/>
        </w:trPr>
        <w:tc>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w:t>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Subcontractor:</w:t>
            </w:r>
          </w:p>
          <w:p w:rsidR="00000000" w:rsidDel="00000000" w:rsidP="00000000" w:rsidRDefault="00000000" w:rsidRPr="00000000" w14:paraId="0000017B">
            <w:pPr>
              <w:numPr>
                <w:ilvl w:val="1"/>
                <w:numId w:val="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is relied upon to deliver any work package within the Deliverables in their entirety; and/or</w:t>
            </w:r>
          </w:p>
          <w:p w:rsidR="00000000" w:rsidDel="00000000" w:rsidP="00000000" w:rsidRDefault="00000000" w:rsidRPr="00000000" w14:paraId="0000017C">
            <w:pPr>
              <w:numPr>
                <w:ilvl w:val="1"/>
                <w:numId w:val="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17D">
            <w:pPr>
              <w:numPr>
                <w:ilvl w:val="1"/>
                <w:numId w:val="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list all such Key Subcontractors in section 19 of the Framework Award Form and in the Key Subcontractor Section in Order Form;</w:t>
            </w:r>
          </w:p>
        </w:tc>
      </w:tr>
      <w:tr>
        <w:trPr>
          <w:cantSplit w:val="0"/>
          <w:tblHeader w:val="0"/>
        </w:trPr>
        <w:tc>
          <w:tcPr/>
          <w:p w:rsidR="00000000" w:rsidDel="00000000" w:rsidP="00000000" w:rsidRDefault="00000000" w:rsidRPr="00000000" w14:paraId="0000017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"Know-How"</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p>
        </w:tc>
      </w:tr>
      <w:tr>
        <w:trPr>
          <w:cantSplit w:val="0"/>
          <w:tblHeader w:val="0"/>
        </w:trPr>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"Law"</w:t>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trPr>
          <w:cantSplit w:val="0"/>
          <w:tblHeader w:val="0"/>
        </w:trPr>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"Losses"</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color w:val="000000"/>
                <w:sz w:val="24"/>
                <w:szCs w:val="24"/>
                <w:rtl w:val="0"/>
              </w:rPr>
              <w:t xml:space="preserve">Loss</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"Lots"</w:t>
            </w:r>
          </w:p>
        </w:tc>
        <w:tc>
          <w:tcPr/>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right="18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lots specified in Framework Schedule 1 (Specification), if applicable;</w:t>
            </w:r>
          </w:p>
        </w:tc>
      </w:tr>
      <w:tr>
        <w:trPr>
          <w:cantSplit w:val="0"/>
          <w:tblHeader w:val="0"/>
        </w:trPr>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right="18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sum specified in the Framework Award Form payable by the Supplier to CCS in accordance with Framework Schedule 5 (Management Charges and Information);</w:t>
            </w:r>
          </w:p>
        </w:tc>
      </w:tr>
      <w:tr>
        <w:trPr>
          <w:cantSplit w:val="0"/>
          <w:tblHeader w:val="0"/>
        </w:trPr>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Information" or “MI”</w:t>
            </w:r>
          </w:p>
        </w:tc>
        <w:tc>
          <w:tcPr/>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management information specified in Framework Schedule 5 (Management Charges and Information);</w:t>
            </w:r>
          </w:p>
        </w:tc>
      </w:tr>
      <w:tr>
        <w:trPr>
          <w:cantSplit w:val="0"/>
          <w:tblHeader w:val="0"/>
        </w:trPr>
        <w:tc>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Default”</w:t>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222222"/>
                <w:sz w:val="24"/>
                <w:szCs w:val="24"/>
                <w:rtl w:val="0"/>
              </w:rPr>
              <w:t xml:space="preserve">means when</w:t>
            </w:r>
            <w:r w:rsidDel="00000000" w:rsidR="00000000" w:rsidRPr="00000000">
              <w:rPr>
                <w:rFonts w:ascii="Arial" w:cs="Arial" w:eastAsia="Arial" w:hAnsi="Arial"/>
                <w:b w:val="1"/>
                <w:color w:val="222222"/>
                <w:sz w:val="24"/>
                <w:szCs w:val="24"/>
                <w:rtl w:val="0"/>
              </w:rPr>
              <w:t xml:space="preserve"> </w:t>
            </w:r>
            <w:r w:rsidDel="00000000" w:rsidR="00000000" w:rsidRPr="00000000">
              <w:rPr>
                <w:rFonts w:ascii="Arial" w:cs="Arial" w:eastAsia="Arial" w:hAnsi="Arial"/>
                <w:color w:val="000000"/>
                <w:sz w:val="24"/>
                <w:szCs w:val="24"/>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Failure"</w:t>
            </w:r>
          </w:p>
        </w:tc>
        <w:tc>
          <w:tcPr/>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when an MI report:</w:t>
            </w:r>
          </w:p>
          <w:p w:rsidR="00000000" w:rsidDel="00000000" w:rsidP="00000000" w:rsidRDefault="00000000" w:rsidRPr="00000000" w14:paraId="0000018F">
            <w:pPr>
              <w:numPr>
                <w:ilvl w:val="1"/>
                <w:numId w:val="4"/>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contains any material errors or material omissions or a missing mandatory field; or  </w:t>
            </w:r>
          </w:p>
          <w:p w:rsidR="00000000" w:rsidDel="00000000" w:rsidP="00000000" w:rsidRDefault="00000000" w:rsidRPr="00000000" w14:paraId="00000190">
            <w:pPr>
              <w:numPr>
                <w:ilvl w:val="1"/>
                <w:numId w:val="4"/>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submitted using an incorrect MI reporting Template; or </w:t>
            </w:r>
          </w:p>
          <w:p w:rsidR="00000000" w:rsidDel="00000000" w:rsidP="00000000" w:rsidRDefault="00000000" w:rsidRPr="00000000" w14:paraId="00000191">
            <w:pPr>
              <w:numPr>
                <w:ilvl w:val="1"/>
                <w:numId w:val="4"/>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not submitted by the reporting date (including where a declaration of no business should have been filed);</w:t>
            </w:r>
          </w:p>
        </w:tc>
      </w:tr>
      <w:tr>
        <w:trPr>
          <w:cantSplit w:val="0"/>
          <w:tblHeader w:val="0"/>
        </w:trPr>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report containing Management Information submitted to the Authority in accordance with Framework Schedule 5 (Management Charges and Information);</w:t>
            </w:r>
          </w:p>
        </w:tc>
      </w:tr>
      <w:tr>
        <w:trPr>
          <w:cantSplit w:val="0"/>
          <w:tblHeader w:val="0"/>
        </w:trPr>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Reporting Template"</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form of report set out in the Annex to Framework Schedule 5 (Management Charges and Information) setting out the information the Supplier is required to supply to the Authority;</w:t>
            </w:r>
          </w:p>
        </w:tc>
      </w:tr>
      <w:tr>
        <w:trPr>
          <w:cantSplit w:val="0"/>
          <w:tblHeader w:val="0"/>
        </w:trPr>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event or task described in the Implementation Plan;</w:t>
            </w:r>
          </w:p>
        </w:tc>
      </w:tr>
      <w:tr>
        <w:trPr>
          <w:cantSplit w:val="0"/>
          <w:tblHeader w:val="0"/>
        </w:trPr>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 Date"</w:t>
            </w:r>
          </w:p>
        </w:tc>
        <w:tc>
          <w:tcPr/>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target date set out against the relevant Milestone in the Implementation Plan by which the Milestone must be Achieved;</w:t>
            </w:r>
          </w:p>
        </w:tc>
      </w:tr>
      <w:tr>
        <w:trPr>
          <w:cantSplit w:val="0"/>
          <w:tblHeader w:val="0"/>
        </w:trPr>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"Month"</w:t>
            </w:r>
          </w:p>
        </w:tc>
        <w:tc>
          <w:tcPr/>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calendar month and "</w:t>
            </w:r>
            <w:r w:rsidDel="00000000" w:rsidR="00000000" w:rsidRPr="00000000">
              <w:rPr>
                <w:rFonts w:ascii="Arial" w:cs="Arial" w:eastAsia="Arial" w:hAnsi="Arial"/>
                <w:b w:val="1"/>
                <w:color w:val="000000"/>
                <w:sz w:val="24"/>
                <w:szCs w:val="24"/>
                <w:rtl w:val="0"/>
              </w:rPr>
              <w:t xml:space="preserve">Monthly</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"National Insurance"</w:t>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contributions required by the Social Security Contributions and Benefits Act 1992 and made in accordance with the  Social Security (Contributions) Regulations 2001 (SI 2001/1004);</w:t>
            </w:r>
          </w:p>
        </w:tc>
      </w:tr>
      <w:tr>
        <w:trPr>
          <w:cantSplit w:val="0"/>
          <w:tblHeader w:val="0"/>
        </w:trPr>
        <w:tc>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IPR"</w:t>
            </w:r>
          </w:p>
        </w:tc>
        <w:tc>
          <w:tcPr/>
          <w:p w:rsidR="00000000" w:rsidDel="00000000" w:rsidP="00000000" w:rsidRDefault="00000000" w:rsidRPr="00000000" w14:paraId="0000019F">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IPR in items created by the Supplier (or by a third party on behalf of the Supplier) specifically for the purposes of a Contract and updates and amendments of these items including (but not limited to) database schema; and/or</w:t>
            </w:r>
          </w:p>
          <w:p w:rsidR="00000000" w:rsidDel="00000000" w:rsidP="00000000" w:rsidRDefault="00000000" w:rsidRPr="00000000" w14:paraId="000001A0">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shall not include the Supplier’s Existing IPR;</w:t>
            </w:r>
          </w:p>
        </w:tc>
      </w:tr>
      <w:tr>
        <w:trPr>
          <w:cantSplit w:val="0"/>
          <w:tblHeader w:val="0"/>
        </w:trPr>
        <w:tc>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"Occasion of Tax Non–Compliance"</w:t>
            </w:r>
          </w:p>
        </w:tc>
        <w:tc>
          <w:tcPr/>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t>
            </w:r>
          </w:p>
          <w:p w:rsidR="00000000" w:rsidDel="00000000" w:rsidP="00000000" w:rsidRDefault="00000000" w:rsidRPr="00000000" w14:paraId="000001A4">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is found on or after 1 April 2013 to be incorrect as a result of:</w:t>
            </w:r>
          </w:p>
          <w:p w:rsidR="00000000" w:rsidDel="00000000" w:rsidP="00000000" w:rsidRDefault="00000000" w:rsidRPr="00000000" w14:paraId="000001A5">
            <w:pPr>
              <w:numPr>
                <w:ilvl w:val="2"/>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A6">
            <w:pPr>
              <w:numPr>
                <w:ilvl w:val="2"/>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A7">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trPr>
          <w:cantSplit w:val="0"/>
          <w:tblHeader w:val="0"/>
        </w:trPr>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Book Data "</w:t>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1AA">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p>
          <w:p w:rsidR="00000000" w:rsidDel="00000000" w:rsidP="00000000" w:rsidRDefault="00000000" w:rsidRPr="00000000" w14:paraId="000001AB">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operating expenditure relating to the provision of the Deliverables including an analysis showing:</w:t>
            </w:r>
          </w:p>
          <w:p w:rsidR="00000000" w:rsidDel="00000000" w:rsidP="00000000" w:rsidRDefault="00000000" w:rsidRPr="00000000" w14:paraId="000001AC">
            <w:pPr>
              <w:numPr>
                <w:ilvl w:val="2"/>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unit costs and quantity of Goods and any other consumables and bought-in Deliverables;</w:t>
            </w:r>
          </w:p>
          <w:p w:rsidR="00000000" w:rsidDel="00000000" w:rsidP="00000000" w:rsidRDefault="00000000" w:rsidRPr="00000000" w14:paraId="000001AD">
            <w:pPr>
              <w:numPr>
                <w:ilvl w:val="2"/>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costs broken down into the number and grade/role of all Supplier Staff (free of any contingency) together with a list of agreed rates against each grade;</w:t>
            </w:r>
          </w:p>
          <w:p w:rsidR="00000000" w:rsidDel="00000000" w:rsidP="00000000" w:rsidRDefault="00000000" w:rsidRPr="00000000" w14:paraId="000001AE">
            <w:pPr>
              <w:numPr>
                <w:ilvl w:val="2"/>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of Costs underpinning those rates for each grade, being the agreed rate less the Supplier Profit Margin; and</w:t>
            </w:r>
          </w:p>
          <w:p w:rsidR="00000000" w:rsidDel="00000000" w:rsidP="00000000" w:rsidRDefault="00000000" w:rsidRPr="00000000" w14:paraId="000001AF">
            <w:pPr>
              <w:numPr>
                <w:ilvl w:val="2"/>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if allowed under the Order Form; </w:t>
            </w:r>
          </w:p>
          <w:p w:rsidR="00000000" w:rsidDel="00000000" w:rsidP="00000000" w:rsidRDefault="00000000" w:rsidRPr="00000000" w14:paraId="000001B0">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Overheads; </w:t>
            </w:r>
          </w:p>
          <w:p w:rsidR="00000000" w:rsidDel="00000000" w:rsidP="00000000" w:rsidRDefault="00000000" w:rsidRPr="00000000" w14:paraId="000001B1">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interest, expenses and any other third party financing costs incurred in relation to the provision of the Deliverables;</w:t>
            </w:r>
          </w:p>
          <w:p w:rsidR="00000000" w:rsidDel="00000000" w:rsidP="00000000" w:rsidRDefault="00000000" w:rsidRPr="00000000" w14:paraId="000001B2">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Profit achieved over the Framework Contract Period and on an annual basis;</w:t>
            </w:r>
          </w:p>
          <w:p w:rsidR="00000000" w:rsidDel="00000000" w:rsidP="00000000" w:rsidRDefault="00000000" w:rsidRPr="00000000" w14:paraId="000001B3">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confirmation that all methods of Cost apportionment and Overhead allocation are consistent with and not more onerous than such methods applied generally by the Supplier;</w:t>
            </w:r>
          </w:p>
          <w:p w:rsidR="00000000" w:rsidDel="00000000" w:rsidP="00000000" w:rsidRDefault="00000000" w:rsidRPr="00000000" w14:paraId="000001B4">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explanation of the type and value of risk and contingencies associated with the provision of the Deliverables, including the amount of money attributed to each risk and/or contingency; and</w:t>
            </w:r>
          </w:p>
          <w:p w:rsidR="00000000" w:rsidDel="00000000" w:rsidP="00000000" w:rsidRDefault="00000000" w:rsidRPr="00000000" w14:paraId="000001B5">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actual Costs profile for each Service Period;</w:t>
            </w:r>
          </w:p>
        </w:tc>
      </w:tr>
      <w:tr>
        <w:trPr>
          <w:cantSplit w:val="0"/>
          <w:tblHeader w:val="0"/>
        </w:trPr>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 order for the provision of the Deliverables placed by a Buyer with the Supplier under a Contract;</w:t>
            </w:r>
          </w:p>
        </w:tc>
      </w:tr>
      <w:tr>
        <w:trPr>
          <w:cantSplit w:val="0"/>
          <w:tblHeader w:val="0"/>
        </w:trPr>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w:t>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 Template"</w:t>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template in Framework Schedule 6 (Order Form Template and Call-Off Schedules);</w:t>
            </w:r>
          </w:p>
        </w:tc>
      </w:tr>
      <w:tr>
        <w:trPr>
          <w:cantSplit w:val="0"/>
          <w:tblHeader w:val="0"/>
        </w:trPr>
        <w:tc>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 Contracting Authority"</w:t>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actual or potential Buyer under the Framework Contract;</w:t>
            </w:r>
          </w:p>
        </w:tc>
      </w:tr>
      <w:tr>
        <w:trPr>
          <w:cantSplit w:val="0"/>
          <w:tblHeader w:val="0"/>
        </w:trPr>
        <w:tc>
          <w:tcPr/>
          <w:p w:rsidR="00000000" w:rsidDel="00000000" w:rsidP="00000000" w:rsidRDefault="00000000" w:rsidRPr="00000000" w14:paraId="000001BE">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"Overhead"</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rPr>
          <w:cantSplit w:val="0"/>
          <w:tblHeader w:val="0"/>
        </w:trPr>
        <w:tc>
          <w:tcPr/>
          <w:p w:rsidR="00000000" w:rsidDel="00000000" w:rsidP="00000000" w:rsidRDefault="00000000" w:rsidRPr="00000000" w14:paraId="000001C0">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“Parent Undertaking”</w:t>
            </w:r>
            <w:r w:rsidDel="00000000" w:rsidR="00000000" w:rsidRPr="00000000">
              <w:rPr>
                <w:rtl w:val="0"/>
              </w:rPr>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set out in section 1162 of the Companies Act 2006;</w:t>
            </w:r>
            <w:r w:rsidDel="00000000" w:rsidR="00000000" w:rsidRPr="00000000">
              <w:rPr>
                <w:rtl w:val="0"/>
              </w:rPr>
            </w:r>
          </w:p>
        </w:tc>
      </w:tr>
      <w:tr>
        <w:trPr>
          <w:cantSplit w:val="0"/>
          <w:tblHeader w:val="0"/>
        </w:trPr>
        <w:tc>
          <w:tcPr/>
          <w:p w:rsidR="00000000" w:rsidDel="00000000" w:rsidP="00000000" w:rsidRDefault="00000000" w:rsidRPr="00000000" w14:paraId="000001C2">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"Parliament"</w:t>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takes its natural meaning as interpreted by Law;</w:t>
            </w:r>
          </w:p>
        </w:tc>
      </w:tr>
      <w:tr>
        <w:trPr>
          <w:cantSplit w:val="0"/>
          <w:tblHeader w:val="0"/>
        </w:trPr>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"Party"</w:t>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context of the Framework Contract, CCS or the Supplier, and in the in the context of a Call-Off Contract the Buyer or the Supplier. "</w:t>
            </w:r>
            <w:r w:rsidDel="00000000" w:rsidR="00000000" w:rsidRPr="00000000">
              <w:rPr>
                <w:rFonts w:ascii="Arial" w:cs="Arial" w:eastAsia="Arial" w:hAnsi="Arial"/>
                <w:b w:val="1"/>
                <w:color w:val="000000"/>
                <w:sz w:val="24"/>
                <w:szCs w:val="24"/>
                <w:rtl w:val="0"/>
              </w:rPr>
              <w:t xml:space="preserve">Parties</w:t>
            </w:r>
            <w:r w:rsidDel="00000000" w:rsidR="00000000" w:rsidRPr="00000000">
              <w:rPr>
                <w:rFonts w:ascii="Arial" w:cs="Arial" w:eastAsia="Arial" w:hAnsi="Arial"/>
                <w:color w:val="000000"/>
                <w:sz w:val="24"/>
                <w:szCs w:val="24"/>
                <w:rtl w:val="0"/>
              </w:rPr>
              <w:t xml:space="preserve">" shall mean both of them where the context permits;</w:t>
            </w:r>
          </w:p>
        </w:tc>
      </w:tr>
      <w:tr>
        <w:trPr>
          <w:cantSplit w:val="0"/>
          <w:tblHeader w:val="0"/>
        </w:trPr>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Indicators" or "PIs"</w:t>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measurements and targets in respect of the Supplier’s performance of the Framework Contract set out in Framework Schedule 4 (Framework Management);</w:t>
            </w:r>
          </w:p>
        </w:tc>
      </w:tr>
      <w:tr>
        <w:trPr>
          <w:cantSplit w:val="0"/>
          <w:tblHeader w:val="0"/>
        </w:trPr>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w:t>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 Breach”</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that results, or may result, in unauthorised access to Personal Data held under this Contract, and/or actual or potential loss and/or destruction of Personal Data in breach of this Contract, including any Personal Data Breach as defined by UK GDPR;</w:t>
            </w:r>
          </w:p>
        </w:tc>
      </w:tr>
      <w:tr>
        <w:trPr>
          <w:cantSplit w:val="0"/>
          <w:tblHeader w:val="0"/>
        </w:trP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“Personnel”</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suppliers of a Party and/or of any Subcontractor and/or Subprocessor engaged in the performance of its obligations under a Contract;</w:t>
            </w:r>
          </w:p>
        </w:tc>
      </w:tr>
      <w:tr>
        <w:trPr>
          <w:cantSplit w:val="0"/>
          <w:tblHeader w:val="0"/>
        </w:trPr>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"Prescribed Person"</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legal adviser, an MP or an appropriate body which a whistle-blower may make a disclosure to as detailed in ‘Whistleblowing: list of prescribed people and bodies’, 24 November 2016, available online at: </w:t>
            </w:r>
            <w:hyperlink r:id="rId8">
              <w:r w:rsidDel="00000000" w:rsidR="00000000" w:rsidRPr="00000000">
                <w:rPr>
                  <w:rFonts w:ascii="Arial" w:cs="Arial" w:eastAsia="Arial" w:hAnsi="Arial"/>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“Print Services”</w:t>
            </w:r>
            <w:r w:rsidDel="00000000" w:rsidR="00000000" w:rsidRPr="00000000">
              <w:rPr>
                <w:rtl w:val="0"/>
              </w:rPr>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the services that the Supplier is required to provide to Buyers under Contracts placed under this Framework Contract, details of such Print Services being set out in the Specification and Tender Response Document and any Order;</w:t>
            </w:r>
          </w:p>
        </w:tc>
      </w:tr>
      <w:tr>
        <w:trPr>
          <w:cantSplit w:val="0"/>
          <w:tblHeader w:val="0"/>
        </w:trPr>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“Processing”</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“Processor”</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w:t>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 Frequency"</w:t>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conduct a Progress Meeting in accordance with Clause 6.1 as specified in the Order Form;</w:t>
            </w:r>
          </w:p>
        </w:tc>
      </w:tr>
      <w:tr>
        <w:trPr>
          <w:cantSplit w:val="0"/>
          <w:tblHeader w:val="0"/>
        </w:trPr>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 Frequency”</w:t>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deliver Progress Reports in accordance with Clause 6.1 as specified in the Order Form;</w:t>
            </w:r>
          </w:p>
        </w:tc>
      </w:tr>
      <w:tr>
        <w:trPr>
          <w:cantSplit w:val="0"/>
          <w:tblHeader w:val="0"/>
        </w:trPr>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“Prohibited Acts”</w:t>
            </w:r>
          </w:p>
        </w:tc>
        <w:tc>
          <w:tcPr/>
          <w:p w:rsidR="00000000" w:rsidDel="00000000" w:rsidP="00000000" w:rsidRDefault="00000000" w:rsidRPr="00000000" w14:paraId="000001DF">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directly or indirectly offer, promise or give any person working for or engaged by a Buyer or any other public body a financial or other advantage to:</w:t>
            </w:r>
          </w:p>
          <w:p w:rsidR="00000000" w:rsidDel="00000000" w:rsidP="00000000" w:rsidRDefault="00000000" w:rsidRPr="00000000" w14:paraId="000001E0">
            <w:pPr>
              <w:numPr>
                <w:ilvl w:val="2"/>
                <w:numId w:val="2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induce that person to perform improperly a relevant function or activity; or</w:t>
            </w:r>
          </w:p>
          <w:p w:rsidR="00000000" w:rsidDel="00000000" w:rsidP="00000000" w:rsidRDefault="00000000" w:rsidRPr="00000000" w14:paraId="000001E1">
            <w:pPr>
              <w:numPr>
                <w:ilvl w:val="2"/>
                <w:numId w:val="2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reward that person for improper performance of a relevant function or activity; </w:t>
            </w:r>
          </w:p>
          <w:p w:rsidR="00000000" w:rsidDel="00000000" w:rsidP="00000000" w:rsidRDefault="00000000" w:rsidRPr="00000000" w14:paraId="000001E2">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directly or indirectly request, agree to receive or accept any financial or other advantage as an inducement or a reward for improper performance of a relevant function or activity in connection with each Contract; or</w:t>
            </w:r>
          </w:p>
          <w:p w:rsidR="00000000" w:rsidDel="00000000" w:rsidP="00000000" w:rsidRDefault="00000000" w:rsidRPr="00000000" w14:paraId="000001E3">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committing any offence:</w:t>
              <w:tab/>
            </w:r>
          </w:p>
          <w:p w:rsidR="00000000" w:rsidDel="00000000" w:rsidP="00000000" w:rsidRDefault="00000000" w:rsidRPr="00000000" w14:paraId="000001E4">
            <w:pPr>
              <w:numPr>
                <w:ilvl w:val="2"/>
                <w:numId w:val="2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the Bribery Act 2010 (or any legislation repealed or revoked by such Act); or</w:t>
            </w:r>
          </w:p>
          <w:p w:rsidR="00000000" w:rsidDel="00000000" w:rsidP="00000000" w:rsidRDefault="00000000" w:rsidRPr="00000000" w14:paraId="000001E5">
            <w:pPr>
              <w:numPr>
                <w:ilvl w:val="2"/>
                <w:numId w:val="2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legislation or common law concerning fraudulent acts; or</w:t>
            </w:r>
          </w:p>
          <w:p w:rsidR="00000000" w:rsidDel="00000000" w:rsidP="00000000" w:rsidRDefault="00000000" w:rsidRPr="00000000" w14:paraId="000001E6">
            <w:pPr>
              <w:numPr>
                <w:ilvl w:val="2"/>
                <w:numId w:val="2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defrauding, attempting to defraud or conspiring to defraud a Buyer or other public body; or </w:t>
            </w:r>
          </w:p>
          <w:p w:rsidR="00000000" w:rsidDel="00000000" w:rsidP="00000000" w:rsidRDefault="00000000" w:rsidRPr="00000000" w14:paraId="000001E7">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activity, practice or conduct which would constitute one of the offences listed under (c) above if such activity, practice or conduct had been carried out in the UK;</w:t>
            </w:r>
          </w:p>
        </w:tc>
      </w:tr>
      <w:tr>
        <w:trPr>
          <w:cantSplit w:val="0"/>
          <w:tblHeader w:val="0"/>
        </w:trP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“Protective Measures”</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trPr>
          <w:cantSplit w:val="0"/>
          <w:tblHeader w:val="0"/>
        </w:trPr>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“Recall”</w:t>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by the Supplier to return Goods to the Supplier or the manufacturer after the discovery of safety issues or defects (including defects in the right IPR rights) that might endanger health or hinder performance;</w:t>
            </w:r>
          </w:p>
        </w:tc>
      </w:tr>
      <w:tr>
        <w:trPr>
          <w:cantSplit w:val="0"/>
          <w:tblHeader w:val="0"/>
        </w:trPr>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"Recipient Party"</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plan (or revised plan) to rectify it’s breach using the template in Joint Schedule 10 (Rectification Plan) which shall include:</w:t>
            </w:r>
          </w:p>
          <w:p w:rsidR="00000000" w:rsidDel="00000000" w:rsidP="00000000" w:rsidRDefault="00000000" w:rsidRPr="00000000" w14:paraId="000001F0">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full details of the Default that has occurred, including a root cause analysis; </w:t>
            </w:r>
          </w:p>
          <w:p w:rsidR="00000000" w:rsidDel="00000000" w:rsidP="00000000" w:rsidRDefault="00000000" w:rsidRPr="00000000" w14:paraId="000001F1">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actual or anticipated effect of the Default; and</w:t>
            </w:r>
          </w:p>
          <w:p w:rsidR="00000000" w:rsidDel="00000000" w:rsidP="00000000" w:rsidRDefault="00000000" w:rsidRPr="00000000" w14:paraId="000001F2">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steps which the Supplier proposes to take to rectify the Default (if applicable) and to prevent such Default from recurring, including timescales for such steps and for the rectification of the Default (where applicable);</w:t>
            </w:r>
          </w:p>
        </w:tc>
      </w:tr>
      <w:tr>
        <w:trPr>
          <w:cantSplit w:val="0"/>
          <w:tblHeader w:val="0"/>
        </w:trPr>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 Process"</w:t>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set out in Clause 10.3.1 to 10.3.4 (Rectification Plan Process); </w:t>
            </w:r>
          </w:p>
        </w:tc>
      </w:tr>
      <w:tr>
        <w:trPr>
          <w:cantSplit w:val="0"/>
          <w:tblHeader w:val="0"/>
        </w:trPr>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"Regulations"</w:t>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and/or the Public Contracts (Scotland) Regulations 2015 (as the context requires);</w:t>
            </w:r>
          </w:p>
        </w:tc>
      </w:tr>
      <w:tr>
        <w:trPr>
          <w:cantSplit w:val="0"/>
          <w:tblHeader w:val="0"/>
        </w:trPr>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"Reimbursable Expenses"</w:t>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1F9">
            <w:pPr>
              <w:numPr>
                <w:ilvl w:val="1"/>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1FA">
            <w:pPr>
              <w:numPr>
                <w:ilvl w:val="1"/>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subsistence expenses incurred by Supplier Staff whilst performing the Services at their usual place of work, or to and from the premises at which the Services are principally to be performed;</w:t>
            </w:r>
          </w:p>
        </w:tc>
      </w:tr>
      <w:tr>
        <w:trPr>
          <w:cantSplit w:val="0"/>
          <w:tblHeader w:val="0"/>
        </w:trPr>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w:t>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Authority's Confidential Information"</w:t>
            </w:r>
          </w:p>
        </w:tc>
        <w:tc>
          <w:tcPr/>
          <w:p w:rsidR="00000000" w:rsidDel="00000000" w:rsidP="00000000" w:rsidRDefault="00000000" w:rsidRPr="00000000" w14:paraId="000001FE">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1FF">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the above;</w:t>
            </w:r>
          </w:p>
        </w:tc>
      </w:tr>
      <w:tr>
        <w:trPr>
          <w:cantSplit w:val="0"/>
          <w:tblHeader w:val="0"/>
        </w:trPr>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Requirements"</w:t>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applicable Law relating to bribery, corruption and fraud, including the Bribery Act 2010 and any guidance issued by the Secretary of State pursuant to section 9 of the Bribery Act 2010;</w:t>
            </w:r>
          </w:p>
        </w:tc>
      </w:tr>
      <w:tr>
        <w:trPr>
          <w:cantSplit w:val="0"/>
          <w:tblHeader w:val="0"/>
        </w:trPr>
        <w:tc>
          <w:tcPr/>
          <w:p w:rsidR="00000000" w:rsidDel="00000000" w:rsidP="00000000" w:rsidRDefault="00000000" w:rsidRPr="00000000" w14:paraId="0000020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Tax Authority"</w:t>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"Reminder Notice"</w:t>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notice sent in accordance with Clause 10.5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Deliverables"</w:t>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rPr>
          <w:cantSplit w:val="0"/>
          <w:tblHeader w:val="0"/>
        </w:trPr>
        <w:tc>
          <w:tcPr/>
          <w:p w:rsidR="00000000" w:rsidDel="00000000" w:rsidP="00000000" w:rsidRDefault="00000000" w:rsidRPr="00000000" w14:paraId="0000020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Subcontractor"</w:t>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Subcontractor of the Replacement Supplier to whom Transferring Supplier Employees will transfer on a Service Transfer Date (or any Subcontractor of any such Subcontractor); </w:t>
            </w:r>
          </w:p>
        </w:tc>
      </w:tr>
      <w:tr>
        <w:trPr>
          <w:cantSplit w:val="0"/>
          <w:tblHeader w:val="0"/>
        </w:trPr>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Supplier"</w:t>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"Request For Information"</w:t>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"Required Insurances"</w:t>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insurances required by Joint Schedule 3 (Insurance Requirements) or any additional insurances specified in the Order Form; </w:t>
            </w:r>
          </w:p>
        </w:tc>
      </w:tr>
      <w:tr>
        <w:trPr>
          <w:cantSplit w:val="0"/>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"Satisfaction Certificate"</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trPr>
          <w:cantSplit w:val="0"/>
          <w:tblHeader w:val="0"/>
        </w:trPr>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Management Plan"</w:t>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security management plan prepared pursuant to Call-Off Schedule 9 (Security) (if applicable); </w:t>
            </w:r>
          </w:p>
        </w:tc>
      </w:tr>
      <w:tr>
        <w:trPr>
          <w:cantSplit w:val="0"/>
          <w:tblHeader w:val="0"/>
        </w:trPr>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Policy"</w:t>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security policy, referred to in the Order Form, in force as at the Call-Off Start Date (a copy of which has been supplied to the Supplier), as updated from time to time and notified to the Supplier;</w:t>
            </w:r>
          </w:p>
        </w:tc>
      </w:tr>
      <w:tr>
        <w:trPr>
          <w:cantSplit w:val="0"/>
          <w:tblHeader w:val="0"/>
        </w:trPr>
        <w:tc>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"Self Audit Certificate"</w:t>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certificate in the form as set out in Framework Schedule 8 (Self Audit Certificate);</w:t>
            </w:r>
          </w:p>
        </w:tc>
      </w:tr>
      <w:tr>
        <w:trPr>
          <w:cantSplit w:val="0"/>
          <w:tblHeader w:val="0"/>
        </w:trPr>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"Serious Fraud Office"</w:t>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Levels”</w:t>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 levels applicable to the provision of the Deliverables under the Call-Off Contract (which, where Call-Off Schedule 14 (Service Levels) is used in this Contract, are specified in the Annex to Part A of such Schedule);</w:t>
            </w:r>
          </w:p>
        </w:tc>
      </w:tr>
      <w:tr>
        <w:trPr>
          <w:cantSplit w:val="0"/>
          <w:tblHeader w:val="0"/>
        </w:trPr>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Period"</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21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"Services"</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services made available by the Supplier as specified in Framework Schedule 1 (Specification) and in relation to a Call-Off Contract as specified in the Order Form;</w:t>
            </w:r>
          </w:p>
        </w:tc>
      </w:tr>
      <w:tr>
        <w:trPr>
          <w:cantSplit w:val="0"/>
          <w:tblHeader w:val="0"/>
        </w:trPr>
        <w:tc>
          <w:tcPr/>
          <w:p w:rsidR="00000000" w:rsidDel="00000000" w:rsidP="00000000" w:rsidRDefault="00000000" w:rsidRPr="00000000" w14:paraId="00000221">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Transfer"</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transfer of the Deliverables (or any part of the Deliverables), for whatever reason, from the Supplier or any Subcontractor to a Replacement Supplier or a Replacement Subcontractor;</w:t>
            </w:r>
          </w:p>
        </w:tc>
      </w:tr>
      <w:tr>
        <w:trPr>
          <w:cantSplit w:val="0"/>
          <w:tblHeader w:val="0"/>
        </w:trPr>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highlight w:val="green"/>
              </w:rPr>
            </w:pPr>
            <w:r w:rsidDel="00000000" w:rsidR="00000000" w:rsidRPr="00000000">
              <w:rPr>
                <w:rFonts w:ascii="Arial" w:cs="Arial" w:eastAsia="Arial" w:hAnsi="Arial"/>
                <w:b w:val="1"/>
                <w:color w:val="000000"/>
                <w:sz w:val="24"/>
                <w:szCs w:val="24"/>
                <w:rtl w:val="0"/>
              </w:rPr>
              <w:t xml:space="preserve">"Service Transfer Date"</w:t>
            </w:r>
            <w:r w:rsidDel="00000000" w:rsidR="00000000" w:rsidRPr="00000000">
              <w:rPr>
                <w:rtl w:val="0"/>
              </w:rPr>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a Service Transfer;</w:t>
            </w:r>
          </w:p>
        </w:tc>
      </w:tr>
      <w:tr>
        <w:trPr>
          <w:cantSplit w:val="0"/>
          <w:tblHeader w:val="0"/>
        </w:trPr>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"Sites"</w:t>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premises (including the Buyer Premises, the Supplier’s premises or third party premises) from, to or at which:</w:t>
            </w:r>
          </w:p>
          <w:p w:rsidR="00000000" w:rsidDel="00000000" w:rsidP="00000000" w:rsidRDefault="00000000" w:rsidRPr="00000000" w14:paraId="00000227">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are (or are to be) provided; or</w:t>
            </w:r>
          </w:p>
          <w:p w:rsidR="00000000" w:rsidDel="00000000" w:rsidP="00000000" w:rsidRDefault="00000000" w:rsidRPr="00000000" w14:paraId="00000228">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manages, organises or otherwise directs the provision or the use of the Deliverables;</w:t>
            </w:r>
          </w:p>
        </w:tc>
      </w:tr>
      <w:tr>
        <w:trPr>
          <w:cantSplit w:val="0"/>
          <w:trHeight w:val="945" w:hRule="atLeast"/>
          <w:tblHeader w:val="0"/>
        </w:trPr>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"SME"</w:t>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rHeight w:val="945" w:hRule="atLeast"/>
          <w:tblHeader w:val="0"/>
        </w:trPr>
        <w:tc>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Terms"</w:t>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Clauses set out in the Framework Award Form or Order Form which shall form part of the respective Contract;</w:t>
            </w:r>
          </w:p>
        </w:tc>
      </w:tr>
      <w:tr>
        <w:trPr>
          <w:cantSplit w:val="0"/>
          <w:trHeight w:val="945" w:hRule="atLeast"/>
          <w:tblHeader w:val="0"/>
        </w:trPr>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 Change in Law"</w:t>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Start Date;</w:t>
            </w:r>
          </w:p>
        </w:tc>
      </w:tr>
      <w:tr>
        <w:trPr>
          <w:cantSplit w:val="0"/>
          <w:trHeight w:val="945" w:hRule="atLeast"/>
          <w:tblHeader w:val="0"/>
        </w:trPr>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"Specification"</w:t>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specification set out in Framework Schedule 1 (Specification), as may, in relation to a Call-Off Contract, be supplemented by the Order Form;</w:t>
            </w:r>
          </w:p>
        </w:tc>
      </w:tr>
      <w:tr>
        <w:trPr>
          <w:cantSplit w:val="0"/>
          <w:tblHeader w:val="0"/>
        </w:trPr>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"Standards"</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w:t>
            </w:r>
          </w:p>
          <w:p w:rsidR="00000000" w:rsidDel="00000000" w:rsidP="00000000" w:rsidRDefault="00000000" w:rsidRPr="00000000" w14:paraId="00000233">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234">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in the specification in Schedule 1 (Specification);</w:t>
            </w:r>
          </w:p>
          <w:p w:rsidR="00000000" w:rsidDel="00000000" w:rsidP="00000000" w:rsidRDefault="00000000" w:rsidRPr="00000000" w14:paraId="00000235">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by the Buyer in the Order Form or agreed between the Parties from time to time;</w:t>
            </w:r>
          </w:p>
          <w:p w:rsidR="00000000" w:rsidDel="00000000" w:rsidP="00000000" w:rsidRDefault="00000000" w:rsidRPr="00000000" w14:paraId="00000236">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Government codes of practice and guidance applicable from time to time;</w:t>
            </w:r>
          </w:p>
        </w:tc>
      </w:tr>
      <w:tr>
        <w:trPr>
          <w:cantSplit w:val="0"/>
          <w:tblHeader w:val="0"/>
        </w:trPr>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23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"Statement of Requirements"</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"Storage Media"</w:t>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 of any device that is capable of storing and retrieving data; </w:t>
            </w:r>
          </w:p>
        </w:tc>
      </w:tr>
      <w:tr>
        <w:trPr>
          <w:cantSplit w:val="0"/>
          <w:tblHeader w:val="0"/>
        </w:trPr>
        <w:tc>
          <w:tcPr/>
          <w:p w:rsidR="00000000" w:rsidDel="00000000" w:rsidP="00000000" w:rsidRDefault="00000000" w:rsidRPr="00000000" w14:paraId="0000023D">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23F">
            <w:pPr>
              <w:numPr>
                <w:ilvl w:val="1"/>
                <w:numId w:val="2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the Deliverables (or any part of them);</w:t>
            </w:r>
          </w:p>
          <w:p w:rsidR="00000000" w:rsidDel="00000000" w:rsidP="00000000" w:rsidRDefault="00000000" w:rsidRPr="00000000" w14:paraId="00000240">
            <w:pPr>
              <w:numPr>
                <w:ilvl w:val="1"/>
                <w:numId w:val="2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facilities or services necessary for the provision of the Deliverables (or any part of them); and/or</w:t>
            </w:r>
          </w:p>
          <w:p w:rsidR="00000000" w:rsidDel="00000000" w:rsidP="00000000" w:rsidRDefault="00000000" w:rsidRPr="00000000" w14:paraId="00000241">
            <w:pPr>
              <w:numPr>
                <w:ilvl w:val="1"/>
                <w:numId w:val="2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responsible for the management, direction or control of the provision of the Deliverables (or any part of them);</w:t>
            </w:r>
          </w:p>
        </w:tc>
      </w:tr>
      <w:tr>
        <w:trPr>
          <w:cantSplit w:val="0"/>
          <w:tblHeader w:val="0"/>
        </w:trPr>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w:t>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"Subprocessor"</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appointed to process Personal Data on behalf of that Processor related to a Contract;</w:t>
            </w:r>
          </w:p>
        </w:tc>
      </w:tr>
      <w:tr>
        <w:trPr>
          <w:cantSplit w:val="0"/>
          <w:tblHeader w:val="0"/>
        </w:trPr>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“Subsidiary Undertaking”</w:t>
            </w:r>
            <w:r w:rsidDel="00000000" w:rsidR="00000000" w:rsidRPr="00000000">
              <w:rPr>
                <w:rtl w:val="0"/>
              </w:rPr>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set out in section 1162 of the Companies Act 2006;</w:t>
            </w:r>
            <w:r w:rsidDel="00000000" w:rsidR="00000000" w:rsidRPr="00000000">
              <w:rPr>
                <w:rtl w:val="0"/>
              </w:rPr>
            </w:r>
          </w:p>
        </w:tc>
      </w:tr>
      <w:tr>
        <w:trPr>
          <w:cantSplit w:val="0"/>
          <w:tblHeader w:val="0"/>
        </w:trPr>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“Supplier Group”</w:t>
            </w:r>
            <w:r w:rsidDel="00000000" w:rsidR="00000000" w:rsidRPr="00000000">
              <w:rPr>
                <w:rtl w:val="0"/>
              </w:rPr>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 its Dependent Parent Undertakings and all Subsidiary Undertakings and Associates of such Dependent Parent Undertakings; and</w:t>
            </w:r>
            <w:r w:rsidDel="00000000" w:rsidR="00000000" w:rsidRPr="00000000">
              <w:rPr>
                <w:rtl w:val="0"/>
              </w:rPr>
            </w:r>
          </w:p>
        </w:tc>
      </w:tr>
      <w:tr>
        <w:trPr>
          <w:cantSplit w:val="0"/>
          <w:tblHeader w:val="0"/>
        </w:trPr>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firm or company identified in the Framework Award Form;</w:t>
            </w:r>
          </w:p>
        </w:tc>
      </w:tr>
      <w:tr>
        <w:trPr>
          <w:cantSplit w:val="0"/>
          <w:tblHeader w:val="0"/>
        </w:trPr>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Assets"</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Authorised Representative"</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Confidential Information"</w:t>
            </w:r>
          </w:p>
        </w:tc>
        <w:tc>
          <w:tcPr/>
          <w:p w:rsidR="00000000" w:rsidDel="00000000" w:rsidP="00000000" w:rsidRDefault="00000000" w:rsidRPr="00000000" w14:paraId="00000251">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however it is conveyed, that relates to the business, affairs, developments, IPR of the Supplier (including the Supplier Existing IPR) trade secrets, Know-How, and/or personnel of the Supplier; </w:t>
            </w:r>
          </w:p>
          <w:p w:rsidR="00000000" w:rsidDel="00000000" w:rsidP="00000000" w:rsidRDefault="00000000" w:rsidRPr="00000000" w14:paraId="00000252">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000000" w:rsidDel="00000000" w:rsidP="00000000" w:rsidRDefault="00000000" w:rsidRPr="00000000" w14:paraId="00000253">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(a) and (b) above;</w:t>
            </w:r>
          </w:p>
        </w:tc>
      </w:tr>
      <w:tr>
        <w:trPr>
          <w:cantSplit w:val="0"/>
          <w:tblHeader w:val="0"/>
        </w:trPr>
        <w:tc>
          <w:tcPr/>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1134"/>
              </w:tabs>
              <w:spacing w:after="120" w:before="120" w:lineRule="auto"/>
              <w:ind w:left="928"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Contract Manager </w:t>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leader="none" w:pos="1134"/>
              </w:tabs>
              <w:spacing w:after="120" w:before="120" w:lineRule="auto"/>
              <w:ind w:left="928"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tl w:val="0"/>
              </w:rPr>
            </w:r>
          </w:p>
        </w:tc>
      </w:tr>
      <w:tr>
        <w:trPr>
          <w:cantSplit w:val="0"/>
          <w:tblHeader w:val="0"/>
        </w:trPr>
        <w:tc>
          <w:tcPr/>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Equipment"</w:t>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w:t>
            </w:r>
          </w:p>
        </w:tc>
      </w:tr>
      <w:tr>
        <w:trPr>
          <w:cantSplit w:val="0"/>
          <w:tblHeader w:val="0"/>
        </w:trPr>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Marketing Contact"</w:t>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the person identified in the Framework Award Form;</w:t>
            </w:r>
          </w:p>
        </w:tc>
      </w:tr>
      <w:tr>
        <w:trPr>
          <w:cantSplit w:val="0"/>
          <w:tblHeader w:val="0"/>
        </w:trPr>
        <w:tc>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Non-Performance"</w:t>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failed to:</w:t>
            </w:r>
          </w:p>
          <w:p w:rsidR="00000000" w:rsidDel="00000000" w:rsidP="00000000" w:rsidRDefault="00000000" w:rsidRPr="00000000" w14:paraId="0000025C">
            <w:pPr>
              <w:numPr>
                <w:ilvl w:val="1"/>
                <w:numId w:val="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Achieve a Milestone by its Milestone Date;</w:t>
            </w:r>
          </w:p>
          <w:p w:rsidR="00000000" w:rsidDel="00000000" w:rsidP="00000000" w:rsidRDefault="00000000" w:rsidRPr="00000000" w14:paraId="0000025D">
            <w:pPr>
              <w:numPr>
                <w:ilvl w:val="1"/>
                <w:numId w:val="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the Goods and/or Services in accordance with the Service Levels ; and/or</w:t>
            </w:r>
          </w:p>
          <w:p w:rsidR="00000000" w:rsidDel="00000000" w:rsidP="00000000" w:rsidRDefault="00000000" w:rsidRPr="00000000" w14:paraId="0000025E">
            <w:pPr>
              <w:numPr>
                <w:ilvl w:val="1"/>
                <w:numId w:val="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comply with an obligation under a Contract;</w:t>
            </w:r>
          </w:p>
        </w:tc>
      </w:tr>
      <w:tr>
        <w:trPr>
          <w:cantSplit w:val="0"/>
          <w:tblHeader w:val="0"/>
        </w:trPr>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 Margin"</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Staff"</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contractors of the Supplier and/or of any Subcontractor engaged in the performance of the Supplier’s obligations under a Contract;</w:t>
            </w:r>
          </w:p>
        </w:tc>
      </w:tr>
      <w:tr>
        <w:trPr>
          <w:cantSplit w:val="0"/>
          <w:tblHeader w:val="0"/>
        </w:trPr>
        <w:tc>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"Supporting Documentation"</w:t>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p>
        </w:tc>
      </w:tr>
      <w:tr>
        <w:trPr>
          <w:cantSplit w:val="0"/>
          <w:tblHeader w:val="0"/>
        </w:trPr>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“Tax”</w:t>
            </w:r>
          </w:p>
        </w:tc>
        <w:tc>
          <w:tcPr/>
          <w:p w:rsidR="00000000" w:rsidDel="00000000" w:rsidP="00000000" w:rsidRDefault="00000000" w:rsidRPr="00000000" w14:paraId="00000268">
            <w:pPr>
              <w:numPr>
                <w:ilvl w:val="0"/>
                <w:numId w:val="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forms of taxation whether direct or indirect;</w:t>
            </w:r>
          </w:p>
          <w:p w:rsidR="00000000" w:rsidDel="00000000" w:rsidP="00000000" w:rsidRDefault="00000000" w:rsidRPr="00000000" w14:paraId="00000269">
            <w:pPr>
              <w:numPr>
                <w:ilvl w:val="0"/>
                <w:numId w:val="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national insurance contributions in the United Kingdom and similar contributions or obligations in any other jurisdiction;</w:t>
            </w:r>
          </w:p>
          <w:p w:rsidR="00000000" w:rsidDel="00000000" w:rsidP="00000000" w:rsidRDefault="00000000" w:rsidRPr="00000000" w14:paraId="0000026A">
            <w:pPr>
              <w:numPr>
                <w:ilvl w:val="0"/>
                <w:numId w:val="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w:t>
            </w:r>
          </w:p>
          <w:p w:rsidR="00000000" w:rsidDel="00000000" w:rsidP="00000000" w:rsidRDefault="00000000" w:rsidRPr="00000000" w14:paraId="0000026B">
            <w:pPr>
              <w:numPr>
                <w:ilvl w:val="0"/>
                <w:numId w:val="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penalty, fine, surcharge, interest, charges or costs relating to any of the above,</w:t>
            </w:r>
          </w:p>
          <w:p w:rsidR="00000000" w:rsidDel="00000000" w:rsidP="00000000" w:rsidRDefault="00000000" w:rsidRPr="00000000" w14:paraId="000002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case wherever chargeable and whether of the United Kingdom and any other jurisdiction;</w:t>
            </w:r>
          </w:p>
        </w:tc>
      </w:tr>
      <w:tr>
        <w:trPr>
          <w:cantSplit w:val="0"/>
          <w:tblHeader w:val="0"/>
        </w:trPr>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Notice"</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Issue"</w:t>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variance or non-conformity of the Deliverables from their requirements as set out in a Call-Off Contract;</w:t>
            </w:r>
          </w:p>
        </w:tc>
      </w:tr>
      <w:tr>
        <w:trPr>
          <w:cantSplit w:val="0"/>
          <w:tblHeader w:val="0"/>
        </w:trPr>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Plan"</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plan:</w:t>
            </w:r>
          </w:p>
          <w:p w:rsidR="00000000" w:rsidDel="00000000" w:rsidP="00000000" w:rsidRDefault="00000000" w:rsidRPr="00000000" w14:paraId="00000273">
            <w:pPr>
              <w:numPr>
                <w:ilvl w:val="1"/>
                <w:numId w:val="7"/>
              </w:numPr>
              <w:pBdr>
                <w:top w:space="0" w:sz="0" w:val="nil"/>
                <w:left w:space="0" w:sz="0" w:val="nil"/>
                <w:bottom w:space="0" w:sz="0" w:val="nil"/>
                <w:right w:space="0" w:sz="0" w:val="nil"/>
                <w:between w:space="0" w:sz="0" w:val="nil"/>
              </w:pBdr>
              <w:tabs>
                <w:tab w:val="left" w:leader="none" w:pos="-576"/>
                <w:tab w:val="left" w:leader="none" w:pos="141"/>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Testing of the Deliverables; and </w:t>
            </w:r>
          </w:p>
          <w:p w:rsidR="00000000" w:rsidDel="00000000" w:rsidP="00000000" w:rsidRDefault="00000000" w:rsidRPr="00000000" w14:paraId="00000274">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setting out other agreed criteria related to the achievement of Milestones;</w:t>
            </w:r>
          </w:p>
        </w:tc>
      </w:tr>
      <w:tr>
        <w:trPr>
          <w:cantSplit w:val="0"/>
          <w:tblHeader w:val="0"/>
        </w:trPr>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"Tests "</w:t>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tests required to be carried out pursuant to a Call-Off Contract as set out in the Test Plan or elsewhere in a Call-Off Contract and "</w:t>
            </w:r>
            <w:r w:rsidDel="00000000" w:rsidR="00000000" w:rsidRPr="00000000">
              <w:rPr>
                <w:rFonts w:ascii="Arial" w:cs="Arial" w:eastAsia="Arial" w:hAnsi="Arial"/>
                <w:b w:val="1"/>
                <w:color w:val="000000"/>
                <w:sz w:val="24"/>
                <w:szCs w:val="24"/>
                <w:rtl w:val="0"/>
              </w:rPr>
              <w:t xml:space="preserve">Tested</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Testing</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"Third Party IPR"</w:t>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 owned by a third party which is or will be used by the Supplier for the purpose of providing the Deliverables;</w:t>
            </w:r>
          </w:p>
        </w:tc>
      </w:tr>
      <w:tr>
        <w:trPr>
          <w:cantSplit w:val="0"/>
          <w:tblHeader w:val="0"/>
        </w:trPr>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Supplier Employees"</w:t>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27B">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Information"</w:t>
            </w:r>
          </w:p>
        </w:tc>
        <w:tc>
          <w:tcPr/>
          <w:p w:rsidR="00000000" w:rsidDel="00000000" w:rsidP="00000000" w:rsidRDefault="00000000" w:rsidRPr="00000000" w14:paraId="0000027C">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Transparency Reports and the content of a Contract, including any changes to this Contract agreed from time to time, except for – </w:t>
            </w:r>
          </w:p>
          <w:p w:rsidR="00000000" w:rsidDel="00000000" w:rsidP="00000000" w:rsidRDefault="00000000" w:rsidRPr="00000000" w14:paraId="0000027D">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any information which is exempt from disclosure in accordance with the provisions of the FOIA, which shall be determined by the Relevant Authority; and</w:t>
            </w:r>
          </w:p>
          <w:p w:rsidR="00000000" w:rsidDel="00000000" w:rsidP="00000000" w:rsidRDefault="00000000" w:rsidRPr="00000000" w14:paraId="0000027E">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w:t>
              <w:tab/>
              <w:t xml:space="preserve">Commercially Sensitive Information;</w:t>
            </w:r>
          </w:p>
          <w:p w:rsidR="00000000" w:rsidDel="00000000" w:rsidP="00000000" w:rsidRDefault="00000000" w:rsidRPr="00000000" w14:paraId="0000027F">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Reports"</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relating to the Deliverables and performance of the Contracts which the Supplier is required to provide to the Buyer in accordance with the reporting requirements in Call-Off Schedule 1 (Transparency Reports);</w:t>
            </w:r>
          </w:p>
        </w:tc>
      </w:tr>
      <w:tr>
        <w:trPr>
          <w:cantSplit w:val="0"/>
          <w:tblHeader w:val="0"/>
        </w:trPr>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w:t>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to a Contract;</w:t>
            </w:r>
          </w:p>
        </w:tc>
      </w:tr>
      <w:tr>
        <w:trPr>
          <w:cantSplit w:val="0"/>
          <w:tblHeader w:val="0"/>
        </w:trPr>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Form"</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form set out in Joint Schedule 2 (Variation Form);</w:t>
            </w:r>
          </w:p>
        </w:tc>
      </w:tr>
      <w:tr>
        <w:trPr>
          <w:cantSplit w:val="0"/>
          <w:tblHeader w:val="0"/>
        </w:trPr>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Procedure"</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procedure set out in Clause 24 (Changing the contract);</w:t>
            </w:r>
          </w:p>
        </w:tc>
      </w:tr>
      <w:tr>
        <w:trPr>
          <w:cantSplit w:val="0"/>
          <w:tblHeader w:val="0"/>
        </w:trPr>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"VAT"</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"VCSE"</w:t>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"Worker"</w:t>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trPr>
          <w:cantSplit w:val="0"/>
          <w:tblHeader w:val="0"/>
        </w:trPr>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"Working Day"</w:t>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day other than a Saturday or Sunday or public holiday in England and Wales unless specified otherwise by the Parties in the Order Form;</w:t>
            </w:r>
          </w:p>
        </w:tc>
      </w:tr>
      <w:tr>
        <w:trPr>
          <w:cantSplit w:val="0"/>
          <w:tblHeader w:val="0"/>
        </w:trPr>
        <w:tc>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Day"</w:t>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7.5 Work Hours, whether or not such hours are worked consecutively and whether or not they are worked on the same day; and</w:t>
            </w:r>
          </w:p>
        </w:tc>
      </w:tr>
      <w:tr>
        <w:trPr>
          <w:cantSplit w:val="0"/>
          <w:tblHeader w:val="0"/>
        </w:trPr>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Hours"</w:t>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hours spent by the Supplier Staff properly working on the provision of the Deliverables including time spent travelling (other than to and from the Supplier's offices, or to and from the Sites) but excluding lunch breaks.</w:t>
            </w:r>
          </w:p>
        </w:tc>
      </w:tr>
    </w:tbl>
    <w:p w:rsidR="00000000" w:rsidDel="00000000" w:rsidP="00000000" w:rsidRDefault="00000000" w:rsidRPr="00000000" w14:paraId="00000294">
      <w:pPr>
        <w:spacing w:after="0" w:line="240" w:lineRule="auto"/>
        <w:rPr>
          <w:rFonts w:ascii="Arial" w:cs="Arial" w:eastAsia="Arial" w:hAnsi="Arial"/>
          <w:sz w:val="24"/>
          <w:szCs w:val="24"/>
        </w:rPr>
      </w:pPr>
      <w:bookmarkStart w:colFirst="0" w:colLast="0" w:name="_heading=h.gjdgxs" w:id="5"/>
      <w:bookmarkEnd w:id="5"/>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9">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color w:val="bfbfbf"/>
        <w:sz w:val="20"/>
        <w:szCs w:val="20"/>
        <w:rtl w:val="0"/>
      </w:rPr>
      <w:t xml:space="preserve">Model Version: v3.0</w:t>
      <w:tab/>
      <w:tab/>
      <w:tab/>
      <w:tab/>
      <w:tab/>
      <w:tab/>
      <w:tab/>
      <w:tab/>
      <w:tab/>
    </w:r>
    <w:r w:rsidDel="00000000" w:rsidR="00000000" w:rsidRPr="00000000">
      <w:rPr>
        <w:rFonts w:ascii="Arial" w:cs="Arial" w:eastAsia="Arial" w:hAnsi="Arial"/>
        <w:sz w:val="20"/>
        <w:szCs w:val="2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29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v3.12</w:t>
      <w:tab/>
    </w:r>
    <w:r w:rsidDel="00000000" w:rsidR="00000000" w:rsidRPr="00000000">
      <w:rPr>
        <w:rFonts w:ascii="Arial" w:cs="Arial" w:eastAsia="Arial" w:hAnsi="Arial"/>
        <w:color w:val="bfbfbf"/>
        <w:sz w:val="20"/>
        <w:szCs w:val="20"/>
        <w:rtl w:val="0"/>
      </w:rPr>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1 (Definitions) </w:t>
    </w:r>
  </w:p>
  <w:p w:rsidR="00000000" w:rsidDel="00000000" w:rsidP="00000000" w:rsidRDefault="00000000" w:rsidRPr="00000000" w14:paraId="0000029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bfbfbf"/>
        <w:sz w:val="20"/>
        <w:szCs w:val="20"/>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 (Definitions) </w:t>
    </w:r>
  </w:p>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center" w:leader="none" w:pos="4513"/>
        <w:tab w:val="right" w:leader="none" w:pos="9026"/>
        <w:tab w:val="left" w:leader="none" w:pos="3800"/>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2023</w:t>
    </w:r>
    <w:r w:rsidDel="00000000" w:rsidR="00000000" w:rsidRPr="00000000">
      <w:rPr>
        <w:rFonts w:ascii="Arial" w:cs="Arial" w:eastAsia="Arial" w:hAnsi="Arial"/>
        <w:color w:val="bfbfbf"/>
        <w:sz w:val="20"/>
        <w:szCs w:val="2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644" w:hanging="357.99999999999983"/>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lowerLetter"/>
      <w:lvlText w:val="%1)"/>
      <w:lvlJc w:val="left"/>
      <w:pPr>
        <w:ind w:left="890" w:hanging="360"/>
      </w:pPr>
      <w:rPr/>
    </w:lvl>
    <w:lvl w:ilvl="1">
      <w:start w:val="1"/>
      <w:numFmt w:val="lowerRoman"/>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1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val="1"/>
    <w:rsid w:val="004E36B0"/>
    <w:pPr>
      <w:widowControl w:val="0"/>
      <w:tabs>
        <w:tab w:val="num" w:pos="709"/>
      </w:tabs>
      <w:spacing w:after="220" w:line="240" w:lineRule="auto"/>
      <w:ind w:left="709" w:hanging="709"/>
      <w:jc w:val="both"/>
      <w:outlineLvl w:val="1"/>
    </w:pPr>
    <w:rPr>
      <w:rFonts w:ascii="Trebuchet MS" w:cs="Arial" w:eastAsia="Times New Roman" w:hAnsi="Trebuchet MS"/>
      <w:bCs w:val="1"/>
      <w:iCs w:val="1"/>
      <w:sz w:val="20"/>
      <w:szCs w:val="28"/>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odyText1" w:customStyle="1">
    <w:name w:val="Body Text 1"/>
    <w:basedOn w:val="BodyText"/>
    <w:pPr>
      <w:autoSpaceDN w:val="0"/>
      <w:spacing w:after="240" w:line="360" w:lineRule="auto"/>
      <w:ind w:left="851"/>
    </w:pPr>
    <w:rPr>
      <w:rFonts w:ascii="Arial" w:cs="Times New Roman" w:eastAsia="Times New Roman" w:hAnsi="Arial"/>
      <w:sz w:val="20"/>
      <w:szCs w:val="20"/>
    </w:rPr>
  </w:style>
  <w:style w:type="paragraph" w:styleId="BodyText">
    <w:name w:val="Body Text"/>
    <w:basedOn w:val="Normal"/>
    <w:link w:val="BodyTextChar"/>
    <w:uiPriority w:val="99"/>
    <w:unhideWhenUsed w:val="1"/>
    <w:pPr>
      <w:spacing w:after="120"/>
    </w:pPr>
  </w:style>
  <w:style w:type="character" w:styleId="BodyTextChar" w:customStyle="1">
    <w:name w:val="Body Text Char"/>
    <w:basedOn w:val="DefaultParagraphFont"/>
    <w:link w:val="BodyText"/>
    <w:uiPriority w:val="99"/>
  </w:style>
  <w:style w:type="paragraph" w:styleId="ListParagraph">
    <w:name w:val="List Paragraph"/>
    <w:basedOn w:val="Normal"/>
    <w:uiPriority w:val="34"/>
    <w:qFormat w:val="1"/>
    <w:pPr>
      <w:suppressAutoHyphens w:val="1"/>
      <w:autoSpaceDN w:val="0"/>
      <w:ind w:left="720"/>
      <w:textAlignment w:val="baseline"/>
    </w:pPr>
    <w:rPr>
      <w:rFonts w:cs="Times New Roman"/>
    </w:rPr>
  </w:style>
  <w:style w:type="character" w:styleId="Emphasis">
    <w:name w:val="Emphasis"/>
    <w:basedOn w:val="DefaultParagraphFont"/>
    <w:rPr>
      <w:i w:val="1"/>
      <w:iCs w:val="1"/>
    </w:rPr>
  </w:style>
  <w:style w:type="paragraph" w:styleId="GPSDefinitionL2" w:customStyle="1">
    <w:name w:val="GPS Definition L2"/>
    <w:basedOn w:val="Normal"/>
    <w:link w:val="GPSDefinitionL2Char"/>
    <w:qFormat w:val="1"/>
    <w:pPr>
      <w:tabs>
        <w:tab w:val="left" w:pos="-576"/>
      </w:tabs>
      <w:overflowPunct w:val="0"/>
      <w:autoSpaceDE w:val="0"/>
      <w:autoSpaceDN w:val="0"/>
      <w:spacing w:after="120" w:line="240" w:lineRule="auto"/>
      <w:ind w:hanging="545"/>
      <w:jc w:val="both"/>
      <w:textAlignment w:val="baseline"/>
    </w:pPr>
    <w:rPr>
      <w:rFonts w:ascii="Arial" w:cs="Arial" w:eastAsia="Times New Roman" w:hAnsi="Arial"/>
    </w:rPr>
  </w:style>
  <w:style w:type="paragraph" w:styleId="GPsDefinition" w:customStyle="1">
    <w:name w:val="GPs Definition"/>
    <w:basedOn w:val="Normal"/>
    <w:uiPriority w:val="99"/>
    <w:qFormat w:val="1"/>
    <w:pPr>
      <w:tabs>
        <w:tab w:val="left" w:pos="-179"/>
      </w:tabs>
      <w:overflowPunct w:val="0"/>
      <w:autoSpaceDE w:val="0"/>
      <w:autoSpaceDN w:val="0"/>
      <w:spacing w:after="120" w:line="240" w:lineRule="auto"/>
      <w:jc w:val="both"/>
      <w:textAlignment w:val="baseline"/>
    </w:pPr>
    <w:rPr>
      <w:rFonts w:ascii="Arial" w:cs="Arial" w:eastAsia="Times New Roman" w:hAnsi="Arial"/>
    </w:rPr>
  </w:style>
  <w:style w:type="paragraph" w:styleId="GPSDefinitionL3" w:customStyle="1">
    <w:name w:val="GPS Definition L3"/>
    <w:basedOn w:val="GPSDefinitionL2"/>
    <w:link w:val="GPSDefinitionL3Char"/>
    <w:qFormat w:val="1"/>
  </w:style>
  <w:style w:type="paragraph" w:styleId="GPSDefinitionL4" w:customStyle="1">
    <w:name w:val="GPS Definition L4"/>
    <w:basedOn w:val="GPSDefinitionL3"/>
    <w:qFormat w:val="1"/>
    <w:pPr>
      <w:numPr>
        <w:numId w:val="1"/>
      </w:numPr>
      <w:tabs>
        <w:tab w:val="clear" w:pos="-576"/>
        <w:tab w:val="left" w:pos="-2316"/>
        <w:tab w:val="left" w:pos="-2100"/>
      </w:tabs>
    </w:pPr>
  </w:style>
  <w:style w:type="numbering" w:styleId="LFO12" w:customStyle="1">
    <w:name w:val="LFO12"/>
    <w:basedOn w:val="NoList"/>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semiHidden w:val="1"/>
    <w:unhideWhenUsed w:val="1"/>
    <w:rPr>
      <w:b w:val="1"/>
      <w:bCs w:val="1"/>
    </w:rPr>
  </w:style>
  <w:style w:type="character" w:styleId="CommentSubjectChar" w:customStyle="1">
    <w:name w:val="Comment Subject Char"/>
    <w:basedOn w:val="CommentTextChar"/>
    <w:link w:val="CommentSubject"/>
    <w:semiHidden w:val="1"/>
    <w:rPr>
      <w:b w:val="1"/>
      <w:bCs w:val="1"/>
      <w:sz w:val="20"/>
      <w:szCs w:val="20"/>
    </w:rPr>
  </w:style>
  <w:style w:type="paragraph" w:styleId="Revision">
    <w:name w:val="Revision"/>
    <w:hidden w:val="1"/>
    <w:uiPriority w:val="99"/>
    <w:semiHidden w:val="1"/>
    <w:pPr>
      <w:spacing w:after="0" w:line="240" w:lineRule="auto"/>
    </w:p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GuidanceNumbered" w:customStyle="1">
    <w:name w:val="GPS L2 Guidance Numbered"/>
    <w:basedOn w:val="Normal"/>
    <w:link w:val="GPSL2GuidanceNumberedChar"/>
    <w:qFormat w:val="1"/>
    <w:pPr>
      <w:numPr>
        <w:numId w:val="4"/>
      </w:numPr>
      <w:tabs>
        <w:tab w:val="left" w:pos="1418"/>
      </w:tabs>
      <w:adjustRightInd w:val="0"/>
      <w:spacing w:after="120" w:before="120" w:line="240" w:lineRule="auto"/>
      <w:jc w:val="both"/>
    </w:pPr>
    <w:rPr>
      <w:rFonts w:ascii="Arial" w:cs="Arial" w:eastAsia="Times New Roman" w:hAnsi="Arial"/>
      <w:b w:val="1"/>
      <w:i w:val="1"/>
      <w:lang w:eastAsia="zh-CN"/>
    </w:rPr>
  </w:style>
  <w:style w:type="character" w:styleId="GPSL2GuidanceNumberedChar" w:customStyle="1">
    <w:name w:val="GPS L2 Guidance Numbered Char"/>
    <w:link w:val="GPSL2GuidanceNumbered"/>
    <w:rPr>
      <w:rFonts w:ascii="Arial" w:cs="Arial" w:eastAsia="Times New Roman" w:hAnsi="Arial"/>
      <w:b w:val="1"/>
      <w:i w:val="1"/>
      <w:lang w:eastAsia="zh-CN"/>
    </w:rPr>
  </w:style>
  <w:style w:type="paragraph" w:styleId="GPSDefinitionTerm" w:customStyle="1">
    <w:name w:val="GPS Definition Term"/>
    <w:basedOn w:val="Normal"/>
    <w:uiPriority w:val="99"/>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character" w:styleId="GPSDefinitionL2Char" w:customStyle="1">
    <w:name w:val="GPS Definition L2 Char"/>
    <w:link w:val="GPSDefinitionL2"/>
    <w:rPr>
      <w:rFonts w:ascii="Arial" w:cs="Arial" w:eastAsia="Times New Roman" w:hAnsi="Arial"/>
    </w:rPr>
  </w:style>
  <w:style w:type="character" w:styleId="GPSDefinitionL3Char" w:customStyle="1">
    <w:name w:val="GPS Definition L3 Char"/>
    <w:link w:val="GPSDefinitionL3"/>
    <w:rPr>
      <w:rFonts w:ascii="Arial" w:cs="Arial" w:eastAsia="Times New Roman" w:hAnsi="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val="1"/>
    <w:locked w:val="1"/>
    <w:rPr>
      <w:rFonts w:ascii="Calibri" w:hAnsi="Calibri"/>
      <w:b w:val="1"/>
      <w:lang w:eastAsia="en-GB" w:val="en-GB"/>
    </w:rPr>
  </w:style>
  <w:style w:type="paragraph" w:styleId="GPSL1CLAUSEHEADING" w:customStyle="1">
    <w:name w:val="GPS L1 CLAUSE HEADING"/>
    <w:basedOn w:val="Normal"/>
    <w:next w:val="Normal"/>
    <w:qFormat w:val="1"/>
    <w:pPr>
      <w:numPr>
        <w:numId w:val="6"/>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6"/>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pPr>
  </w:style>
  <w:style w:type="paragraph" w:styleId="GPSL6numbered" w:customStyle="1">
    <w:name w:val="GPS L6 numbered"/>
    <w:basedOn w:val="GPSL5numberedclause"/>
    <w:qFormat w:val="1"/>
    <w:pPr>
      <w:numPr>
        <w:ilvl w:val="5"/>
      </w:numPr>
      <w:tabs>
        <w:tab w:val="left" w:pos="4253"/>
      </w:tabs>
      <w:ind w:left="4253" w:hanging="709"/>
    </w:p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ORDERFORML1PraraNo" w:customStyle="1">
    <w:name w:val="ORDER FORM L1 Prara No"/>
    <w:basedOn w:val="Normal"/>
    <w:qFormat w:val="1"/>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pPr>
      <w:numPr>
        <w:ilvl w:val="1"/>
        <w:numId w:val="7"/>
      </w:numPr>
      <w:adjustRightInd w:val="0"/>
      <w:spacing w:after="120" w:line="240" w:lineRule="auto"/>
      <w:ind w:left="993" w:hanging="567"/>
      <w:jc w:val="both"/>
    </w:pPr>
    <w:rPr>
      <w:rFonts w:ascii="Arial" w:cs="Times New Roman" w:eastAsia="STZhongsong" w:hAnsi="Arial"/>
      <w:b w:val="1"/>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cs="Times New Roman"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LFO5" w:customStyle="1">
    <w:name w:val="LFO5"/>
    <w:basedOn w:val="NoList"/>
  </w:style>
  <w:style w:type="paragraph" w:styleId="Guidancenoteparagraphtext" w:customStyle="1">
    <w:name w:val="Guidance note paragraph text"/>
    <w:basedOn w:val="Normal"/>
    <w:link w:val="GuidancenoteparagraphtextChar"/>
    <w:qFormat w:val="1"/>
    <w:pPr>
      <w:spacing w:after="240" w:line="240" w:lineRule="auto"/>
      <w:ind w:left="709"/>
      <w:jc w:val="both"/>
    </w:pPr>
    <w:rPr>
      <w:rFonts w:ascii="Arial" w:cs="Times New Roman" w:eastAsia="STZhongsong" w:hAnsi="Arial"/>
      <w:b w:val="1"/>
      <w:i w:val="1"/>
      <w:color w:val="000000"/>
      <w:sz w:val="20"/>
      <w:szCs w:val="24"/>
      <w:lang w:eastAsia="zh-CN"/>
    </w:rPr>
  </w:style>
  <w:style w:type="character" w:styleId="GuidancenoteparagraphtextChar" w:customStyle="1">
    <w:name w:val="Guidance note paragraph text Char"/>
    <w:link w:val="Guidancenoteparagraphtext"/>
    <w:rPr>
      <w:rFonts w:ascii="Arial" w:cs="Times New Roman" w:eastAsia="STZhongsong" w:hAnsi="Arial"/>
      <w:b w:val="1"/>
      <w:i w:val="1"/>
      <w:color w:val="000000"/>
      <w:sz w:val="20"/>
      <w:szCs w:val="24"/>
      <w:lang w:eastAsia="zh-CN"/>
    </w:rPr>
  </w:style>
  <w:style w:type="paragraph" w:styleId="GPSL2Numbered" w:customStyle="1">
    <w:name w:val="GPS L2 Numbered"/>
    <w:basedOn w:val="Normal"/>
    <w:pPr>
      <w:tabs>
        <w:tab w:val="left" w:pos="709"/>
        <w:tab w:val="left" w:pos="1134"/>
      </w:tabs>
      <w:autoSpaceDN w:val="0"/>
      <w:spacing w:after="120" w:before="120" w:line="240" w:lineRule="auto"/>
      <w:ind w:left="1494" w:hanging="360"/>
      <w:jc w:val="both"/>
    </w:pPr>
    <w:rPr>
      <w:rFonts w:cs="Arial" w:eastAsia="Times New Roman"/>
      <w:lang w:eastAsia="zh-CN"/>
    </w:rPr>
  </w:style>
  <w:style w:type="paragraph" w:styleId="tabletxt" w:customStyle="1">
    <w:name w:val="tabletxt"/>
    <w:basedOn w:val="Normal"/>
    <w:pPr>
      <w:autoSpaceDE w:val="0"/>
      <w:autoSpaceDN w:val="0"/>
      <w:adjustRightInd w:val="0"/>
      <w:spacing w:after="20" w:before="20" w:line="240" w:lineRule="auto"/>
      <w:jc w:val="both"/>
    </w:pPr>
    <w:rPr>
      <w:rFonts w:ascii="Times New Roman" w:cs="Arial" w:eastAsia="Times New Roman" w:hAnsi="Times New Roman"/>
      <w:sz w:val="20"/>
      <w:szCs w:val="20"/>
      <w:lang w:val="en-US"/>
    </w:rPr>
  </w:style>
  <w:style w:type="paragraph" w:styleId="Tabletext" w:customStyle="1">
    <w:name w:val="Tabletext"/>
    <w:basedOn w:val="Normal"/>
    <w:pPr>
      <w:keepLines w:val="1"/>
      <w:widowControl w:val="0"/>
      <w:spacing w:after="0" w:line="240" w:lineRule="atLeast"/>
    </w:pPr>
    <w:rPr>
      <w:rFonts w:ascii="Arial" w:cs="Times New Roman" w:eastAsia="Times New Roman" w:hAnsi="Arial"/>
      <w:sz w:val="20"/>
      <w:szCs w:val="20"/>
      <w:lang w:val="en-US"/>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cs="Arial" w:eastAsia="Times New Roman" w:hAnsi="Trebuchet MS"/>
      <w:bCs w:val="1"/>
      <w:iCs w:val="1"/>
      <w:sz w:val="20"/>
      <w:szCs w:val="2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pPr>
      <w:spacing w:after="0" w:line="240" w:lineRule="auto"/>
    </w:pPr>
    <w:rPr>
      <w:sz w:val="20"/>
      <w:szCs w:val="20"/>
    </w:rPr>
    <w:tblPr>
      <w:tblStyleRowBandSize w:val="1"/>
      <w:tblStyleColBandSize w:val="1"/>
    </w:tblPr>
  </w:style>
  <w:style w:type="table" w:styleId="a2"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3"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4" w:customStyle="1">
    <w:basedOn w:val="TableNormal"/>
    <w:pPr>
      <w:spacing w:after="0" w:line="240" w:lineRule="auto"/>
    </w:pPr>
    <w:rPr>
      <w:sz w:val="20"/>
      <w:szCs w:val="20"/>
    </w:rPr>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ir35-find-out-if-it-applies" TargetMode="External"/><Relationship Id="rId8"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DxuPqi4K+5sIzBQJsX1cjT09w==">CgMxLjAyCWguMmV0OTJwMDIJaWQuZ2pkZ3hzMgloLjMwajB6bGwyCWguMWZvYjl0ZTIJaC4zem55c2g3MghoLmdqZGd4czgAaiUKFHN1Z2dlc3QuZnJ1ZnNpbnpkdTd1Eg1LeWxlIE1hcnNoYWxsciExZC1WVkdWT1V5OWRvT25BdXY1bE5ma3pEUTRzZ0xmNU4=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2023-01-29T23:28:00Z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